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default"/>
          <w:lang w:val="en-US" w:eastAsia="zh-CN"/>
        </w:rPr>
      </w:pPr>
    </w:p>
    <w:p>
      <w:pPr>
        <w:spacing w:line="600" w:lineRule="auto"/>
        <w:jc w:val="center"/>
        <w:rPr>
          <w:b/>
          <w:spacing w:val="40"/>
          <w:sz w:val="52"/>
          <w:szCs w:val="52"/>
        </w:rPr>
      </w:pPr>
      <w:r>
        <w:rPr>
          <w:rFonts w:hint="eastAsia"/>
          <w:b/>
          <w:spacing w:val="40"/>
          <w:sz w:val="52"/>
          <w:szCs w:val="52"/>
        </w:rPr>
        <w:t>湖南铁路科技职业技术学院</w:t>
      </w:r>
    </w:p>
    <w:p>
      <w:pPr>
        <w:spacing w:line="600" w:lineRule="auto"/>
        <w:jc w:val="center"/>
        <w:rPr>
          <w:rFonts w:hint="eastAsia" w:ascii="宋体" w:hAnsi="宋体" w:eastAsia="仿宋_GB2312"/>
          <w:b/>
          <w:sz w:val="30"/>
          <w:szCs w:val="30"/>
        </w:rPr>
      </w:pPr>
    </w:p>
    <w:p>
      <w:pPr>
        <w:spacing w:line="600" w:lineRule="auto"/>
        <w:jc w:val="center"/>
        <w:rPr>
          <w:rFonts w:hint="eastAsia" w:ascii="宋体" w:hAnsi="宋体" w:eastAsia="仿宋_GB2312"/>
          <w:b/>
          <w:sz w:val="30"/>
          <w:szCs w:val="30"/>
          <w:lang w:val="en-US" w:eastAsia="zh-CN"/>
        </w:rPr>
      </w:pPr>
      <w:bookmarkStart w:id="2" w:name="_GoBack"/>
      <w:r>
        <w:rPr>
          <w:rFonts w:hint="eastAsia" w:ascii="宋体" w:hAnsi="宋体" w:eastAsia="仿宋_GB2312"/>
          <w:b/>
          <w:sz w:val="30"/>
          <w:szCs w:val="30"/>
          <w:lang w:val="en-US" w:eastAsia="zh-CN"/>
        </w:rPr>
        <w:t>省级铁道车辆教学资源库《铁道车辆制动检修》课程资源项目</w:t>
      </w:r>
    </w:p>
    <w:bookmarkEnd w:id="2"/>
    <w:p>
      <w:pPr>
        <w:pStyle w:val="12"/>
        <w:rPr>
          <w:rFonts w:hint="eastAsia"/>
          <w:sz w:val="72"/>
          <w:szCs w:val="72"/>
        </w:rPr>
      </w:pPr>
    </w:p>
    <w:p>
      <w:pPr>
        <w:spacing w:line="600" w:lineRule="auto"/>
        <w:ind w:firstLine="2880" w:firstLineChars="400"/>
        <w:rPr>
          <w:sz w:val="72"/>
          <w:szCs w:val="72"/>
        </w:rPr>
      </w:pPr>
      <w:r>
        <w:rPr>
          <w:rFonts w:hint="eastAsia"/>
          <w:sz w:val="72"/>
          <w:szCs w:val="72"/>
        </w:rPr>
        <w:t>招标文件</w:t>
      </w:r>
    </w:p>
    <w:p>
      <w:pPr>
        <w:spacing w:line="600" w:lineRule="auto"/>
        <w:ind w:firstLine="560" w:firstLineChars="200"/>
        <w:rPr>
          <w:sz w:val="28"/>
          <w:szCs w:val="28"/>
        </w:rPr>
      </w:pPr>
    </w:p>
    <w:p>
      <w:pPr>
        <w:pStyle w:val="12"/>
        <w:rPr>
          <w:sz w:val="28"/>
          <w:szCs w:val="28"/>
        </w:rPr>
      </w:pPr>
    </w:p>
    <w:p>
      <w:pPr>
        <w:pStyle w:val="12"/>
        <w:rPr>
          <w:sz w:val="28"/>
          <w:szCs w:val="28"/>
        </w:rPr>
      </w:pPr>
    </w:p>
    <w:p>
      <w:pPr>
        <w:pStyle w:val="12"/>
        <w:rPr>
          <w:sz w:val="28"/>
          <w:szCs w:val="28"/>
        </w:rPr>
      </w:pPr>
    </w:p>
    <w:p>
      <w:pPr>
        <w:spacing w:line="600" w:lineRule="auto"/>
        <w:ind w:firstLine="562" w:firstLineChars="200"/>
        <w:jc w:val="center"/>
        <w:rPr>
          <w:b/>
          <w:sz w:val="28"/>
          <w:szCs w:val="28"/>
        </w:rPr>
      </w:pPr>
      <w:r>
        <w:rPr>
          <w:rFonts w:hint="eastAsia"/>
          <w:b/>
          <w:sz w:val="28"/>
          <w:szCs w:val="28"/>
        </w:rPr>
        <w:t>招标单位：湖南铁路科技职业技术学院（印章）</w:t>
      </w:r>
    </w:p>
    <w:p>
      <w:pPr>
        <w:spacing w:line="600" w:lineRule="auto"/>
        <w:ind w:firstLine="3373" w:firstLineChars="1200"/>
        <w:jc w:val="both"/>
        <w:rPr>
          <w:b/>
          <w:sz w:val="28"/>
          <w:szCs w:val="28"/>
        </w:rPr>
      </w:pPr>
      <w:r>
        <w:rPr>
          <w:rFonts w:hint="eastAsia"/>
          <w:b/>
          <w:sz w:val="28"/>
          <w:szCs w:val="28"/>
        </w:rPr>
        <w:t>二O二一年</w:t>
      </w:r>
      <w:r>
        <w:rPr>
          <w:rFonts w:hint="eastAsia"/>
          <w:b/>
          <w:sz w:val="28"/>
          <w:szCs w:val="28"/>
          <w:lang w:eastAsia="zh-CN"/>
        </w:rPr>
        <w:t>十一</w:t>
      </w:r>
      <w:r>
        <w:rPr>
          <w:rFonts w:hint="eastAsia"/>
          <w:b/>
          <w:sz w:val="28"/>
          <w:szCs w:val="28"/>
        </w:rPr>
        <w:t>月</w:t>
      </w:r>
    </w:p>
    <w:p>
      <w:pPr>
        <w:spacing w:line="360" w:lineRule="exact"/>
        <w:ind w:firstLine="562" w:firstLineChars="200"/>
        <w:jc w:val="center"/>
        <w:rPr>
          <w:rFonts w:ascii="宋体" w:hAnsi="宋体"/>
          <w:b/>
          <w:sz w:val="28"/>
          <w:szCs w:val="28"/>
        </w:rPr>
        <w:sectPr>
          <w:headerReference r:id="rId5" w:type="default"/>
          <w:pgSz w:w="11906" w:h="16838"/>
          <w:pgMar w:top="1701" w:right="1797" w:bottom="1440" w:left="1797" w:header="851" w:footer="992" w:gutter="0"/>
          <w:cols w:space="720" w:num="1"/>
          <w:docGrid w:type="lines" w:linePitch="312" w:charSpace="0"/>
        </w:sectPr>
      </w:pPr>
    </w:p>
    <w:p>
      <w:pPr>
        <w:spacing w:line="360" w:lineRule="exact"/>
        <w:ind w:firstLine="562" w:firstLineChars="200"/>
        <w:jc w:val="center"/>
        <w:rPr>
          <w:rFonts w:ascii="宋体" w:hAnsi="宋体"/>
          <w:b/>
          <w:sz w:val="28"/>
          <w:szCs w:val="28"/>
        </w:rPr>
      </w:pPr>
      <w:r>
        <w:rPr>
          <w:rFonts w:hint="eastAsia" w:ascii="宋体" w:hAnsi="宋体"/>
          <w:b/>
          <w:sz w:val="28"/>
          <w:szCs w:val="28"/>
        </w:rPr>
        <w:t>第一部分   投标须知</w:t>
      </w:r>
    </w:p>
    <w:p>
      <w:pPr>
        <w:spacing w:line="360" w:lineRule="exact"/>
        <w:ind w:firstLine="482" w:firstLineChars="200"/>
        <w:jc w:val="center"/>
        <w:rPr>
          <w:rFonts w:ascii="宋体" w:hAnsi="宋体"/>
          <w:b/>
          <w:sz w:val="24"/>
        </w:rPr>
      </w:pPr>
    </w:p>
    <w:p>
      <w:pPr>
        <w:spacing w:line="360" w:lineRule="exact"/>
        <w:ind w:firstLine="482" w:firstLineChars="200"/>
        <w:jc w:val="center"/>
        <w:rPr>
          <w:rFonts w:ascii="宋体" w:hAnsi="宋体"/>
          <w:b/>
          <w:sz w:val="24"/>
        </w:rPr>
      </w:pPr>
    </w:p>
    <w:p>
      <w:pPr>
        <w:spacing w:line="360" w:lineRule="exact"/>
        <w:ind w:firstLine="480" w:firstLineChars="200"/>
        <w:rPr>
          <w:rFonts w:hint="eastAsia" w:ascii="宋体" w:hAnsi="宋体"/>
          <w:sz w:val="24"/>
        </w:rPr>
      </w:pPr>
      <w:r>
        <w:rPr>
          <w:rFonts w:hint="eastAsia" w:ascii="宋体" w:hAnsi="宋体"/>
          <w:sz w:val="24"/>
        </w:rPr>
        <w:t>我院将对</w:t>
      </w:r>
      <w:r>
        <w:rPr>
          <w:rFonts w:hint="eastAsia" w:ascii="宋体" w:hAnsi="宋体"/>
          <w:sz w:val="24"/>
          <w:lang w:eastAsia="zh-CN"/>
        </w:rPr>
        <w:t>省级铁道车辆教学资源库《铁道车辆制动检修》课程资源</w:t>
      </w:r>
      <w:r>
        <w:rPr>
          <w:rFonts w:hint="eastAsia" w:ascii="宋体" w:hAnsi="宋体"/>
          <w:sz w:val="24"/>
        </w:rPr>
        <w:t>进行招标,特邀请具备相关资质的商家前来洽谈。</w:t>
      </w:r>
    </w:p>
    <w:p>
      <w:pPr>
        <w:spacing w:line="360" w:lineRule="exact"/>
        <w:rPr>
          <w:rFonts w:ascii="宋体" w:hAnsi="宋体"/>
          <w:b/>
          <w:sz w:val="24"/>
        </w:rPr>
      </w:pPr>
      <w:r>
        <w:rPr>
          <w:rFonts w:hint="eastAsia" w:ascii="宋体" w:hAnsi="宋体"/>
          <w:b/>
          <w:sz w:val="24"/>
        </w:rPr>
        <w:t>一、项目概述</w:t>
      </w:r>
    </w:p>
    <w:p>
      <w:pPr>
        <w:spacing w:line="360" w:lineRule="exact"/>
        <w:ind w:firstLine="480" w:firstLineChars="200"/>
        <w:rPr>
          <w:rFonts w:hint="eastAsia" w:ascii="宋体" w:hAnsi="宋体" w:eastAsia="宋体"/>
          <w:bCs/>
          <w:sz w:val="24"/>
          <w:lang w:eastAsia="zh-CN"/>
        </w:rPr>
      </w:pPr>
      <w:r>
        <w:rPr>
          <w:rFonts w:hint="eastAsia" w:ascii="宋体" w:hAnsi="宋体"/>
          <w:sz w:val="24"/>
        </w:rPr>
        <w:t>1、项目名称：</w:t>
      </w:r>
      <w:r>
        <w:rPr>
          <w:rFonts w:hint="eastAsia" w:ascii="宋体" w:hAnsi="宋体"/>
          <w:bCs/>
          <w:sz w:val="24"/>
          <w:lang w:eastAsia="zh-CN"/>
        </w:rPr>
        <w:t>省级铁道车辆教学资源库《铁道车辆制动检修》课程资源</w:t>
      </w:r>
    </w:p>
    <w:p>
      <w:pPr>
        <w:spacing w:line="360" w:lineRule="exact"/>
        <w:ind w:firstLine="480" w:firstLineChars="200"/>
        <w:rPr>
          <w:rFonts w:ascii="宋体" w:hAnsi="宋体"/>
          <w:color w:val="auto"/>
          <w:sz w:val="24"/>
        </w:rPr>
      </w:pPr>
      <w:r>
        <w:rPr>
          <w:rFonts w:hint="eastAsia" w:ascii="宋体" w:hAnsi="宋体"/>
          <w:color w:val="auto"/>
          <w:sz w:val="24"/>
        </w:rPr>
        <w:t>2、招标预算资金：</w:t>
      </w:r>
      <w:r>
        <w:rPr>
          <w:rFonts w:hint="eastAsia" w:ascii="宋体" w:hAnsi="宋体"/>
          <w:color w:val="auto"/>
          <w:sz w:val="24"/>
          <w:lang w:eastAsia="zh-CN"/>
        </w:rPr>
        <w:t>壹</w:t>
      </w:r>
      <w:r>
        <w:rPr>
          <w:rFonts w:hint="eastAsia" w:ascii="宋体" w:hAnsi="宋体"/>
          <w:color w:val="auto"/>
          <w:sz w:val="24"/>
        </w:rPr>
        <w:t>拾</w:t>
      </w:r>
      <w:r>
        <w:rPr>
          <w:rFonts w:hint="eastAsia" w:ascii="宋体" w:hAnsi="宋体"/>
          <w:color w:val="auto"/>
          <w:sz w:val="24"/>
          <w:lang w:eastAsia="zh-CN"/>
        </w:rPr>
        <w:t>壹万贰仟陆佰伍拾玖</w:t>
      </w:r>
      <w:r>
        <w:rPr>
          <w:rFonts w:hint="eastAsia" w:ascii="宋体" w:hAnsi="宋体"/>
          <w:color w:val="auto"/>
          <w:sz w:val="24"/>
        </w:rPr>
        <w:t>元（￥：112659元）</w:t>
      </w:r>
    </w:p>
    <w:p>
      <w:pPr>
        <w:spacing w:line="360" w:lineRule="exact"/>
        <w:ind w:firstLine="480" w:firstLineChars="200"/>
        <w:rPr>
          <w:rFonts w:ascii="宋体" w:hAnsi="宋体"/>
          <w:sz w:val="24"/>
        </w:rPr>
      </w:pPr>
      <w:r>
        <w:rPr>
          <w:rFonts w:hint="eastAsia" w:ascii="宋体" w:hAnsi="宋体"/>
          <w:sz w:val="24"/>
        </w:rPr>
        <w:t>3、招标的要求：见第三部分技术项目的说明</w:t>
      </w:r>
    </w:p>
    <w:p>
      <w:pPr>
        <w:spacing w:line="360" w:lineRule="exact"/>
        <w:ind w:firstLine="480" w:firstLineChars="200"/>
        <w:rPr>
          <w:rFonts w:ascii="宋体" w:hAnsi="宋体"/>
          <w:sz w:val="24"/>
        </w:rPr>
      </w:pPr>
      <w:r>
        <w:rPr>
          <w:rFonts w:hint="eastAsia" w:ascii="宋体" w:hAnsi="宋体"/>
          <w:sz w:val="24"/>
        </w:rPr>
        <w:t>4、采购数量：见第三部分技术项目的说明</w:t>
      </w:r>
    </w:p>
    <w:p>
      <w:pPr>
        <w:spacing w:line="360" w:lineRule="exact"/>
        <w:ind w:firstLine="480" w:firstLineChars="200"/>
        <w:rPr>
          <w:rFonts w:hint="eastAsia" w:ascii="宋体" w:hAnsi="宋体"/>
          <w:color w:val="FF0000"/>
          <w:sz w:val="24"/>
        </w:rPr>
      </w:pPr>
      <w:r>
        <w:rPr>
          <w:rFonts w:hint="eastAsia" w:ascii="宋体" w:hAnsi="宋体"/>
          <w:sz w:val="24"/>
        </w:rPr>
        <w:t>5、完成时间：2021年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7</w:t>
      </w:r>
      <w:r>
        <w:rPr>
          <w:rFonts w:hint="eastAsia" w:ascii="宋体" w:hAnsi="宋体"/>
          <w:sz w:val="24"/>
        </w:rPr>
        <w:t>日前</w:t>
      </w:r>
    </w:p>
    <w:p>
      <w:pPr>
        <w:spacing w:line="360" w:lineRule="exact"/>
        <w:ind w:firstLine="480" w:firstLineChars="200"/>
        <w:rPr>
          <w:rFonts w:hint="eastAsia" w:ascii="宋体" w:hAnsi="宋体"/>
          <w:sz w:val="24"/>
        </w:rPr>
      </w:pPr>
      <w:r>
        <w:rPr>
          <w:rFonts w:hint="eastAsia" w:ascii="宋体" w:hAnsi="宋体"/>
          <w:sz w:val="24"/>
        </w:rPr>
        <w:t xml:space="preserve">6、供货地点：湖南铁路科技职业技术学院 </w:t>
      </w:r>
    </w:p>
    <w:p>
      <w:pPr>
        <w:spacing w:line="360" w:lineRule="exact"/>
        <w:ind w:firstLine="482" w:firstLineChars="200"/>
        <w:rPr>
          <w:rFonts w:ascii="宋体" w:hAnsi="宋体"/>
          <w:b/>
          <w:sz w:val="24"/>
        </w:rPr>
      </w:pPr>
      <w:r>
        <w:rPr>
          <w:rFonts w:hint="eastAsia" w:ascii="宋体" w:hAnsi="宋体"/>
          <w:b/>
          <w:sz w:val="24"/>
        </w:rPr>
        <w:t>二、报名需携带的证件及要求</w:t>
      </w:r>
    </w:p>
    <w:p>
      <w:pPr>
        <w:spacing w:line="360" w:lineRule="exact"/>
        <w:ind w:firstLine="480" w:firstLineChars="200"/>
        <w:rPr>
          <w:rFonts w:hint="eastAsia" w:ascii="宋体" w:hAnsi="宋体"/>
          <w:sz w:val="24"/>
        </w:rPr>
      </w:pPr>
      <w:r>
        <w:rPr>
          <w:rFonts w:hint="eastAsia" w:ascii="宋体" w:hAnsi="宋体"/>
          <w:sz w:val="24"/>
        </w:rPr>
        <w:t>1、报名参加竞标的单位必须携带营业执照副本（需年检合格）；</w:t>
      </w:r>
    </w:p>
    <w:p>
      <w:pPr>
        <w:spacing w:line="360" w:lineRule="exact"/>
        <w:ind w:firstLine="480" w:firstLineChars="200"/>
        <w:rPr>
          <w:rFonts w:hint="eastAsia" w:ascii="宋体" w:hAnsi="宋体"/>
          <w:sz w:val="24"/>
        </w:rPr>
      </w:pPr>
      <w:r>
        <w:rPr>
          <w:rFonts w:hint="eastAsia" w:ascii="宋体" w:hAnsi="宋体"/>
          <w:sz w:val="24"/>
        </w:rPr>
        <w:t>2、组织机构代码证（需年检合格）；</w:t>
      </w:r>
    </w:p>
    <w:p>
      <w:pPr>
        <w:spacing w:line="360" w:lineRule="exact"/>
        <w:ind w:firstLine="480" w:firstLineChars="200"/>
        <w:rPr>
          <w:rFonts w:hint="eastAsia"/>
        </w:rPr>
      </w:pPr>
      <w:r>
        <w:rPr>
          <w:rFonts w:hint="eastAsia" w:ascii="宋体" w:hAnsi="宋体"/>
          <w:sz w:val="24"/>
        </w:rPr>
        <w:t>3、法人证书或法定代表人授权书（注明有效期限、法定代表人签章及加盖公章）及被受权人身份证；</w:t>
      </w:r>
    </w:p>
    <w:p>
      <w:pPr>
        <w:spacing w:line="360" w:lineRule="exact"/>
        <w:ind w:firstLine="480" w:firstLineChars="200"/>
        <w:rPr>
          <w:rFonts w:hint="eastAsia" w:ascii="宋体" w:hAnsi="宋体"/>
          <w:sz w:val="24"/>
        </w:rPr>
      </w:pPr>
      <w:r>
        <w:rPr>
          <w:rFonts w:hint="eastAsia" w:ascii="宋体" w:hAnsi="宋体"/>
          <w:sz w:val="24"/>
        </w:rPr>
        <w:t>4、上述资料报名时需提供原件及复印件一式两份；</w:t>
      </w:r>
    </w:p>
    <w:p>
      <w:pPr>
        <w:spacing w:line="360" w:lineRule="exact"/>
        <w:ind w:firstLine="480" w:firstLineChars="200"/>
        <w:rPr>
          <w:rFonts w:hint="eastAsia" w:ascii="宋体" w:hAnsi="宋体"/>
          <w:sz w:val="24"/>
        </w:rPr>
      </w:pPr>
      <w:r>
        <w:rPr>
          <w:rFonts w:hint="eastAsia" w:ascii="宋体" w:hAnsi="宋体"/>
          <w:sz w:val="24"/>
        </w:rPr>
        <w:t>5、电子卖场资质证明材料。</w:t>
      </w:r>
    </w:p>
    <w:p>
      <w:pPr>
        <w:spacing w:line="360" w:lineRule="exact"/>
        <w:rPr>
          <w:rFonts w:ascii="宋体" w:hAnsi="宋体"/>
          <w:b/>
          <w:sz w:val="24"/>
        </w:rPr>
      </w:pPr>
      <w:r>
        <w:rPr>
          <w:rFonts w:hint="eastAsia" w:ascii="宋体" w:hAnsi="宋体"/>
          <w:b/>
          <w:sz w:val="24"/>
        </w:rPr>
        <w:t>三、报名时间及地点：</w:t>
      </w:r>
    </w:p>
    <w:p>
      <w:pPr>
        <w:widowControl/>
        <w:spacing w:line="300" w:lineRule="exact"/>
        <w:ind w:firstLine="480" w:firstLineChars="200"/>
        <w:jc w:val="left"/>
        <w:rPr>
          <w:rFonts w:hint="eastAsia" w:ascii="宋体" w:hAnsi="宋体" w:cs="宋体"/>
          <w:kern w:val="0"/>
          <w:sz w:val="24"/>
        </w:rPr>
      </w:pPr>
      <w:r>
        <w:rPr>
          <w:rFonts w:hint="eastAsia" w:ascii="宋体" w:hAnsi="宋体" w:cs="宋体"/>
          <w:kern w:val="0"/>
          <w:sz w:val="24"/>
        </w:rPr>
        <w:t>报名时间</w:t>
      </w:r>
      <w:r>
        <w:rPr>
          <w:rFonts w:ascii="宋体" w:hAnsi="宋体" w:cs="宋体"/>
          <w:kern w:val="0"/>
          <w:sz w:val="24"/>
        </w:rPr>
        <w:t>：</w:t>
      </w:r>
      <w:r>
        <w:rPr>
          <w:rFonts w:hint="eastAsia" w:ascii="宋体" w:hAnsi="宋体" w:cs="宋体"/>
          <w:kern w:val="0"/>
          <w:sz w:val="24"/>
        </w:rPr>
        <w:t>2021年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18</w:t>
      </w:r>
      <w:r>
        <w:rPr>
          <w:rFonts w:hint="eastAsia" w:ascii="宋体" w:hAnsi="宋体" w:cs="宋体"/>
          <w:kern w:val="0"/>
          <w:sz w:val="24"/>
        </w:rPr>
        <w:t>日至2021年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24</w:t>
      </w:r>
      <w:r>
        <w:rPr>
          <w:rFonts w:ascii="宋体" w:hAnsi="宋体" w:cs="宋体"/>
          <w:kern w:val="0"/>
          <w:sz w:val="24"/>
        </w:rPr>
        <w:t>日</w:t>
      </w:r>
      <w:r>
        <w:rPr>
          <w:rFonts w:hint="eastAsia" w:ascii="宋体" w:hAnsi="宋体" w:cs="宋体"/>
          <w:kern w:val="0"/>
          <w:sz w:val="24"/>
          <w:lang w:eastAsia="zh-CN"/>
        </w:rPr>
        <w:t>（工作日）</w:t>
      </w:r>
      <w:r>
        <w:rPr>
          <w:rFonts w:hint="eastAsia" w:ascii="宋体" w:hAnsi="宋体" w:cs="宋体"/>
          <w:kern w:val="0"/>
          <w:sz w:val="24"/>
        </w:rPr>
        <w:t>；</w:t>
      </w:r>
    </w:p>
    <w:p>
      <w:pPr>
        <w:pStyle w:val="12"/>
        <w:ind w:firstLine="480" w:firstLineChars="200"/>
        <w:rPr>
          <w:rFonts w:hint="eastAsia" w:ascii="宋体" w:hAnsi="宋体" w:eastAsia="宋体" w:cs="宋体"/>
          <w:sz w:val="24"/>
          <w:szCs w:val="24"/>
        </w:rPr>
      </w:pPr>
      <w:r>
        <w:rPr>
          <w:rFonts w:hint="eastAsia" w:ascii="宋体" w:hAnsi="宋体" w:eastAsia="宋体" w:cs="宋体"/>
          <w:sz w:val="24"/>
          <w:szCs w:val="24"/>
        </w:rPr>
        <w:t>地点：资产管理处（行政楼402）。</w:t>
      </w:r>
    </w:p>
    <w:p>
      <w:pPr>
        <w:spacing w:line="360" w:lineRule="exact"/>
        <w:rPr>
          <w:rFonts w:ascii="宋体" w:hAnsi="宋体"/>
          <w:b/>
          <w:sz w:val="24"/>
        </w:rPr>
      </w:pPr>
      <w:r>
        <w:rPr>
          <w:rFonts w:hint="eastAsia" w:ascii="宋体" w:hAnsi="宋体"/>
          <w:b/>
          <w:sz w:val="24"/>
        </w:rPr>
        <w:t>四、招标截止、开标时间及地点：</w:t>
      </w:r>
    </w:p>
    <w:p>
      <w:pPr>
        <w:spacing w:line="360" w:lineRule="exact"/>
        <w:ind w:firstLine="480" w:firstLineChars="200"/>
        <w:rPr>
          <w:rFonts w:hint="eastAsia" w:ascii="宋体" w:hAnsi="宋体" w:eastAsia="宋体"/>
          <w:sz w:val="24"/>
          <w:lang w:eastAsia="zh-CN"/>
        </w:rPr>
      </w:pPr>
      <w:r>
        <w:rPr>
          <w:rFonts w:hint="eastAsia" w:ascii="宋体" w:hAnsi="宋体" w:cs="宋体"/>
          <w:kern w:val="0"/>
          <w:sz w:val="24"/>
        </w:rPr>
        <w:t>截止时间：</w:t>
      </w:r>
      <w:r>
        <w:rPr>
          <w:rFonts w:hint="eastAsia" w:ascii="宋体" w:hAnsi="宋体" w:cs="宋体"/>
          <w:kern w:val="0"/>
          <w:sz w:val="24"/>
          <w:lang w:eastAsia="zh-CN"/>
        </w:rPr>
        <w:t>2021年</w:t>
      </w:r>
      <w:r>
        <w:rPr>
          <w:rFonts w:hint="eastAsia" w:ascii="宋体" w:hAnsi="宋体" w:cs="宋体"/>
          <w:kern w:val="0"/>
          <w:sz w:val="24"/>
          <w:lang w:val="en-US" w:eastAsia="zh-CN"/>
        </w:rPr>
        <w:t>11</w:t>
      </w:r>
      <w:r>
        <w:rPr>
          <w:rFonts w:hint="eastAsia" w:ascii="宋体" w:hAnsi="宋体" w:cs="宋体"/>
          <w:kern w:val="0"/>
          <w:sz w:val="24"/>
          <w:lang w:eastAsia="zh-CN"/>
        </w:rPr>
        <w:t>月</w:t>
      </w:r>
      <w:r>
        <w:rPr>
          <w:rFonts w:hint="eastAsia" w:ascii="宋体" w:hAnsi="宋体" w:cs="宋体"/>
          <w:kern w:val="0"/>
          <w:sz w:val="24"/>
          <w:lang w:val="en-US" w:eastAsia="zh-CN"/>
        </w:rPr>
        <w:t>25</w:t>
      </w:r>
      <w:r>
        <w:rPr>
          <w:rFonts w:hint="eastAsia" w:ascii="宋体" w:hAnsi="宋体" w:cs="宋体"/>
          <w:kern w:val="0"/>
          <w:sz w:val="24"/>
          <w:lang w:eastAsia="zh-CN"/>
        </w:rPr>
        <w:t>日上午</w:t>
      </w:r>
      <w:r>
        <w:rPr>
          <w:rFonts w:hint="eastAsia" w:ascii="宋体" w:hAnsi="宋体" w:cs="宋体"/>
          <w:kern w:val="0"/>
          <w:sz w:val="24"/>
          <w:lang w:val="en-US" w:eastAsia="zh-CN"/>
        </w:rPr>
        <w:t>9</w:t>
      </w: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0</w:t>
      </w:r>
    </w:p>
    <w:p>
      <w:pPr>
        <w:spacing w:line="360" w:lineRule="exact"/>
        <w:ind w:firstLine="480" w:firstLineChars="200"/>
        <w:rPr>
          <w:rFonts w:hint="eastAsia" w:ascii="宋体" w:hAnsi="宋体" w:eastAsia="宋体"/>
          <w:sz w:val="24"/>
          <w:lang w:eastAsia="zh-CN"/>
        </w:rPr>
      </w:pPr>
      <w:r>
        <w:rPr>
          <w:rFonts w:hint="eastAsia" w:ascii="宋体" w:hAnsi="宋体" w:cs="宋体"/>
          <w:kern w:val="0"/>
          <w:sz w:val="24"/>
        </w:rPr>
        <w:t>开标时间：</w:t>
      </w:r>
      <w:r>
        <w:rPr>
          <w:rFonts w:hint="eastAsia" w:ascii="宋体" w:hAnsi="宋体" w:cs="宋体"/>
          <w:kern w:val="0"/>
          <w:sz w:val="24"/>
          <w:lang w:eastAsia="zh-CN"/>
        </w:rPr>
        <w:t>2021年</w:t>
      </w:r>
      <w:r>
        <w:rPr>
          <w:rFonts w:hint="eastAsia" w:ascii="宋体" w:hAnsi="宋体" w:cs="宋体"/>
          <w:kern w:val="0"/>
          <w:sz w:val="24"/>
          <w:lang w:val="en-US" w:eastAsia="zh-CN"/>
        </w:rPr>
        <w:t>11</w:t>
      </w:r>
      <w:r>
        <w:rPr>
          <w:rFonts w:hint="eastAsia" w:ascii="宋体" w:hAnsi="宋体" w:cs="宋体"/>
          <w:kern w:val="0"/>
          <w:sz w:val="24"/>
          <w:lang w:eastAsia="zh-CN"/>
        </w:rPr>
        <w:t>月</w:t>
      </w:r>
      <w:r>
        <w:rPr>
          <w:rFonts w:hint="eastAsia" w:ascii="宋体" w:hAnsi="宋体" w:cs="宋体"/>
          <w:kern w:val="0"/>
          <w:sz w:val="24"/>
          <w:lang w:val="en-US" w:eastAsia="zh-CN"/>
        </w:rPr>
        <w:t>25</w:t>
      </w:r>
      <w:r>
        <w:rPr>
          <w:rFonts w:hint="eastAsia" w:ascii="宋体" w:hAnsi="宋体" w:cs="宋体"/>
          <w:kern w:val="0"/>
          <w:sz w:val="24"/>
          <w:lang w:eastAsia="zh-CN"/>
        </w:rPr>
        <w:t>日上午</w:t>
      </w:r>
      <w:r>
        <w:rPr>
          <w:rFonts w:hint="eastAsia" w:ascii="宋体" w:hAnsi="宋体" w:cs="宋体"/>
          <w:kern w:val="0"/>
          <w:sz w:val="24"/>
          <w:lang w:val="en-US" w:eastAsia="zh-CN"/>
        </w:rPr>
        <w:t>9</w:t>
      </w: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0</w:t>
      </w:r>
    </w:p>
    <w:p>
      <w:pPr>
        <w:tabs>
          <w:tab w:val="left" w:pos="855"/>
        </w:tabs>
        <w:snapToGrid w:val="0"/>
        <w:spacing w:line="0" w:lineRule="atLeast"/>
        <w:ind w:firstLine="480" w:firstLineChars="200"/>
        <w:rPr>
          <w:rFonts w:hint="eastAsia" w:ascii="宋体" w:hAnsi="宋体"/>
          <w:sz w:val="24"/>
        </w:rPr>
      </w:pPr>
      <w:r>
        <w:rPr>
          <w:rFonts w:hint="eastAsia" w:ascii="宋体" w:hAnsi="宋体"/>
          <w:sz w:val="24"/>
        </w:rPr>
        <w:t>地点：湖南铁路科技职业技术学院 谈判会议室（行政楼401）。</w:t>
      </w:r>
    </w:p>
    <w:p>
      <w:pPr>
        <w:spacing w:line="360" w:lineRule="exact"/>
        <w:rPr>
          <w:rFonts w:hint="eastAsia" w:ascii="宋体" w:hAnsi="宋体"/>
          <w:b/>
          <w:sz w:val="24"/>
        </w:rPr>
      </w:pPr>
      <w:r>
        <w:rPr>
          <w:rFonts w:hint="eastAsia" w:ascii="宋体" w:hAnsi="宋体"/>
          <w:b/>
          <w:sz w:val="24"/>
        </w:rPr>
        <w:t>五、供应商应具备的基本条件</w:t>
      </w:r>
    </w:p>
    <w:p>
      <w:pPr>
        <w:spacing w:line="360" w:lineRule="exact"/>
        <w:ind w:firstLine="480" w:firstLineChars="200"/>
        <w:rPr>
          <w:rFonts w:hint="eastAsia" w:ascii="宋体" w:hAnsi="宋体"/>
          <w:sz w:val="24"/>
        </w:rPr>
      </w:pPr>
      <w:r>
        <w:rPr>
          <w:rFonts w:hint="eastAsia" w:ascii="宋体" w:hAnsi="宋体"/>
          <w:sz w:val="24"/>
        </w:rPr>
        <w:t>1、投标人基本资格条件：投标人应当符合《政府采购法》第二十二条第一款的规定，即：</w:t>
      </w:r>
    </w:p>
    <w:p>
      <w:pPr>
        <w:spacing w:line="360" w:lineRule="exact"/>
        <w:ind w:firstLine="480" w:firstLineChars="200"/>
        <w:rPr>
          <w:rFonts w:hint="eastAsia" w:ascii="宋体" w:hAnsi="宋体"/>
          <w:sz w:val="24"/>
        </w:rPr>
      </w:pPr>
      <w:r>
        <w:rPr>
          <w:rFonts w:hint="eastAsia" w:ascii="宋体" w:hAnsi="宋体"/>
          <w:sz w:val="24"/>
        </w:rPr>
        <w:t>（1）具有独立承担民事责任的能力；</w:t>
      </w:r>
    </w:p>
    <w:p>
      <w:pPr>
        <w:spacing w:line="360" w:lineRule="exact"/>
        <w:ind w:firstLine="480" w:firstLineChars="200"/>
        <w:rPr>
          <w:rFonts w:hint="eastAsia" w:ascii="宋体" w:hAnsi="宋体"/>
          <w:sz w:val="24"/>
        </w:rPr>
      </w:pPr>
      <w:r>
        <w:rPr>
          <w:rFonts w:hint="eastAsia" w:ascii="宋体" w:hAnsi="宋体"/>
          <w:sz w:val="24"/>
        </w:rPr>
        <w:t>（2）具有良好的商业信誉和健全的财务会计制度；</w:t>
      </w:r>
    </w:p>
    <w:p>
      <w:pPr>
        <w:spacing w:line="360" w:lineRule="exact"/>
        <w:ind w:firstLine="480" w:firstLineChars="200"/>
        <w:rPr>
          <w:rFonts w:hint="eastAsia" w:ascii="宋体" w:hAnsi="宋体"/>
          <w:sz w:val="24"/>
        </w:rPr>
      </w:pPr>
      <w:r>
        <w:rPr>
          <w:rFonts w:hint="eastAsia" w:ascii="宋体" w:hAnsi="宋体"/>
          <w:sz w:val="24"/>
        </w:rPr>
        <w:t>（3）具有履行合同所必需的设备和专业技术能力；</w:t>
      </w:r>
    </w:p>
    <w:p>
      <w:pPr>
        <w:spacing w:line="360" w:lineRule="exact"/>
        <w:ind w:firstLine="480" w:firstLineChars="200"/>
        <w:rPr>
          <w:rFonts w:hint="eastAsia" w:ascii="宋体" w:hAnsi="宋体"/>
          <w:sz w:val="24"/>
        </w:rPr>
      </w:pPr>
      <w:r>
        <w:rPr>
          <w:rFonts w:hint="eastAsia" w:ascii="宋体" w:hAnsi="宋体"/>
          <w:sz w:val="24"/>
        </w:rPr>
        <w:t>（4）有依法缴纳税收和社会保障资金的良好记录；</w:t>
      </w:r>
    </w:p>
    <w:p>
      <w:pPr>
        <w:spacing w:line="360" w:lineRule="exact"/>
        <w:ind w:firstLine="480" w:firstLineChars="200"/>
        <w:rPr>
          <w:rFonts w:hint="eastAsia" w:ascii="宋体" w:hAnsi="宋体"/>
          <w:sz w:val="24"/>
        </w:rPr>
      </w:pPr>
      <w:r>
        <w:rPr>
          <w:rFonts w:hint="eastAsia" w:ascii="宋体" w:hAnsi="宋体"/>
          <w:sz w:val="24"/>
        </w:rPr>
        <w:t>（5）参加政府采购活动前三年内，在经营活动中没有重大违法记录；</w:t>
      </w:r>
    </w:p>
    <w:p>
      <w:pPr>
        <w:spacing w:line="360" w:lineRule="exact"/>
        <w:ind w:firstLine="480" w:firstLineChars="200"/>
        <w:rPr>
          <w:rFonts w:hint="eastAsia" w:ascii="宋体" w:hAnsi="宋体"/>
          <w:sz w:val="24"/>
        </w:rPr>
      </w:pPr>
      <w:r>
        <w:rPr>
          <w:rFonts w:hint="eastAsia" w:ascii="宋体" w:hAnsi="宋体"/>
          <w:sz w:val="24"/>
        </w:rPr>
        <w:t>（6）法律、行政法规规定的其他条件。</w:t>
      </w:r>
    </w:p>
    <w:p>
      <w:pPr>
        <w:spacing w:line="360" w:lineRule="exact"/>
        <w:ind w:firstLine="480" w:firstLineChars="200"/>
        <w:rPr>
          <w:rFonts w:hint="eastAsia" w:ascii="宋体" w:hAnsi="宋体"/>
          <w:sz w:val="24"/>
        </w:rPr>
      </w:pPr>
      <w:r>
        <w:rPr>
          <w:rFonts w:hint="eastAsia" w:ascii="宋体" w:hAnsi="宋体"/>
          <w:sz w:val="24"/>
        </w:rPr>
        <w:t>2、被“信用中国”网站列入失信被执行人和重大税收违法案件当事人名单的、被“中国政府采购网”网站列入政府采购严重违法失信行为记录名单（处罚期限尚未届满的），不得参与本项目的政府采购活动。</w:t>
      </w:r>
    </w:p>
    <w:p>
      <w:pPr>
        <w:spacing w:line="360" w:lineRule="exact"/>
        <w:rPr>
          <w:rFonts w:ascii="宋体" w:hAnsi="宋体"/>
          <w:b/>
          <w:sz w:val="24"/>
        </w:rPr>
      </w:pPr>
      <w:r>
        <w:rPr>
          <w:rFonts w:hint="eastAsia" w:ascii="宋体" w:hAnsi="宋体"/>
          <w:b/>
          <w:sz w:val="24"/>
        </w:rPr>
        <w:t>六、联系地址及联系人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rPr>
        <w:t>地址：湖南省株洲市云龙示范区职教大学城智慧路1号</w:t>
      </w:r>
    </w:p>
    <w:p>
      <w:pPr>
        <w:keepNext w:val="0"/>
        <w:keepLines w:val="0"/>
        <w:pageBreakBefore w:val="0"/>
        <w:widowControl w:val="0"/>
        <w:kinsoku/>
        <w:wordWrap/>
        <w:overflowPunct/>
        <w:topLinePunct w:val="0"/>
        <w:autoSpaceDE/>
        <w:autoSpaceDN/>
        <w:bidi w:val="0"/>
        <w:adjustRightInd/>
        <w:snapToGrid/>
        <w:spacing w:line="480" w:lineRule="auto"/>
        <w:ind w:firstLine="465"/>
        <w:textAlignment w:val="auto"/>
        <w:rPr>
          <w:rFonts w:ascii="宋体" w:hAnsi="宋体"/>
          <w:sz w:val="24"/>
        </w:rPr>
      </w:pPr>
      <w:r>
        <w:rPr>
          <w:rFonts w:hint="eastAsia" w:ascii="宋体" w:hAnsi="宋体"/>
          <w:sz w:val="24"/>
        </w:rPr>
        <w:t>联系人：彭老师（资产管理处）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sz w:val="24"/>
        </w:rPr>
      </w:pPr>
      <w:r>
        <w:rPr>
          <w:rFonts w:hint="eastAsia" w:ascii="宋体" w:hAnsi="宋体"/>
          <w:sz w:val="24"/>
        </w:rPr>
        <w:t>电话：0731-22780163   邮政编码：412000</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sz w:val="24"/>
        </w:rPr>
      </w:pPr>
      <w:r>
        <w:rPr>
          <w:rFonts w:hint="eastAsia" w:ascii="宋体" w:hAnsi="宋体"/>
          <w:sz w:val="24"/>
        </w:rPr>
        <w:t>联系人：</w:t>
      </w:r>
      <w:r>
        <w:rPr>
          <w:rFonts w:hint="eastAsia" w:ascii="宋体" w:hAnsi="宋体"/>
          <w:sz w:val="24"/>
          <w:lang w:eastAsia="zh-CN"/>
        </w:rPr>
        <w:t>戴</w:t>
      </w:r>
      <w:r>
        <w:rPr>
          <w:rFonts w:hint="eastAsia" w:ascii="宋体" w:hAnsi="宋体"/>
          <w:sz w:val="24"/>
        </w:rPr>
        <w:t>老师（技术负责）</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olor w:val="auto"/>
          <w:sz w:val="24"/>
          <w:lang w:val="en-US" w:eastAsia="zh-CN"/>
        </w:rPr>
      </w:pPr>
      <w:r>
        <w:rPr>
          <w:rFonts w:hint="eastAsia" w:ascii="宋体" w:hAnsi="宋体"/>
          <w:sz w:val="24"/>
        </w:rPr>
        <w:t>电话：</w:t>
      </w:r>
      <w:r>
        <w:rPr>
          <w:rFonts w:hint="eastAsia" w:ascii="宋体" w:hAnsi="宋体"/>
          <w:color w:val="auto"/>
          <w:sz w:val="24"/>
        </w:rPr>
        <w:t>0731—</w:t>
      </w:r>
      <w:r>
        <w:rPr>
          <w:rFonts w:hint="eastAsia" w:ascii="宋体" w:hAnsi="宋体"/>
          <w:color w:val="auto"/>
          <w:sz w:val="24"/>
          <w:lang w:val="en-US" w:eastAsia="zh-CN"/>
        </w:rPr>
        <w:t>22777045</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rPr>
        <w:t>联系人：王 津（纪检监督）</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sz w:val="24"/>
        </w:rPr>
      </w:pPr>
      <w:r>
        <w:rPr>
          <w:rFonts w:hint="eastAsia" w:ascii="宋体" w:hAnsi="宋体"/>
          <w:sz w:val="24"/>
        </w:rPr>
        <w:t xml:space="preserve">电话：0731—22780158  </w:t>
      </w:r>
    </w:p>
    <w:p>
      <w:pPr>
        <w:spacing w:line="360" w:lineRule="exact"/>
        <w:ind w:firstLine="480" w:firstLineChars="200"/>
        <w:rPr>
          <w:rFonts w:hint="eastAsia" w:ascii="宋体" w:hAnsi="宋体"/>
          <w:sz w:val="24"/>
        </w:rPr>
      </w:pPr>
    </w:p>
    <w:p>
      <w:pPr>
        <w:pStyle w:val="12"/>
        <w:rPr>
          <w:rFonts w:hint="eastAsia" w:ascii="宋体" w:hAnsi="宋体"/>
          <w:sz w:val="24"/>
        </w:rPr>
      </w:pPr>
    </w:p>
    <w:p>
      <w:pPr>
        <w:pStyle w:val="12"/>
        <w:rPr>
          <w:rFonts w:hint="eastAsia" w:ascii="宋体" w:hAnsi="宋体"/>
          <w:sz w:val="24"/>
        </w:rPr>
      </w:pPr>
    </w:p>
    <w:p>
      <w:pPr>
        <w:pStyle w:val="12"/>
        <w:rPr>
          <w:rFonts w:hint="eastAsia" w:ascii="宋体" w:hAnsi="宋体"/>
          <w:sz w:val="24"/>
        </w:rPr>
      </w:pPr>
    </w:p>
    <w:p>
      <w:pPr>
        <w:pStyle w:val="12"/>
        <w:rPr>
          <w:rFonts w:hint="eastAsia" w:ascii="宋体" w:hAnsi="宋体"/>
          <w:sz w:val="24"/>
        </w:rPr>
      </w:pPr>
    </w:p>
    <w:p>
      <w:pPr>
        <w:pStyle w:val="12"/>
        <w:rPr>
          <w:rFonts w:hint="eastAsia" w:ascii="宋体" w:hAnsi="宋体"/>
          <w:sz w:val="24"/>
        </w:rPr>
      </w:pPr>
    </w:p>
    <w:p>
      <w:pPr>
        <w:pStyle w:val="12"/>
        <w:rPr>
          <w:rFonts w:hint="eastAsia" w:ascii="宋体" w:hAnsi="宋体"/>
          <w:sz w:val="24"/>
        </w:rPr>
      </w:pPr>
    </w:p>
    <w:p>
      <w:pPr>
        <w:pStyle w:val="12"/>
        <w:rPr>
          <w:rFonts w:hint="eastAsia" w:ascii="宋体" w:hAnsi="宋体"/>
          <w:sz w:val="24"/>
        </w:rPr>
      </w:pPr>
    </w:p>
    <w:p>
      <w:pPr>
        <w:pStyle w:val="12"/>
        <w:rPr>
          <w:rFonts w:hint="eastAsia" w:ascii="宋体" w:hAnsi="宋体"/>
          <w:sz w:val="24"/>
        </w:rPr>
      </w:pPr>
    </w:p>
    <w:p>
      <w:pPr>
        <w:pStyle w:val="12"/>
        <w:rPr>
          <w:rFonts w:hint="eastAsia" w:ascii="宋体" w:hAnsi="宋体"/>
          <w:sz w:val="24"/>
        </w:rPr>
      </w:pPr>
    </w:p>
    <w:p>
      <w:pPr>
        <w:pStyle w:val="12"/>
        <w:rPr>
          <w:rFonts w:hint="eastAsia" w:ascii="宋体" w:hAnsi="宋体"/>
          <w:sz w:val="24"/>
        </w:rPr>
      </w:pPr>
    </w:p>
    <w:p>
      <w:pPr>
        <w:pStyle w:val="12"/>
        <w:rPr>
          <w:rFonts w:hint="eastAsia" w:ascii="宋体" w:hAnsi="宋体"/>
          <w:sz w:val="24"/>
        </w:rPr>
      </w:pPr>
    </w:p>
    <w:p>
      <w:pPr>
        <w:pStyle w:val="12"/>
        <w:rPr>
          <w:rFonts w:hint="eastAsia" w:ascii="宋体" w:hAnsi="宋体"/>
          <w:sz w:val="24"/>
        </w:rPr>
      </w:pPr>
    </w:p>
    <w:p>
      <w:pPr>
        <w:pStyle w:val="12"/>
        <w:rPr>
          <w:rFonts w:hint="eastAsia" w:ascii="宋体" w:hAnsi="宋体"/>
          <w:sz w:val="24"/>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pStyle w:val="7"/>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pStyle w:val="12"/>
        <w:rPr>
          <w:rFonts w:hint="eastAsia"/>
        </w:rPr>
      </w:pPr>
    </w:p>
    <w:p>
      <w:pPr>
        <w:spacing w:line="360" w:lineRule="exact"/>
        <w:ind w:firstLine="562" w:firstLineChars="200"/>
        <w:jc w:val="center"/>
        <w:rPr>
          <w:rFonts w:ascii="宋体" w:hAnsi="宋体"/>
          <w:b/>
          <w:sz w:val="28"/>
          <w:szCs w:val="28"/>
        </w:rPr>
      </w:pPr>
      <w:r>
        <w:rPr>
          <w:rFonts w:hint="eastAsia" w:ascii="宋体" w:hAnsi="宋体"/>
          <w:b/>
          <w:sz w:val="28"/>
          <w:szCs w:val="28"/>
        </w:rPr>
        <w:t>第二部分 投标事项说明</w:t>
      </w:r>
    </w:p>
    <w:p>
      <w:pPr>
        <w:spacing w:line="360" w:lineRule="exact"/>
        <w:ind w:firstLine="482" w:firstLineChars="200"/>
        <w:jc w:val="center"/>
        <w:rPr>
          <w:rFonts w:ascii="宋体" w:hAnsi="宋体"/>
          <w:b/>
          <w:sz w:val="24"/>
        </w:rPr>
      </w:pPr>
    </w:p>
    <w:p>
      <w:pPr>
        <w:spacing w:line="360" w:lineRule="exact"/>
        <w:ind w:firstLine="482" w:firstLineChars="200"/>
        <w:jc w:val="center"/>
        <w:rPr>
          <w:rFonts w:ascii="宋体" w:hAnsi="宋体"/>
          <w:b/>
          <w:sz w:val="24"/>
        </w:rPr>
      </w:pPr>
    </w:p>
    <w:p>
      <w:pPr>
        <w:spacing w:line="360" w:lineRule="exact"/>
        <w:rPr>
          <w:rFonts w:ascii="宋体" w:hAnsi="宋体"/>
          <w:b/>
          <w:sz w:val="24"/>
        </w:rPr>
      </w:pPr>
      <w:r>
        <w:rPr>
          <w:rFonts w:hint="eastAsia" w:ascii="宋体" w:hAnsi="宋体"/>
          <w:b/>
          <w:sz w:val="24"/>
        </w:rPr>
        <w:t>一、投标文件应包含以下内容</w:t>
      </w:r>
    </w:p>
    <w:p>
      <w:pPr>
        <w:spacing w:line="360" w:lineRule="exact"/>
        <w:ind w:firstLine="480" w:firstLineChars="200"/>
        <w:rPr>
          <w:rFonts w:ascii="宋体" w:hAnsi="宋体"/>
          <w:sz w:val="24"/>
        </w:rPr>
      </w:pPr>
      <w:r>
        <w:rPr>
          <w:rFonts w:hint="eastAsia" w:ascii="宋体" w:hAnsi="宋体"/>
          <w:sz w:val="24"/>
        </w:rPr>
        <w:t>投标单位应根据招标文件规定的格式要求向招标单位提交投标文件四份（A4幅面，一正三副，并注明正、副本），并按规定密封（并注明“正本”和“副本”）。</w:t>
      </w:r>
    </w:p>
    <w:p>
      <w:pPr>
        <w:spacing w:line="360" w:lineRule="exact"/>
        <w:ind w:firstLine="480" w:firstLineChars="200"/>
        <w:rPr>
          <w:rFonts w:ascii="宋体" w:hAnsi="宋体"/>
          <w:sz w:val="24"/>
        </w:rPr>
      </w:pPr>
      <w:r>
        <w:rPr>
          <w:rFonts w:hint="eastAsia" w:ascii="宋体" w:hAnsi="宋体"/>
          <w:sz w:val="24"/>
        </w:rPr>
        <w:t>1、投标函</w:t>
      </w:r>
    </w:p>
    <w:p>
      <w:pPr>
        <w:spacing w:line="360" w:lineRule="exact"/>
        <w:ind w:firstLine="480" w:firstLineChars="200"/>
        <w:rPr>
          <w:rFonts w:ascii="宋体" w:hAnsi="宋体"/>
          <w:sz w:val="24"/>
        </w:rPr>
      </w:pPr>
      <w:r>
        <w:rPr>
          <w:rFonts w:hint="eastAsia" w:ascii="宋体" w:hAnsi="宋体"/>
          <w:sz w:val="24"/>
        </w:rPr>
        <w:t>2、企业法人资格说明（复印件）</w:t>
      </w:r>
    </w:p>
    <w:p>
      <w:pPr>
        <w:spacing w:line="360" w:lineRule="exact"/>
        <w:ind w:firstLine="480" w:firstLineChars="200"/>
        <w:rPr>
          <w:rFonts w:ascii="宋体" w:hAnsi="宋体"/>
          <w:sz w:val="24"/>
        </w:rPr>
      </w:pPr>
      <w:r>
        <w:rPr>
          <w:rFonts w:hint="eastAsia" w:ascii="宋体" w:hAnsi="宋体"/>
          <w:sz w:val="24"/>
        </w:rPr>
        <w:t>3、企业法人授权委托书</w:t>
      </w:r>
    </w:p>
    <w:p>
      <w:pPr>
        <w:spacing w:line="360" w:lineRule="exact"/>
        <w:ind w:firstLine="480" w:firstLineChars="200"/>
        <w:rPr>
          <w:rFonts w:ascii="宋体" w:hAnsi="宋体"/>
          <w:sz w:val="24"/>
        </w:rPr>
      </w:pPr>
      <w:r>
        <w:rPr>
          <w:rFonts w:hint="eastAsia" w:ascii="宋体" w:hAnsi="宋体"/>
          <w:sz w:val="24"/>
        </w:rPr>
        <w:t>4、投标报价表</w:t>
      </w:r>
    </w:p>
    <w:p>
      <w:pPr>
        <w:spacing w:line="360" w:lineRule="exact"/>
        <w:ind w:firstLine="480" w:firstLineChars="200"/>
        <w:rPr>
          <w:rFonts w:ascii="宋体" w:hAnsi="宋体"/>
          <w:sz w:val="24"/>
        </w:rPr>
      </w:pPr>
      <w:r>
        <w:rPr>
          <w:rFonts w:hint="eastAsia" w:ascii="宋体" w:hAnsi="宋体"/>
          <w:sz w:val="24"/>
        </w:rPr>
        <w:t>5、售后服务承诺</w:t>
      </w:r>
    </w:p>
    <w:p>
      <w:pPr>
        <w:spacing w:line="360" w:lineRule="exact"/>
        <w:ind w:firstLine="480" w:firstLineChars="200"/>
        <w:rPr>
          <w:rFonts w:ascii="宋体" w:hAnsi="宋体"/>
          <w:sz w:val="24"/>
        </w:rPr>
      </w:pPr>
      <w:r>
        <w:rPr>
          <w:rFonts w:hint="eastAsia" w:ascii="宋体" w:hAnsi="宋体"/>
          <w:sz w:val="24"/>
        </w:rPr>
        <w:t>6、公司简介</w:t>
      </w:r>
    </w:p>
    <w:p>
      <w:pPr>
        <w:spacing w:line="360" w:lineRule="exact"/>
        <w:ind w:firstLine="480" w:firstLineChars="200"/>
        <w:rPr>
          <w:rFonts w:ascii="宋体" w:hAnsi="宋体"/>
          <w:sz w:val="24"/>
        </w:rPr>
      </w:pPr>
      <w:r>
        <w:rPr>
          <w:rFonts w:hint="eastAsia" w:ascii="宋体" w:hAnsi="宋体"/>
          <w:sz w:val="24"/>
        </w:rPr>
        <w:t>7、其他需说明的事项</w:t>
      </w:r>
    </w:p>
    <w:p>
      <w:pPr>
        <w:spacing w:line="360" w:lineRule="exact"/>
        <w:ind w:firstLine="480" w:firstLineChars="200"/>
        <w:rPr>
          <w:rFonts w:ascii="宋体" w:hAnsi="宋体"/>
          <w:sz w:val="24"/>
        </w:rPr>
      </w:pPr>
      <w:r>
        <w:rPr>
          <w:rFonts w:hint="eastAsia" w:ascii="宋体" w:hAnsi="宋体"/>
          <w:sz w:val="24"/>
        </w:rPr>
        <w:t>投标标书文本关键处应由对投标单位有法律约束力的代表签字和盖章。标函上应注明项目名称、投标单位的全称、地址和联系电话。投标人必须提供投标资格文件与应具备的条件；投标人的法定地址、注册地点、企业法人和营业执照。</w:t>
      </w:r>
    </w:p>
    <w:p>
      <w:pPr>
        <w:spacing w:line="360" w:lineRule="exact"/>
        <w:rPr>
          <w:rFonts w:ascii="宋体" w:hAnsi="宋体"/>
          <w:b/>
          <w:sz w:val="24"/>
        </w:rPr>
      </w:pPr>
      <w:r>
        <w:rPr>
          <w:rFonts w:hint="eastAsia" w:ascii="宋体" w:hAnsi="宋体"/>
          <w:b/>
          <w:sz w:val="24"/>
        </w:rPr>
        <w:t>二、报价</w:t>
      </w:r>
    </w:p>
    <w:p>
      <w:pPr>
        <w:spacing w:line="360" w:lineRule="exact"/>
        <w:ind w:firstLine="482" w:firstLineChars="200"/>
        <w:rPr>
          <w:rFonts w:ascii="宋体" w:hAnsi="宋体"/>
          <w:b/>
          <w:bCs/>
          <w:color w:val="auto"/>
          <w:sz w:val="24"/>
        </w:rPr>
      </w:pPr>
      <w:r>
        <w:rPr>
          <w:rFonts w:hint="eastAsia" w:ascii="宋体" w:hAnsi="宋体"/>
          <w:b/>
          <w:bCs/>
          <w:color w:val="auto"/>
          <w:sz w:val="24"/>
        </w:rPr>
        <w:t>本投标报价上限值：11</w:t>
      </w:r>
      <w:r>
        <w:rPr>
          <w:rFonts w:hint="eastAsia" w:ascii="宋体" w:hAnsi="宋体"/>
          <w:b/>
          <w:bCs/>
          <w:color w:val="auto"/>
          <w:sz w:val="24"/>
          <w:lang w:val="en-US" w:eastAsia="zh-CN"/>
        </w:rPr>
        <w:t>.</w:t>
      </w:r>
      <w:r>
        <w:rPr>
          <w:rFonts w:hint="eastAsia" w:ascii="宋体" w:hAnsi="宋体"/>
          <w:b/>
          <w:bCs/>
          <w:color w:val="auto"/>
          <w:sz w:val="24"/>
        </w:rPr>
        <w:t>2659万元。</w:t>
      </w:r>
    </w:p>
    <w:p>
      <w:pPr>
        <w:spacing w:line="360" w:lineRule="exact"/>
        <w:ind w:firstLine="480" w:firstLineChars="200"/>
        <w:rPr>
          <w:rFonts w:ascii="宋体" w:hAnsi="宋体"/>
          <w:sz w:val="24"/>
        </w:rPr>
      </w:pPr>
      <w:r>
        <w:rPr>
          <w:rFonts w:hint="eastAsia" w:ascii="宋体" w:hAnsi="宋体"/>
          <w:sz w:val="24"/>
        </w:rPr>
        <w:t>所有报价应以人民币为单位，投标函中的投标报价为第一次报价，谈判后采购双方都能接受的情况下，以最终报价为准。</w:t>
      </w:r>
    </w:p>
    <w:p>
      <w:pPr>
        <w:spacing w:line="360" w:lineRule="exact"/>
        <w:ind w:firstLine="480" w:firstLineChars="200"/>
        <w:rPr>
          <w:rFonts w:ascii="宋体" w:hAnsi="宋体"/>
          <w:sz w:val="24"/>
        </w:rPr>
      </w:pPr>
      <w:r>
        <w:rPr>
          <w:rFonts w:hint="eastAsia" w:ascii="宋体" w:hAnsi="宋体"/>
          <w:sz w:val="24"/>
        </w:rPr>
        <w:t>1、投标报价应按照谈判文件附件的“投标函”格式填报，投标人应在报价表中标明每一个项目单位和总价，当单价与总价有出入时，以单价为准；</w:t>
      </w:r>
    </w:p>
    <w:p>
      <w:pPr>
        <w:spacing w:line="360" w:lineRule="exact"/>
        <w:ind w:firstLine="480" w:firstLineChars="200"/>
        <w:rPr>
          <w:rFonts w:ascii="宋体" w:hAnsi="宋体"/>
          <w:sz w:val="24"/>
        </w:rPr>
      </w:pPr>
      <w:r>
        <w:rPr>
          <w:rFonts w:hint="eastAsia" w:ascii="宋体" w:hAnsi="宋体"/>
          <w:sz w:val="24"/>
        </w:rPr>
        <w:t>2、价必须包括货物（包括所需的货物配置、备品备件、专用工具等）运输安装调式、维护、人工、代理服务费、税费及其相关工作范围内的所有费用；</w:t>
      </w:r>
    </w:p>
    <w:p>
      <w:pPr>
        <w:spacing w:line="360" w:lineRule="exact"/>
        <w:ind w:firstLine="480" w:firstLineChars="200"/>
        <w:rPr>
          <w:rFonts w:ascii="宋体" w:hAnsi="宋体"/>
          <w:sz w:val="24"/>
        </w:rPr>
      </w:pPr>
      <w:r>
        <w:rPr>
          <w:rFonts w:hint="eastAsia" w:ascii="宋体" w:hAnsi="宋体"/>
          <w:sz w:val="24"/>
        </w:rPr>
        <w:t>3、报价应是含税报价，并且投标人所报价在合同执行过程中是固定不变的，不得以任何理由予以变更，采购方不承担价格波动所产生的任何责任；</w:t>
      </w:r>
    </w:p>
    <w:p>
      <w:pPr>
        <w:spacing w:line="360" w:lineRule="exact"/>
        <w:ind w:firstLine="480" w:firstLineChars="200"/>
        <w:rPr>
          <w:rFonts w:ascii="宋体" w:hAnsi="宋体"/>
          <w:sz w:val="24"/>
        </w:rPr>
      </w:pPr>
      <w:r>
        <w:rPr>
          <w:rFonts w:hint="eastAsia" w:ascii="宋体" w:hAnsi="宋体"/>
          <w:sz w:val="24"/>
        </w:rPr>
        <w:t>4、最终成交报价总额应用阿拉伯数字和大写数字两种表示，阿拉伯数字与大写数字有不同的，以大写数字为准；</w:t>
      </w:r>
    </w:p>
    <w:p>
      <w:pPr>
        <w:spacing w:line="360" w:lineRule="exact"/>
        <w:ind w:firstLine="480" w:firstLineChars="200"/>
        <w:rPr>
          <w:rFonts w:ascii="宋体" w:hAnsi="宋体"/>
          <w:sz w:val="24"/>
        </w:rPr>
      </w:pPr>
      <w:r>
        <w:rPr>
          <w:rFonts w:hint="eastAsia" w:ascii="宋体" w:hAnsi="宋体"/>
          <w:sz w:val="24"/>
        </w:rPr>
        <w:t>5、除谈判文件另有规定的，计量单位为我国法定计量单位；</w:t>
      </w:r>
    </w:p>
    <w:p>
      <w:pPr>
        <w:spacing w:line="360" w:lineRule="exact"/>
        <w:ind w:firstLine="480" w:firstLineChars="200"/>
        <w:rPr>
          <w:rFonts w:ascii="宋体" w:hAnsi="宋体"/>
          <w:sz w:val="24"/>
        </w:rPr>
      </w:pPr>
      <w:r>
        <w:rPr>
          <w:rFonts w:hint="eastAsia" w:ascii="宋体" w:hAnsi="宋体"/>
          <w:sz w:val="24"/>
        </w:rPr>
        <w:t>6、投标人提交的投标书以及投标人与买方就有关投标的所有来函电均应使用中文。</w:t>
      </w:r>
    </w:p>
    <w:p>
      <w:pPr>
        <w:spacing w:line="360" w:lineRule="exact"/>
        <w:rPr>
          <w:rFonts w:ascii="宋体" w:hAnsi="宋体"/>
          <w:b/>
          <w:sz w:val="24"/>
        </w:rPr>
      </w:pPr>
      <w:r>
        <w:rPr>
          <w:rFonts w:hint="eastAsia" w:ascii="宋体" w:hAnsi="宋体"/>
          <w:b/>
          <w:sz w:val="24"/>
        </w:rPr>
        <w:t>三、招标文件和投标文件的澄清程序</w:t>
      </w:r>
    </w:p>
    <w:p>
      <w:pPr>
        <w:spacing w:line="360" w:lineRule="exact"/>
        <w:ind w:firstLine="480" w:firstLineChars="200"/>
        <w:rPr>
          <w:rFonts w:ascii="宋体" w:hAnsi="宋体"/>
          <w:sz w:val="24"/>
        </w:rPr>
      </w:pPr>
      <w:r>
        <w:rPr>
          <w:rFonts w:hint="eastAsia" w:ascii="宋体" w:hAnsi="宋体"/>
          <w:sz w:val="24"/>
        </w:rPr>
        <w:t>1、投标人对于招标文件中技术要求方面的质疑，由招标方负责澄清；</w:t>
      </w:r>
    </w:p>
    <w:p>
      <w:pPr>
        <w:spacing w:line="360" w:lineRule="exact"/>
        <w:ind w:firstLine="480" w:firstLineChars="200"/>
        <w:rPr>
          <w:rFonts w:ascii="宋体" w:hAnsi="宋体"/>
          <w:sz w:val="24"/>
        </w:rPr>
      </w:pPr>
      <w:r>
        <w:rPr>
          <w:rFonts w:hint="eastAsia" w:ascii="宋体" w:hAnsi="宋体"/>
          <w:sz w:val="24"/>
        </w:rPr>
        <w:t>2、招标人认为的投标文件中无法判定的内容，投标人予以澄清；</w:t>
      </w:r>
    </w:p>
    <w:p>
      <w:pPr>
        <w:spacing w:line="360" w:lineRule="exact"/>
        <w:rPr>
          <w:rFonts w:ascii="宋体" w:hAnsi="宋体"/>
          <w:b/>
          <w:sz w:val="24"/>
        </w:rPr>
      </w:pPr>
      <w:r>
        <w:rPr>
          <w:rFonts w:hint="eastAsia" w:ascii="宋体" w:hAnsi="宋体"/>
          <w:b/>
          <w:sz w:val="24"/>
        </w:rPr>
        <w:t>四、谈判时间、地点：</w:t>
      </w:r>
    </w:p>
    <w:p>
      <w:pPr>
        <w:spacing w:line="360" w:lineRule="exact"/>
        <w:ind w:firstLine="480" w:firstLineChars="200"/>
        <w:rPr>
          <w:rFonts w:hint="eastAsia" w:ascii="宋体" w:hAnsi="宋体" w:eastAsia="宋体"/>
          <w:sz w:val="24"/>
          <w:lang w:eastAsia="zh-CN"/>
        </w:rPr>
      </w:pPr>
      <w:r>
        <w:rPr>
          <w:rFonts w:hint="eastAsia" w:ascii="宋体" w:hAnsi="宋体"/>
          <w:sz w:val="24"/>
        </w:rPr>
        <w:t>1、时间：</w:t>
      </w:r>
      <w:r>
        <w:rPr>
          <w:rFonts w:hint="eastAsia" w:ascii="宋体" w:hAnsi="宋体" w:cs="宋体"/>
          <w:kern w:val="0"/>
          <w:sz w:val="24"/>
          <w:lang w:eastAsia="zh-CN"/>
        </w:rPr>
        <w:t>2021年</w:t>
      </w:r>
      <w:r>
        <w:rPr>
          <w:rFonts w:hint="eastAsia" w:ascii="宋体" w:hAnsi="宋体" w:cs="宋体"/>
          <w:kern w:val="0"/>
          <w:sz w:val="24"/>
          <w:lang w:val="en-US" w:eastAsia="zh-CN"/>
        </w:rPr>
        <w:t>11</w:t>
      </w:r>
      <w:r>
        <w:rPr>
          <w:rFonts w:hint="eastAsia" w:ascii="宋体" w:hAnsi="宋体" w:cs="宋体"/>
          <w:kern w:val="0"/>
          <w:sz w:val="24"/>
          <w:lang w:eastAsia="zh-CN"/>
        </w:rPr>
        <w:t>月</w:t>
      </w:r>
      <w:r>
        <w:rPr>
          <w:rFonts w:hint="eastAsia" w:ascii="宋体" w:hAnsi="宋体" w:cs="宋体"/>
          <w:kern w:val="0"/>
          <w:sz w:val="24"/>
          <w:lang w:val="en-US" w:eastAsia="zh-CN"/>
        </w:rPr>
        <w:t>25</w:t>
      </w:r>
      <w:r>
        <w:rPr>
          <w:rFonts w:hint="eastAsia" w:ascii="宋体" w:hAnsi="宋体" w:cs="宋体"/>
          <w:kern w:val="0"/>
          <w:sz w:val="24"/>
          <w:lang w:eastAsia="zh-CN"/>
        </w:rPr>
        <w:t>日上午</w:t>
      </w:r>
      <w:r>
        <w:rPr>
          <w:rFonts w:hint="eastAsia" w:ascii="宋体" w:hAnsi="宋体" w:cs="宋体"/>
          <w:kern w:val="0"/>
          <w:sz w:val="24"/>
          <w:lang w:val="en-US" w:eastAsia="zh-CN"/>
        </w:rPr>
        <w:t>9</w:t>
      </w: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0</w:t>
      </w:r>
    </w:p>
    <w:p>
      <w:pPr>
        <w:spacing w:line="360" w:lineRule="exact"/>
        <w:ind w:firstLine="480" w:firstLineChars="200"/>
        <w:rPr>
          <w:rFonts w:ascii="宋体" w:hAnsi="宋体"/>
          <w:sz w:val="24"/>
        </w:rPr>
      </w:pPr>
      <w:r>
        <w:rPr>
          <w:rFonts w:hint="eastAsia" w:ascii="宋体" w:hAnsi="宋体"/>
          <w:sz w:val="24"/>
        </w:rPr>
        <w:t>2、地点：湖南铁路科技职业技术学院 谈判会议室（行政楼401）</w:t>
      </w:r>
    </w:p>
    <w:p>
      <w:pPr>
        <w:spacing w:line="360" w:lineRule="exact"/>
        <w:rPr>
          <w:rFonts w:ascii="宋体" w:hAnsi="宋体"/>
          <w:b/>
          <w:sz w:val="24"/>
        </w:rPr>
      </w:pPr>
      <w:r>
        <w:rPr>
          <w:rFonts w:hint="eastAsia" w:ascii="宋体" w:hAnsi="宋体"/>
          <w:b/>
          <w:sz w:val="24"/>
        </w:rPr>
        <w:t>五、谈判双方：</w:t>
      </w:r>
    </w:p>
    <w:p>
      <w:pPr>
        <w:spacing w:line="360" w:lineRule="exact"/>
        <w:ind w:firstLine="480" w:firstLineChars="200"/>
        <w:rPr>
          <w:rFonts w:ascii="宋体" w:hAnsi="宋体"/>
          <w:sz w:val="24"/>
        </w:rPr>
      </w:pPr>
      <w:r>
        <w:rPr>
          <w:rFonts w:hint="eastAsia" w:ascii="宋体" w:hAnsi="宋体"/>
          <w:sz w:val="24"/>
        </w:rPr>
        <w:t>1、投标供应商</w:t>
      </w:r>
    </w:p>
    <w:p>
      <w:pPr>
        <w:spacing w:line="360" w:lineRule="exact"/>
        <w:ind w:firstLine="480" w:firstLineChars="200"/>
        <w:rPr>
          <w:rFonts w:ascii="宋体" w:hAnsi="宋体"/>
          <w:sz w:val="24"/>
        </w:rPr>
      </w:pPr>
      <w:r>
        <w:rPr>
          <w:rFonts w:hint="eastAsia" w:ascii="宋体" w:hAnsi="宋体"/>
          <w:sz w:val="24"/>
        </w:rPr>
        <w:t>2、由招标单位有关人员组成的谈判小组</w:t>
      </w:r>
    </w:p>
    <w:p>
      <w:pPr>
        <w:spacing w:line="360" w:lineRule="exact"/>
        <w:rPr>
          <w:rFonts w:ascii="宋体" w:hAnsi="宋体"/>
          <w:b/>
          <w:sz w:val="24"/>
        </w:rPr>
      </w:pPr>
      <w:r>
        <w:rPr>
          <w:rFonts w:hint="eastAsia" w:ascii="宋体" w:hAnsi="宋体"/>
          <w:b/>
          <w:sz w:val="24"/>
        </w:rPr>
        <w:t>六、谈判程序：</w:t>
      </w:r>
    </w:p>
    <w:p>
      <w:pPr>
        <w:spacing w:line="360" w:lineRule="exact"/>
        <w:ind w:firstLine="480" w:firstLineChars="200"/>
        <w:rPr>
          <w:rFonts w:ascii="宋体" w:hAnsi="宋体"/>
          <w:sz w:val="24"/>
        </w:rPr>
      </w:pPr>
      <w:r>
        <w:rPr>
          <w:rFonts w:hint="eastAsia" w:ascii="宋体" w:hAnsi="宋体"/>
          <w:sz w:val="24"/>
        </w:rPr>
        <w:t>1、参加谈判的人员应签到以证明其出席；</w:t>
      </w:r>
    </w:p>
    <w:p>
      <w:pPr>
        <w:spacing w:line="360" w:lineRule="exact"/>
        <w:ind w:firstLine="480" w:firstLineChars="200"/>
        <w:rPr>
          <w:rFonts w:ascii="宋体" w:hAnsi="宋体"/>
          <w:sz w:val="24"/>
        </w:rPr>
      </w:pPr>
      <w:r>
        <w:rPr>
          <w:rFonts w:hint="eastAsia" w:ascii="宋体" w:hAnsi="宋体"/>
          <w:sz w:val="24"/>
        </w:rPr>
        <w:t>2、各供应商在谈判会议开始前递交投标文件，投标文件必须密封及加盖公章；</w:t>
      </w:r>
    </w:p>
    <w:p>
      <w:pPr>
        <w:spacing w:line="360" w:lineRule="exact"/>
        <w:ind w:firstLine="480" w:firstLineChars="200"/>
        <w:rPr>
          <w:rFonts w:ascii="宋体" w:hAnsi="宋体"/>
          <w:sz w:val="24"/>
        </w:rPr>
      </w:pPr>
      <w:r>
        <w:rPr>
          <w:rFonts w:hint="eastAsia" w:ascii="宋体" w:hAnsi="宋体"/>
          <w:sz w:val="24"/>
        </w:rPr>
        <w:t>3、谈判小组将按抽签顺序与各供应商分别进行谈判及要求供应商对投标文件有关事项作出解释或澄清；</w:t>
      </w:r>
    </w:p>
    <w:p>
      <w:pPr>
        <w:spacing w:line="360" w:lineRule="exact"/>
        <w:ind w:firstLine="480" w:firstLineChars="200"/>
        <w:rPr>
          <w:rFonts w:ascii="宋体" w:hAnsi="宋体"/>
          <w:sz w:val="24"/>
        </w:rPr>
      </w:pPr>
      <w:r>
        <w:rPr>
          <w:rFonts w:hint="eastAsia" w:ascii="宋体" w:hAnsi="宋体"/>
          <w:sz w:val="24"/>
        </w:rPr>
        <w:t>4、询标结束后，供应商在规定的时间内进行最后报价；</w:t>
      </w:r>
    </w:p>
    <w:p>
      <w:pPr>
        <w:spacing w:line="360" w:lineRule="exact"/>
        <w:ind w:firstLine="480" w:firstLineChars="200"/>
        <w:rPr>
          <w:rFonts w:ascii="宋体" w:hAnsi="宋体"/>
          <w:sz w:val="24"/>
        </w:rPr>
      </w:pPr>
      <w:r>
        <w:rPr>
          <w:rFonts w:hint="eastAsia" w:ascii="宋体" w:hAnsi="宋体"/>
          <w:sz w:val="24"/>
        </w:rPr>
        <w:t>5、宣布谈判结果并确定成交候选供应商。</w:t>
      </w:r>
    </w:p>
    <w:p>
      <w:pPr>
        <w:spacing w:line="360" w:lineRule="exact"/>
        <w:rPr>
          <w:rFonts w:ascii="宋体" w:hAnsi="宋体"/>
          <w:b/>
          <w:sz w:val="24"/>
        </w:rPr>
      </w:pPr>
      <w:r>
        <w:rPr>
          <w:rFonts w:hint="eastAsia" w:ascii="宋体" w:hAnsi="宋体"/>
          <w:b/>
          <w:sz w:val="24"/>
        </w:rPr>
        <w:t>七、供应商有下列情形之一的，中标、成交无效；</w:t>
      </w:r>
    </w:p>
    <w:p>
      <w:pPr>
        <w:spacing w:line="360" w:lineRule="exact"/>
        <w:ind w:firstLine="480" w:firstLineChars="200"/>
        <w:rPr>
          <w:rFonts w:ascii="宋体" w:hAnsi="宋体"/>
          <w:sz w:val="24"/>
        </w:rPr>
      </w:pPr>
      <w:r>
        <w:rPr>
          <w:rFonts w:hint="eastAsia" w:ascii="宋体" w:hAnsi="宋体"/>
          <w:sz w:val="24"/>
        </w:rPr>
        <w:t>1、提供虚假材料谋取中标、成交的；</w:t>
      </w:r>
    </w:p>
    <w:p>
      <w:pPr>
        <w:spacing w:line="360" w:lineRule="exact"/>
        <w:ind w:firstLine="480" w:firstLineChars="200"/>
        <w:rPr>
          <w:rFonts w:ascii="宋体" w:hAnsi="宋体"/>
          <w:sz w:val="24"/>
        </w:rPr>
      </w:pPr>
      <w:r>
        <w:rPr>
          <w:rFonts w:hint="eastAsia" w:ascii="宋体" w:hAnsi="宋体"/>
          <w:sz w:val="24"/>
        </w:rPr>
        <w:t>2、采取不正当手段底毁、排挤其他供应商的；</w:t>
      </w:r>
    </w:p>
    <w:p>
      <w:pPr>
        <w:spacing w:line="360" w:lineRule="exact"/>
        <w:ind w:firstLine="480" w:firstLineChars="200"/>
        <w:rPr>
          <w:rFonts w:ascii="宋体" w:hAnsi="宋体"/>
          <w:sz w:val="24"/>
        </w:rPr>
      </w:pPr>
      <w:r>
        <w:rPr>
          <w:rFonts w:hint="eastAsia" w:ascii="宋体" w:hAnsi="宋体"/>
          <w:sz w:val="24"/>
        </w:rPr>
        <w:t>3、与采购人、其他供应商恶意窜通的；</w:t>
      </w:r>
    </w:p>
    <w:p>
      <w:pPr>
        <w:spacing w:line="360" w:lineRule="exact"/>
        <w:ind w:firstLine="480" w:firstLineChars="200"/>
        <w:rPr>
          <w:rFonts w:ascii="宋体" w:hAnsi="宋体"/>
          <w:sz w:val="24"/>
        </w:rPr>
      </w:pPr>
      <w:r>
        <w:rPr>
          <w:rFonts w:hint="eastAsia" w:ascii="宋体" w:hAnsi="宋体"/>
          <w:sz w:val="24"/>
        </w:rPr>
        <w:t>4、向采购人行贿或者提供其他不正当利益的。</w:t>
      </w:r>
    </w:p>
    <w:p>
      <w:pPr>
        <w:spacing w:line="360" w:lineRule="exact"/>
        <w:rPr>
          <w:rFonts w:ascii="宋体" w:hAnsi="宋体"/>
          <w:b/>
          <w:sz w:val="24"/>
        </w:rPr>
      </w:pPr>
      <w:r>
        <w:rPr>
          <w:rFonts w:hint="eastAsia" w:ascii="宋体" w:hAnsi="宋体"/>
          <w:b/>
          <w:sz w:val="24"/>
        </w:rPr>
        <w:t>八、投标文件属下列情形之一的，按无效投标处理；</w:t>
      </w:r>
    </w:p>
    <w:p>
      <w:pPr>
        <w:spacing w:line="360" w:lineRule="exact"/>
        <w:ind w:firstLine="480" w:firstLineChars="200"/>
        <w:rPr>
          <w:rFonts w:ascii="宋体" w:hAnsi="宋体"/>
          <w:sz w:val="24"/>
        </w:rPr>
      </w:pPr>
      <w:r>
        <w:rPr>
          <w:rFonts w:hint="eastAsia" w:ascii="宋体" w:hAnsi="宋体"/>
          <w:sz w:val="24"/>
        </w:rPr>
        <w:t>1、投标文件未在规定的时间内送达的；</w:t>
      </w:r>
    </w:p>
    <w:p>
      <w:pPr>
        <w:spacing w:line="360" w:lineRule="exact"/>
        <w:ind w:firstLine="480" w:firstLineChars="200"/>
        <w:rPr>
          <w:rFonts w:ascii="宋体" w:hAnsi="宋体"/>
          <w:sz w:val="24"/>
        </w:rPr>
      </w:pPr>
      <w:r>
        <w:rPr>
          <w:rFonts w:hint="eastAsia" w:ascii="宋体" w:hAnsi="宋体"/>
          <w:sz w:val="24"/>
        </w:rPr>
        <w:t>2、未按照谈判文件规定要求密封的、签署、盖章的；</w:t>
      </w:r>
    </w:p>
    <w:p>
      <w:pPr>
        <w:spacing w:line="360" w:lineRule="exact"/>
        <w:ind w:firstLine="480" w:firstLineChars="200"/>
        <w:rPr>
          <w:rFonts w:ascii="宋体" w:hAnsi="宋体"/>
          <w:sz w:val="24"/>
        </w:rPr>
      </w:pPr>
      <w:r>
        <w:rPr>
          <w:rFonts w:hint="eastAsia" w:ascii="宋体" w:hAnsi="宋体"/>
          <w:sz w:val="24"/>
        </w:rPr>
        <w:t>3、不具备谈判文件中规定的其他实质性要求的。</w:t>
      </w:r>
    </w:p>
    <w:p>
      <w:pPr>
        <w:spacing w:line="360" w:lineRule="exact"/>
        <w:rPr>
          <w:rFonts w:ascii="宋体" w:hAnsi="宋体"/>
          <w:b/>
          <w:sz w:val="24"/>
        </w:rPr>
      </w:pPr>
      <w:r>
        <w:rPr>
          <w:rFonts w:hint="eastAsia" w:ascii="宋体" w:hAnsi="宋体"/>
          <w:b/>
          <w:sz w:val="24"/>
        </w:rPr>
        <w:t>九、谈判工作的基本原则</w:t>
      </w:r>
    </w:p>
    <w:p>
      <w:pPr>
        <w:spacing w:line="360" w:lineRule="exact"/>
        <w:ind w:firstLine="480" w:firstLineChars="200"/>
        <w:rPr>
          <w:rFonts w:ascii="宋体" w:hAnsi="宋体"/>
          <w:sz w:val="24"/>
        </w:rPr>
      </w:pPr>
      <w:r>
        <w:rPr>
          <w:rFonts w:hint="eastAsia" w:ascii="宋体" w:hAnsi="宋体"/>
          <w:sz w:val="24"/>
        </w:rPr>
        <w:t>1、遵循国家法律、法规；</w:t>
      </w:r>
    </w:p>
    <w:p>
      <w:pPr>
        <w:spacing w:line="360" w:lineRule="exact"/>
        <w:ind w:firstLine="480" w:firstLineChars="200"/>
        <w:rPr>
          <w:rFonts w:ascii="宋体" w:hAnsi="宋体"/>
          <w:sz w:val="24"/>
        </w:rPr>
      </w:pPr>
      <w:r>
        <w:rPr>
          <w:rFonts w:hint="eastAsia" w:ascii="宋体" w:hAnsi="宋体"/>
          <w:sz w:val="24"/>
        </w:rPr>
        <w:t>2、保护采购方的合法利益；</w:t>
      </w:r>
    </w:p>
    <w:p>
      <w:pPr>
        <w:spacing w:line="360" w:lineRule="exact"/>
        <w:ind w:firstLine="480" w:firstLineChars="200"/>
        <w:rPr>
          <w:rFonts w:ascii="宋体" w:hAnsi="宋体"/>
          <w:sz w:val="24"/>
        </w:rPr>
      </w:pPr>
      <w:r>
        <w:rPr>
          <w:rFonts w:hint="eastAsia" w:ascii="宋体" w:hAnsi="宋体"/>
          <w:sz w:val="24"/>
        </w:rPr>
        <w:t>3、客观、公正对待所有投标人，坚持实事求是、公平竞争的原则；</w:t>
      </w:r>
    </w:p>
    <w:p>
      <w:pPr>
        <w:spacing w:line="360" w:lineRule="exact"/>
        <w:ind w:firstLine="480" w:firstLineChars="200"/>
        <w:rPr>
          <w:rFonts w:hint="eastAsia" w:ascii="宋体" w:hAnsi="宋体"/>
          <w:sz w:val="24"/>
        </w:rPr>
      </w:pPr>
      <w:r>
        <w:rPr>
          <w:rFonts w:hint="eastAsia" w:ascii="宋体" w:hAnsi="宋体"/>
          <w:sz w:val="24"/>
        </w:rPr>
        <w:t>4、以谈判文件作为评定标准的依据，择优定标。</w:t>
      </w:r>
    </w:p>
    <w:p>
      <w:pPr>
        <w:spacing w:line="360" w:lineRule="exact"/>
        <w:rPr>
          <w:rFonts w:ascii="宋体" w:hAnsi="宋体"/>
          <w:b/>
          <w:sz w:val="24"/>
        </w:rPr>
      </w:pPr>
      <w:r>
        <w:rPr>
          <w:rFonts w:hint="eastAsia" w:ascii="宋体" w:hAnsi="宋体"/>
          <w:b/>
          <w:sz w:val="24"/>
        </w:rPr>
        <w:t>十、谈判过程中的保密原则</w:t>
      </w:r>
    </w:p>
    <w:p>
      <w:pPr>
        <w:spacing w:line="360" w:lineRule="exact"/>
        <w:ind w:firstLine="480" w:firstLineChars="200"/>
        <w:rPr>
          <w:rFonts w:ascii="宋体" w:hAnsi="宋体"/>
          <w:sz w:val="24"/>
        </w:rPr>
      </w:pPr>
      <w:r>
        <w:rPr>
          <w:rFonts w:hint="eastAsia" w:ascii="宋体" w:hAnsi="宋体"/>
          <w:sz w:val="24"/>
        </w:rPr>
        <w:t>1、开标后，直到授予中标人合同止，凡涉及审查、评估和比较投标文件以及定标意见等，均不得向投标人及与谈判无关的人员透露；</w:t>
      </w:r>
    </w:p>
    <w:p>
      <w:pPr>
        <w:spacing w:line="360" w:lineRule="exact"/>
        <w:ind w:firstLine="480" w:firstLineChars="200"/>
        <w:rPr>
          <w:rFonts w:ascii="宋体" w:hAnsi="宋体"/>
          <w:sz w:val="24"/>
        </w:rPr>
      </w:pPr>
      <w:r>
        <w:rPr>
          <w:rFonts w:hint="eastAsia" w:ascii="宋体" w:hAnsi="宋体"/>
          <w:sz w:val="24"/>
        </w:rPr>
        <w:t>2、在评标期间，投标方企图影响谈判小组的任何活动，将导致投标被拒绝，并承担相对的法律责任。</w:t>
      </w:r>
    </w:p>
    <w:p>
      <w:pPr>
        <w:widowControl/>
        <w:spacing w:line="320" w:lineRule="exact"/>
        <w:jc w:val="left"/>
        <w:rPr>
          <w:rFonts w:ascii="宋体" w:hAnsi="宋体" w:cs="宋体"/>
          <w:b/>
          <w:kern w:val="0"/>
          <w:sz w:val="20"/>
          <w:szCs w:val="20"/>
        </w:rPr>
      </w:pPr>
      <w:r>
        <w:rPr>
          <w:rFonts w:hint="eastAsia" w:ascii="宋体" w:hAnsi="宋体"/>
          <w:b/>
          <w:sz w:val="24"/>
        </w:rPr>
        <w:t>十一、</w:t>
      </w:r>
      <w:r>
        <w:rPr>
          <w:rFonts w:ascii="宋体" w:hAnsi="宋体" w:cs="宋体"/>
          <w:b/>
          <w:kern w:val="0"/>
          <w:sz w:val="24"/>
        </w:rPr>
        <w:t>开标和评标</w:t>
      </w:r>
    </w:p>
    <w:p>
      <w:pPr>
        <w:widowControl/>
        <w:spacing w:line="320" w:lineRule="exact"/>
        <w:ind w:firstLine="480" w:firstLineChars="200"/>
        <w:jc w:val="left"/>
        <w:rPr>
          <w:rFonts w:hint="eastAsia" w:ascii="宋体" w:hAnsi="宋体" w:cs="宋体"/>
          <w:kern w:val="0"/>
          <w:sz w:val="24"/>
        </w:rPr>
      </w:pPr>
      <w:r>
        <w:rPr>
          <w:rFonts w:ascii="宋体" w:hAnsi="宋体" w:cs="宋体"/>
          <w:kern w:val="0"/>
          <w:sz w:val="24"/>
        </w:rPr>
        <w:t>招标将按《</w:t>
      </w:r>
      <w:r>
        <w:rPr>
          <w:rFonts w:hint="eastAsia" w:ascii="宋体" w:hAnsi="宋体" w:cs="宋体"/>
          <w:kern w:val="0"/>
          <w:sz w:val="24"/>
        </w:rPr>
        <w:t>招标公告</w:t>
      </w:r>
      <w:r>
        <w:rPr>
          <w:rFonts w:ascii="宋体" w:hAnsi="宋体" w:cs="宋体"/>
          <w:kern w:val="0"/>
          <w:sz w:val="24"/>
        </w:rPr>
        <w:t>》中规定的时间和地点组织开标。招标将由</w:t>
      </w:r>
      <w:r>
        <w:rPr>
          <w:rFonts w:hint="eastAsia" w:ascii="宋体" w:hAnsi="宋体" w:cs="宋体"/>
          <w:kern w:val="0"/>
          <w:sz w:val="24"/>
        </w:rPr>
        <w:t>我院</w:t>
      </w:r>
      <w:r>
        <w:rPr>
          <w:rFonts w:ascii="宋体" w:hAnsi="宋体" w:cs="宋体"/>
          <w:kern w:val="0"/>
          <w:sz w:val="24"/>
        </w:rPr>
        <w:t>招</w:t>
      </w:r>
      <w:r>
        <w:rPr>
          <w:rFonts w:hint="eastAsia" w:ascii="宋体" w:hAnsi="宋体" w:cs="宋体"/>
          <w:kern w:val="0"/>
          <w:sz w:val="24"/>
        </w:rPr>
        <w:t>投</w:t>
      </w:r>
      <w:r>
        <w:rPr>
          <w:rFonts w:ascii="宋体" w:hAnsi="宋体" w:cs="宋体"/>
          <w:kern w:val="0"/>
          <w:sz w:val="24"/>
        </w:rPr>
        <w:t>标</w:t>
      </w:r>
      <w:r>
        <w:rPr>
          <w:rFonts w:hint="eastAsia" w:ascii="宋体" w:hAnsi="宋体" w:cs="宋体"/>
          <w:kern w:val="0"/>
          <w:sz w:val="24"/>
        </w:rPr>
        <w:t>小</w:t>
      </w:r>
      <w:r>
        <w:rPr>
          <w:rFonts w:ascii="宋体" w:hAnsi="宋体" w:cs="宋体"/>
          <w:kern w:val="0"/>
          <w:sz w:val="24"/>
        </w:rPr>
        <w:t>组</w:t>
      </w:r>
      <w:r>
        <w:rPr>
          <w:rFonts w:hint="eastAsia" w:ascii="宋体" w:hAnsi="宋体" w:cs="宋体"/>
          <w:kern w:val="0"/>
          <w:sz w:val="24"/>
        </w:rPr>
        <w:t>具体组织</w:t>
      </w:r>
      <w:r>
        <w:rPr>
          <w:rFonts w:ascii="宋体" w:hAnsi="宋体" w:cs="宋体"/>
          <w:kern w:val="0"/>
          <w:sz w:val="24"/>
        </w:rPr>
        <w:t>。</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评标的基础是投标人的资质、质量、报价、服务项目和承诺等。</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对投标文件中疑义或表达不清的内容，招标人有权要求投标人予以澄清。</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合同将授予符合招标文件及</w:t>
      </w:r>
      <w:r>
        <w:rPr>
          <w:rFonts w:hint="eastAsia" w:ascii="宋体" w:hAnsi="宋体" w:cs="宋体"/>
          <w:kern w:val="0"/>
          <w:sz w:val="24"/>
        </w:rPr>
        <w:t>对</w:t>
      </w:r>
      <w:r>
        <w:rPr>
          <w:rFonts w:ascii="宋体" w:hAnsi="宋体" w:cs="宋体"/>
          <w:kern w:val="0"/>
          <w:sz w:val="24"/>
        </w:rPr>
        <w:t>招标人最为有利的投标人。</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招标人有权在签订合同时调整采购数量。</w:t>
      </w:r>
    </w:p>
    <w:p>
      <w:pPr>
        <w:spacing w:line="360" w:lineRule="exact"/>
        <w:rPr>
          <w:rFonts w:ascii="宋体" w:hAnsi="宋体"/>
          <w:b/>
          <w:sz w:val="24"/>
        </w:rPr>
      </w:pPr>
      <w:r>
        <w:rPr>
          <w:rFonts w:hint="eastAsia" w:ascii="宋体" w:hAnsi="宋体"/>
          <w:b/>
          <w:sz w:val="24"/>
        </w:rPr>
        <w:t>十二、其他需要说明的事项</w:t>
      </w:r>
    </w:p>
    <w:p>
      <w:pPr>
        <w:spacing w:line="360" w:lineRule="exact"/>
        <w:ind w:firstLine="480" w:firstLineChars="200"/>
        <w:rPr>
          <w:rFonts w:ascii="宋体" w:hAnsi="宋体"/>
          <w:sz w:val="24"/>
        </w:rPr>
      </w:pPr>
      <w:r>
        <w:rPr>
          <w:rFonts w:hint="eastAsia" w:ascii="宋体" w:hAnsi="宋体"/>
          <w:sz w:val="24"/>
        </w:rPr>
        <w:t>1、投标单位应充分理解文件的全部内容。</w:t>
      </w:r>
    </w:p>
    <w:p>
      <w:pPr>
        <w:spacing w:line="360" w:lineRule="exact"/>
        <w:ind w:firstLine="480" w:firstLineChars="200"/>
        <w:rPr>
          <w:rFonts w:ascii="宋体" w:hAnsi="宋体"/>
          <w:sz w:val="24"/>
        </w:rPr>
      </w:pPr>
      <w:r>
        <w:rPr>
          <w:rFonts w:hint="eastAsia" w:ascii="宋体" w:hAnsi="宋体"/>
          <w:sz w:val="24"/>
        </w:rPr>
        <w:t>2、投标单位不得转让标书。</w:t>
      </w:r>
    </w:p>
    <w:p>
      <w:pPr>
        <w:spacing w:line="360" w:lineRule="exact"/>
        <w:ind w:firstLine="480" w:firstLineChars="200"/>
        <w:rPr>
          <w:rFonts w:ascii="宋体" w:hAnsi="宋体"/>
          <w:sz w:val="24"/>
        </w:rPr>
      </w:pPr>
      <w:r>
        <w:rPr>
          <w:rFonts w:hint="eastAsia" w:ascii="宋体" w:hAnsi="宋体"/>
          <w:sz w:val="24"/>
        </w:rPr>
        <w:t>3、投标单位对招标文件内容的修改或签复投标单位提出的问题，将以招标补充文件的形式书面通知所有投标单位；招标补充文件与招标文件具有同等法律效力。当文件时间、内容有矛盾时，以日期在后的文件为准。</w:t>
      </w:r>
    </w:p>
    <w:p>
      <w:pPr>
        <w:spacing w:line="360" w:lineRule="exact"/>
        <w:ind w:firstLine="480" w:firstLineChars="200"/>
        <w:rPr>
          <w:rFonts w:ascii="宋体" w:hAnsi="宋体"/>
          <w:sz w:val="24"/>
        </w:rPr>
      </w:pPr>
      <w:r>
        <w:rPr>
          <w:rFonts w:hint="eastAsia" w:ascii="宋体" w:hAnsi="宋体"/>
          <w:sz w:val="24"/>
        </w:rPr>
        <w:t>4、投标单位在开标前或开标后要求撤销投标文件，必须提出书面申请并加盖公章。</w:t>
      </w:r>
    </w:p>
    <w:p>
      <w:pPr>
        <w:spacing w:line="360" w:lineRule="exact"/>
        <w:rPr>
          <w:rFonts w:hint="eastAsia" w:ascii="宋体" w:hAnsi="宋体"/>
          <w:b/>
          <w:sz w:val="28"/>
          <w:szCs w:val="28"/>
        </w:rPr>
      </w:pPr>
    </w:p>
    <w:p>
      <w:pPr>
        <w:spacing w:line="360" w:lineRule="exact"/>
        <w:rPr>
          <w:rFonts w:hint="eastAsia" w:ascii="宋体" w:hAnsi="宋体"/>
          <w:b/>
          <w:sz w:val="28"/>
          <w:szCs w:val="28"/>
        </w:rPr>
      </w:pPr>
    </w:p>
    <w:p>
      <w:pPr>
        <w:spacing w:line="360" w:lineRule="exact"/>
        <w:rPr>
          <w:rFonts w:hint="eastAsia" w:ascii="宋体" w:hAnsi="宋体"/>
          <w:b/>
          <w:sz w:val="28"/>
          <w:szCs w:val="28"/>
        </w:rPr>
      </w:pPr>
    </w:p>
    <w:p>
      <w:pPr>
        <w:spacing w:line="360" w:lineRule="exact"/>
        <w:rPr>
          <w:rFonts w:hint="eastAsia" w:ascii="宋体" w:hAnsi="宋体"/>
          <w:b/>
          <w:sz w:val="28"/>
          <w:szCs w:val="28"/>
        </w:rPr>
      </w:pPr>
    </w:p>
    <w:p>
      <w:pPr>
        <w:spacing w:line="360" w:lineRule="exact"/>
        <w:rPr>
          <w:rFonts w:hint="eastAsia" w:ascii="宋体" w:hAnsi="宋体"/>
          <w:b/>
          <w:sz w:val="28"/>
          <w:szCs w:val="28"/>
        </w:rPr>
      </w:pPr>
    </w:p>
    <w:p>
      <w:pPr>
        <w:spacing w:line="360" w:lineRule="exact"/>
        <w:rPr>
          <w:rFonts w:hint="eastAsia" w:ascii="宋体" w:hAnsi="宋体"/>
          <w:b/>
          <w:sz w:val="28"/>
          <w:szCs w:val="28"/>
        </w:rPr>
      </w:pPr>
    </w:p>
    <w:p>
      <w:pPr>
        <w:pStyle w:val="12"/>
        <w:rPr>
          <w:rFonts w:hint="eastAsia" w:ascii="宋体" w:hAnsi="宋体" w:eastAsia="宋体"/>
          <w:b/>
          <w:sz w:val="28"/>
          <w:szCs w:val="28"/>
        </w:rPr>
      </w:pPr>
    </w:p>
    <w:p>
      <w:pPr>
        <w:pStyle w:val="12"/>
        <w:rPr>
          <w:rFonts w:hint="eastAsia" w:ascii="宋体" w:hAnsi="宋体" w:eastAsia="宋体"/>
          <w:b/>
          <w:sz w:val="28"/>
          <w:szCs w:val="28"/>
        </w:rPr>
      </w:pPr>
    </w:p>
    <w:p>
      <w:pPr>
        <w:pStyle w:val="12"/>
        <w:rPr>
          <w:rFonts w:hint="eastAsia" w:ascii="宋体" w:hAnsi="宋体" w:eastAsia="宋体"/>
          <w:b/>
          <w:sz w:val="28"/>
          <w:szCs w:val="28"/>
        </w:rPr>
      </w:pPr>
    </w:p>
    <w:p>
      <w:pPr>
        <w:pStyle w:val="12"/>
        <w:rPr>
          <w:rFonts w:hint="eastAsia" w:ascii="宋体" w:hAnsi="宋体" w:eastAsia="宋体"/>
          <w:b/>
          <w:sz w:val="28"/>
          <w:szCs w:val="28"/>
        </w:rPr>
      </w:pPr>
    </w:p>
    <w:p>
      <w:pPr>
        <w:pStyle w:val="12"/>
        <w:rPr>
          <w:rFonts w:hint="eastAsia" w:ascii="宋体" w:hAnsi="宋体" w:eastAsia="宋体"/>
          <w:b/>
          <w:sz w:val="28"/>
          <w:szCs w:val="28"/>
        </w:rPr>
      </w:pPr>
    </w:p>
    <w:p>
      <w:pPr>
        <w:pStyle w:val="12"/>
        <w:rPr>
          <w:rFonts w:hint="eastAsia" w:ascii="宋体" w:hAnsi="宋体" w:eastAsia="宋体"/>
          <w:b/>
          <w:sz w:val="28"/>
          <w:szCs w:val="28"/>
        </w:rPr>
      </w:pPr>
    </w:p>
    <w:p>
      <w:pPr>
        <w:pStyle w:val="12"/>
        <w:rPr>
          <w:rFonts w:hint="eastAsia" w:ascii="宋体" w:hAnsi="宋体" w:eastAsia="宋体"/>
          <w:b/>
          <w:sz w:val="28"/>
          <w:szCs w:val="28"/>
        </w:rPr>
      </w:pPr>
    </w:p>
    <w:p>
      <w:pPr>
        <w:pStyle w:val="12"/>
        <w:rPr>
          <w:rFonts w:hint="eastAsia" w:ascii="宋体" w:hAnsi="宋体" w:eastAsia="宋体"/>
          <w:b/>
          <w:sz w:val="28"/>
          <w:szCs w:val="28"/>
        </w:rPr>
      </w:pPr>
    </w:p>
    <w:p>
      <w:pPr>
        <w:pStyle w:val="12"/>
        <w:rPr>
          <w:rFonts w:hint="eastAsia" w:ascii="宋体" w:hAnsi="宋体" w:eastAsia="宋体"/>
          <w:b/>
          <w:sz w:val="28"/>
          <w:szCs w:val="28"/>
        </w:rPr>
      </w:pPr>
    </w:p>
    <w:p>
      <w:pPr>
        <w:pStyle w:val="12"/>
        <w:rPr>
          <w:rFonts w:hint="eastAsia" w:ascii="宋体" w:hAnsi="宋体" w:eastAsia="宋体"/>
          <w:b/>
          <w:sz w:val="28"/>
          <w:szCs w:val="28"/>
        </w:rPr>
      </w:pPr>
    </w:p>
    <w:p>
      <w:pPr>
        <w:spacing w:line="360" w:lineRule="exact"/>
        <w:rPr>
          <w:rFonts w:hint="eastAsia" w:ascii="宋体" w:hAnsi="宋体"/>
          <w:b/>
          <w:sz w:val="28"/>
          <w:szCs w:val="28"/>
        </w:rPr>
      </w:pPr>
    </w:p>
    <w:p>
      <w:pPr>
        <w:pStyle w:val="12"/>
        <w:rPr>
          <w:rFonts w:hint="eastAsia" w:ascii="宋体" w:hAnsi="宋体"/>
          <w:b/>
          <w:sz w:val="28"/>
          <w:szCs w:val="28"/>
        </w:rPr>
      </w:pPr>
    </w:p>
    <w:p>
      <w:pPr>
        <w:pStyle w:val="12"/>
        <w:rPr>
          <w:rFonts w:hint="eastAsia" w:ascii="宋体" w:hAnsi="宋体"/>
          <w:b/>
          <w:sz w:val="28"/>
          <w:szCs w:val="28"/>
        </w:rPr>
      </w:pPr>
    </w:p>
    <w:p>
      <w:pPr>
        <w:pStyle w:val="12"/>
        <w:rPr>
          <w:rFonts w:hint="eastAsia" w:ascii="宋体" w:hAnsi="宋体"/>
          <w:b/>
          <w:sz w:val="28"/>
          <w:szCs w:val="28"/>
        </w:rPr>
      </w:pPr>
    </w:p>
    <w:p>
      <w:pPr>
        <w:pStyle w:val="12"/>
        <w:rPr>
          <w:rFonts w:hint="eastAsia" w:ascii="宋体" w:hAnsi="宋体"/>
          <w:b/>
          <w:sz w:val="28"/>
          <w:szCs w:val="28"/>
        </w:rPr>
      </w:pPr>
    </w:p>
    <w:p>
      <w:pPr>
        <w:pStyle w:val="12"/>
        <w:rPr>
          <w:rFonts w:hint="eastAsia" w:ascii="宋体" w:hAnsi="宋体"/>
          <w:b/>
          <w:sz w:val="28"/>
          <w:szCs w:val="28"/>
        </w:rPr>
      </w:pPr>
    </w:p>
    <w:p>
      <w:pPr>
        <w:pStyle w:val="12"/>
        <w:rPr>
          <w:rFonts w:hint="eastAsia" w:ascii="宋体" w:hAnsi="宋体"/>
          <w:b/>
          <w:sz w:val="28"/>
          <w:szCs w:val="28"/>
        </w:rPr>
      </w:pPr>
    </w:p>
    <w:p>
      <w:pPr>
        <w:pStyle w:val="12"/>
        <w:numPr>
          <w:ilvl w:val="0"/>
          <w:numId w:val="1"/>
        </w:numPr>
        <w:jc w:val="center"/>
        <w:rPr>
          <w:rFonts w:hint="eastAsia" w:ascii="宋体" w:hAnsi="宋体"/>
          <w:b/>
          <w:sz w:val="28"/>
          <w:szCs w:val="28"/>
        </w:rPr>
      </w:pPr>
      <w:r>
        <w:rPr>
          <w:rFonts w:hint="eastAsia" w:ascii="宋体" w:hAnsi="宋体"/>
          <w:b/>
          <w:sz w:val="28"/>
          <w:szCs w:val="28"/>
          <w:lang w:eastAsia="zh-CN"/>
        </w:rPr>
        <w:t>省级铁道车辆教学资源库《铁道车辆制动检修》课程资源</w:t>
      </w:r>
      <w:r>
        <w:rPr>
          <w:rFonts w:hint="eastAsia" w:ascii="宋体" w:hAnsi="宋体"/>
          <w:b/>
          <w:sz w:val="28"/>
          <w:szCs w:val="28"/>
        </w:rPr>
        <w:t>参数要求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750"/>
        <w:gridCol w:w="2555"/>
        <w:gridCol w:w="137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0" w:type="dxa"/>
            <w:noWrap w:val="0"/>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1750" w:type="dxa"/>
            <w:noWrap w:val="0"/>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名称</w:t>
            </w:r>
          </w:p>
        </w:tc>
        <w:tc>
          <w:tcPr>
            <w:tcW w:w="2555" w:type="dxa"/>
            <w:noWrap w:val="0"/>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内容及知识点</w:t>
            </w:r>
          </w:p>
        </w:tc>
        <w:tc>
          <w:tcPr>
            <w:tcW w:w="1370" w:type="dxa"/>
            <w:noWrap w:val="0"/>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类别</w:t>
            </w:r>
          </w:p>
        </w:tc>
        <w:tc>
          <w:tcPr>
            <w:tcW w:w="1300" w:type="dxa"/>
            <w:noWrap w:val="0"/>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时间预计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40" w:type="dxa"/>
            <w:noWrap w:val="0"/>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75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高度调整阀</w:t>
            </w:r>
          </w:p>
        </w:tc>
        <w:tc>
          <w:tcPr>
            <w:tcW w:w="2555" w:type="dxa"/>
            <w:noWrap w:val="0"/>
            <w:vAlign w:val="center"/>
          </w:tcPr>
          <w:p>
            <w:pPr>
              <w:jc w:val="center"/>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结构识别、原理演示</w:t>
            </w:r>
          </w:p>
        </w:tc>
        <w:tc>
          <w:tcPr>
            <w:tcW w:w="137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三维动画</w:t>
            </w:r>
          </w:p>
          <w:p>
            <w:pPr>
              <w:jc w:val="center"/>
              <w:rPr>
                <w:rFonts w:hint="eastAsia" w:ascii="仿宋" w:hAnsi="仿宋" w:eastAsia="仿宋" w:cs="仿宋"/>
                <w:color w:val="auto"/>
                <w:sz w:val="24"/>
                <w:szCs w:val="24"/>
                <w:vertAlign w:val="baseline"/>
              </w:rPr>
            </w:pPr>
          </w:p>
        </w:tc>
        <w:tc>
          <w:tcPr>
            <w:tcW w:w="130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180秒</w:t>
            </w:r>
          </w:p>
          <w:p>
            <w:pPr>
              <w:jc w:val="center"/>
              <w:rPr>
                <w:rFonts w:hint="eastAsia" w:ascii="仿宋" w:hAnsi="仿宋" w:eastAsia="仿宋" w:cs="仿宋"/>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0" w:type="dxa"/>
            <w:noWrap w:val="0"/>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75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高度调整阀</w:t>
            </w:r>
          </w:p>
        </w:tc>
        <w:tc>
          <w:tcPr>
            <w:tcW w:w="2555" w:type="dxa"/>
            <w:noWrap w:val="0"/>
            <w:vAlign w:val="center"/>
          </w:tcPr>
          <w:p>
            <w:pPr>
              <w:jc w:val="center"/>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原理演示</w:t>
            </w:r>
          </w:p>
        </w:tc>
        <w:tc>
          <w:tcPr>
            <w:tcW w:w="137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二维动画</w:t>
            </w:r>
          </w:p>
          <w:p>
            <w:pPr>
              <w:jc w:val="center"/>
              <w:rPr>
                <w:rFonts w:hint="eastAsia" w:ascii="仿宋" w:hAnsi="仿宋" w:eastAsia="仿宋" w:cs="仿宋"/>
                <w:color w:val="auto"/>
                <w:sz w:val="24"/>
                <w:szCs w:val="24"/>
                <w:vertAlign w:val="baseline"/>
              </w:rPr>
            </w:pPr>
          </w:p>
        </w:tc>
        <w:tc>
          <w:tcPr>
            <w:tcW w:w="130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180秒</w:t>
            </w:r>
          </w:p>
          <w:p>
            <w:pPr>
              <w:jc w:val="center"/>
              <w:rPr>
                <w:rFonts w:hint="eastAsia" w:ascii="仿宋" w:hAnsi="仿宋" w:eastAsia="仿宋" w:cs="仿宋"/>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0" w:type="dxa"/>
            <w:noWrap w:val="0"/>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75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差压阀</w:t>
            </w:r>
          </w:p>
          <w:p>
            <w:pPr>
              <w:jc w:val="center"/>
              <w:rPr>
                <w:rFonts w:hint="eastAsia" w:ascii="仿宋" w:hAnsi="仿宋" w:eastAsia="仿宋" w:cs="仿宋"/>
                <w:color w:val="auto"/>
                <w:sz w:val="24"/>
                <w:szCs w:val="24"/>
                <w:vertAlign w:val="baseline"/>
              </w:rPr>
            </w:pPr>
          </w:p>
        </w:tc>
        <w:tc>
          <w:tcPr>
            <w:tcW w:w="2555" w:type="dxa"/>
            <w:noWrap w:val="0"/>
            <w:vAlign w:val="center"/>
          </w:tcPr>
          <w:p>
            <w:pPr>
              <w:jc w:val="center"/>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结构识别、原理演示</w:t>
            </w:r>
          </w:p>
        </w:tc>
        <w:tc>
          <w:tcPr>
            <w:tcW w:w="137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三维动画</w:t>
            </w:r>
          </w:p>
          <w:p>
            <w:pPr>
              <w:jc w:val="center"/>
              <w:rPr>
                <w:rFonts w:hint="eastAsia" w:ascii="仿宋" w:hAnsi="仿宋" w:eastAsia="仿宋" w:cs="仿宋"/>
                <w:color w:val="auto"/>
                <w:sz w:val="24"/>
                <w:szCs w:val="24"/>
                <w:vertAlign w:val="baseline"/>
              </w:rPr>
            </w:pPr>
          </w:p>
        </w:tc>
        <w:tc>
          <w:tcPr>
            <w:tcW w:w="130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90秒</w:t>
            </w:r>
          </w:p>
          <w:p>
            <w:pPr>
              <w:jc w:val="center"/>
              <w:rPr>
                <w:rFonts w:hint="eastAsia" w:ascii="仿宋" w:hAnsi="仿宋" w:eastAsia="仿宋" w:cs="仿宋"/>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0" w:type="dxa"/>
            <w:noWrap w:val="0"/>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75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差压阀</w:t>
            </w:r>
          </w:p>
          <w:p>
            <w:pPr>
              <w:jc w:val="center"/>
              <w:rPr>
                <w:rFonts w:hint="eastAsia" w:ascii="仿宋" w:hAnsi="仿宋" w:eastAsia="仿宋" w:cs="仿宋"/>
                <w:color w:val="auto"/>
                <w:sz w:val="24"/>
                <w:szCs w:val="24"/>
                <w:vertAlign w:val="baseline"/>
              </w:rPr>
            </w:pPr>
          </w:p>
        </w:tc>
        <w:tc>
          <w:tcPr>
            <w:tcW w:w="2555" w:type="dxa"/>
            <w:noWrap w:val="0"/>
            <w:vAlign w:val="center"/>
          </w:tcPr>
          <w:p>
            <w:pPr>
              <w:jc w:val="center"/>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原理演示</w:t>
            </w:r>
          </w:p>
        </w:tc>
        <w:tc>
          <w:tcPr>
            <w:tcW w:w="137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二维动画</w:t>
            </w:r>
          </w:p>
          <w:p>
            <w:pPr>
              <w:jc w:val="center"/>
              <w:rPr>
                <w:rFonts w:hint="eastAsia" w:ascii="仿宋" w:hAnsi="仿宋" w:eastAsia="仿宋" w:cs="仿宋"/>
                <w:color w:val="auto"/>
                <w:sz w:val="24"/>
                <w:szCs w:val="24"/>
                <w:vertAlign w:val="baseline"/>
              </w:rPr>
            </w:pPr>
          </w:p>
        </w:tc>
        <w:tc>
          <w:tcPr>
            <w:tcW w:w="130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90秒</w:t>
            </w:r>
          </w:p>
          <w:p>
            <w:pPr>
              <w:jc w:val="center"/>
              <w:rPr>
                <w:rFonts w:hint="eastAsia" w:ascii="仿宋" w:hAnsi="仿宋" w:eastAsia="仿宋" w:cs="仿宋"/>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0" w:type="dxa"/>
            <w:noWrap w:val="0"/>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175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MT-3缓冲器</w:t>
            </w:r>
          </w:p>
          <w:p>
            <w:pPr>
              <w:jc w:val="center"/>
              <w:rPr>
                <w:rFonts w:hint="eastAsia" w:ascii="仿宋" w:hAnsi="仿宋" w:eastAsia="仿宋" w:cs="仿宋"/>
                <w:color w:val="auto"/>
                <w:sz w:val="24"/>
                <w:szCs w:val="24"/>
                <w:vertAlign w:val="baseline"/>
              </w:rPr>
            </w:pPr>
          </w:p>
        </w:tc>
        <w:tc>
          <w:tcPr>
            <w:tcW w:w="2555"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结构识别及原理演示</w:t>
            </w:r>
          </w:p>
          <w:p>
            <w:pPr>
              <w:jc w:val="center"/>
              <w:rPr>
                <w:rFonts w:hint="eastAsia" w:ascii="仿宋" w:hAnsi="仿宋" w:eastAsia="仿宋" w:cs="仿宋"/>
                <w:color w:val="auto"/>
                <w:sz w:val="24"/>
                <w:szCs w:val="24"/>
                <w:vertAlign w:val="baseline"/>
              </w:rPr>
            </w:pPr>
          </w:p>
        </w:tc>
        <w:tc>
          <w:tcPr>
            <w:tcW w:w="137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三维动画</w:t>
            </w:r>
          </w:p>
          <w:p>
            <w:pPr>
              <w:jc w:val="center"/>
              <w:rPr>
                <w:rFonts w:hint="eastAsia" w:ascii="仿宋" w:hAnsi="仿宋" w:eastAsia="仿宋" w:cs="仿宋"/>
                <w:color w:val="auto"/>
                <w:sz w:val="24"/>
                <w:szCs w:val="24"/>
                <w:vertAlign w:val="baseline"/>
              </w:rPr>
            </w:pPr>
          </w:p>
        </w:tc>
        <w:tc>
          <w:tcPr>
            <w:tcW w:w="130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180秒</w:t>
            </w:r>
          </w:p>
          <w:p>
            <w:pPr>
              <w:jc w:val="center"/>
              <w:rPr>
                <w:rFonts w:hint="eastAsia" w:ascii="仿宋" w:hAnsi="仿宋" w:eastAsia="仿宋" w:cs="仿宋"/>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0" w:type="dxa"/>
            <w:noWrap w:val="0"/>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c>
          <w:tcPr>
            <w:tcW w:w="175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C-A型传感阀</w:t>
            </w:r>
          </w:p>
        </w:tc>
        <w:tc>
          <w:tcPr>
            <w:tcW w:w="2555"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更换作业、结构识别、原理演示</w:t>
            </w:r>
          </w:p>
        </w:tc>
        <w:tc>
          <w:tcPr>
            <w:tcW w:w="137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三维动画</w:t>
            </w:r>
          </w:p>
          <w:p>
            <w:pPr>
              <w:jc w:val="center"/>
              <w:rPr>
                <w:rFonts w:hint="eastAsia" w:ascii="仿宋" w:hAnsi="仿宋" w:eastAsia="仿宋" w:cs="仿宋"/>
                <w:color w:val="auto"/>
                <w:sz w:val="24"/>
                <w:szCs w:val="24"/>
                <w:vertAlign w:val="baseline"/>
              </w:rPr>
            </w:pPr>
          </w:p>
        </w:tc>
        <w:tc>
          <w:tcPr>
            <w:tcW w:w="130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180秒</w:t>
            </w:r>
          </w:p>
          <w:p>
            <w:pPr>
              <w:jc w:val="center"/>
              <w:rPr>
                <w:rFonts w:hint="eastAsia" w:ascii="仿宋" w:hAnsi="仿宋" w:eastAsia="仿宋" w:cs="仿宋"/>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0" w:type="dxa"/>
            <w:noWrap w:val="0"/>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w:t>
            </w:r>
          </w:p>
        </w:tc>
        <w:tc>
          <w:tcPr>
            <w:tcW w:w="175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C-A型传感阀</w:t>
            </w:r>
          </w:p>
        </w:tc>
        <w:tc>
          <w:tcPr>
            <w:tcW w:w="2555"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原理演示</w:t>
            </w:r>
          </w:p>
        </w:tc>
        <w:tc>
          <w:tcPr>
            <w:tcW w:w="137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二维动画</w:t>
            </w:r>
          </w:p>
          <w:p>
            <w:pPr>
              <w:jc w:val="center"/>
              <w:rPr>
                <w:rFonts w:hint="eastAsia" w:ascii="仿宋" w:hAnsi="仿宋" w:eastAsia="仿宋" w:cs="仿宋"/>
                <w:color w:val="auto"/>
                <w:sz w:val="24"/>
                <w:szCs w:val="24"/>
                <w:vertAlign w:val="baseline"/>
              </w:rPr>
            </w:pPr>
          </w:p>
        </w:tc>
        <w:tc>
          <w:tcPr>
            <w:tcW w:w="130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60秒</w:t>
            </w:r>
          </w:p>
          <w:p>
            <w:pPr>
              <w:jc w:val="center"/>
              <w:rPr>
                <w:rFonts w:hint="eastAsia" w:ascii="仿宋" w:hAnsi="仿宋" w:eastAsia="仿宋" w:cs="仿宋"/>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0" w:type="dxa"/>
            <w:noWrap w:val="0"/>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w:t>
            </w:r>
          </w:p>
        </w:tc>
        <w:tc>
          <w:tcPr>
            <w:tcW w:w="175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X-A型限压阀</w:t>
            </w:r>
          </w:p>
        </w:tc>
        <w:tc>
          <w:tcPr>
            <w:tcW w:w="2555"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更换作业、结构识别、原理演示</w:t>
            </w:r>
          </w:p>
        </w:tc>
        <w:tc>
          <w:tcPr>
            <w:tcW w:w="137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三维动画</w:t>
            </w:r>
          </w:p>
          <w:p>
            <w:pPr>
              <w:jc w:val="center"/>
              <w:rPr>
                <w:rFonts w:hint="eastAsia" w:ascii="仿宋" w:hAnsi="仿宋" w:eastAsia="仿宋" w:cs="仿宋"/>
                <w:color w:val="auto"/>
                <w:sz w:val="24"/>
                <w:szCs w:val="24"/>
                <w:vertAlign w:val="baseline"/>
              </w:rPr>
            </w:pPr>
          </w:p>
        </w:tc>
        <w:tc>
          <w:tcPr>
            <w:tcW w:w="130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180秒</w:t>
            </w:r>
          </w:p>
          <w:p>
            <w:pPr>
              <w:jc w:val="center"/>
              <w:rPr>
                <w:rFonts w:hint="eastAsia" w:ascii="仿宋" w:hAnsi="仿宋" w:eastAsia="仿宋" w:cs="仿宋"/>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0" w:type="dxa"/>
            <w:noWrap w:val="0"/>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w:t>
            </w:r>
          </w:p>
        </w:tc>
        <w:tc>
          <w:tcPr>
            <w:tcW w:w="175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X-A 型限压阀</w:t>
            </w:r>
          </w:p>
        </w:tc>
        <w:tc>
          <w:tcPr>
            <w:tcW w:w="2555"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原理演示</w:t>
            </w:r>
          </w:p>
        </w:tc>
        <w:tc>
          <w:tcPr>
            <w:tcW w:w="137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二维动画</w:t>
            </w:r>
          </w:p>
          <w:p>
            <w:pPr>
              <w:jc w:val="center"/>
              <w:rPr>
                <w:rFonts w:hint="eastAsia" w:ascii="仿宋" w:hAnsi="仿宋" w:eastAsia="仿宋" w:cs="仿宋"/>
                <w:color w:val="auto"/>
                <w:sz w:val="24"/>
                <w:szCs w:val="24"/>
                <w:vertAlign w:val="baseline"/>
              </w:rPr>
            </w:pPr>
          </w:p>
        </w:tc>
        <w:tc>
          <w:tcPr>
            <w:tcW w:w="130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60秒</w:t>
            </w:r>
          </w:p>
          <w:p>
            <w:pPr>
              <w:jc w:val="center"/>
              <w:rPr>
                <w:rFonts w:hint="eastAsia" w:ascii="仿宋" w:hAnsi="仿宋" w:eastAsia="仿宋" w:cs="仿宋"/>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0" w:type="dxa"/>
            <w:noWrap w:val="0"/>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w:t>
            </w:r>
          </w:p>
        </w:tc>
        <w:tc>
          <w:tcPr>
            <w:tcW w:w="175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单元制动缸</w:t>
            </w:r>
          </w:p>
          <w:p>
            <w:pPr>
              <w:jc w:val="center"/>
              <w:rPr>
                <w:rFonts w:hint="eastAsia" w:ascii="仿宋" w:hAnsi="仿宋" w:eastAsia="仿宋" w:cs="仿宋"/>
                <w:color w:val="auto"/>
                <w:sz w:val="24"/>
                <w:szCs w:val="24"/>
                <w:vertAlign w:val="baseline"/>
              </w:rPr>
            </w:pPr>
          </w:p>
        </w:tc>
        <w:tc>
          <w:tcPr>
            <w:tcW w:w="2555"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结构识别及原理演示</w:t>
            </w:r>
          </w:p>
          <w:p>
            <w:pPr>
              <w:jc w:val="center"/>
              <w:rPr>
                <w:rFonts w:hint="eastAsia" w:ascii="仿宋" w:hAnsi="仿宋" w:eastAsia="仿宋" w:cs="仿宋"/>
                <w:color w:val="auto"/>
                <w:sz w:val="24"/>
                <w:szCs w:val="24"/>
                <w:vertAlign w:val="baseline"/>
              </w:rPr>
            </w:pPr>
          </w:p>
        </w:tc>
        <w:tc>
          <w:tcPr>
            <w:tcW w:w="137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三维动画</w:t>
            </w:r>
          </w:p>
          <w:p>
            <w:pPr>
              <w:jc w:val="center"/>
              <w:rPr>
                <w:rFonts w:hint="eastAsia" w:ascii="仿宋" w:hAnsi="仿宋" w:eastAsia="仿宋" w:cs="仿宋"/>
                <w:color w:val="auto"/>
                <w:sz w:val="24"/>
                <w:szCs w:val="24"/>
                <w:vertAlign w:val="baseline"/>
              </w:rPr>
            </w:pPr>
          </w:p>
        </w:tc>
        <w:tc>
          <w:tcPr>
            <w:tcW w:w="130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90秒</w:t>
            </w:r>
          </w:p>
          <w:p>
            <w:pPr>
              <w:jc w:val="center"/>
              <w:rPr>
                <w:rFonts w:hint="eastAsia" w:ascii="仿宋" w:hAnsi="仿宋" w:eastAsia="仿宋" w:cs="仿宋"/>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40" w:type="dxa"/>
            <w:noWrap w:val="0"/>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11</w:t>
            </w:r>
          </w:p>
        </w:tc>
        <w:tc>
          <w:tcPr>
            <w:tcW w:w="175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盘型制动</w:t>
            </w:r>
          </w:p>
          <w:p>
            <w:pPr>
              <w:jc w:val="center"/>
              <w:rPr>
                <w:rFonts w:hint="eastAsia" w:ascii="仿宋" w:hAnsi="仿宋" w:eastAsia="仿宋" w:cs="仿宋"/>
                <w:color w:val="auto"/>
                <w:sz w:val="24"/>
                <w:szCs w:val="24"/>
                <w:vertAlign w:val="baseline"/>
              </w:rPr>
            </w:pPr>
          </w:p>
        </w:tc>
        <w:tc>
          <w:tcPr>
            <w:tcW w:w="2555"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结构识别及原理演示</w:t>
            </w:r>
          </w:p>
          <w:p>
            <w:pPr>
              <w:jc w:val="center"/>
              <w:rPr>
                <w:rFonts w:hint="eastAsia" w:ascii="仿宋" w:hAnsi="仿宋" w:eastAsia="仿宋" w:cs="仿宋"/>
                <w:color w:val="auto"/>
                <w:sz w:val="24"/>
                <w:szCs w:val="24"/>
                <w:vertAlign w:val="baseline"/>
              </w:rPr>
            </w:pPr>
          </w:p>
        </w:tc>
        <w:tc>
          <w:tcPr>
            <w:tcW w:w="137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三维动画</w:t>
            </w:r>
          </w:p>
          <w:p>
            <w:pPr>
              <w:jc w:val="center"/>
              <w:rPr>
                <w:rFonts w:hint="eastAsia" w:ascii="仿宋" w:hAnsi="仿宋" w:eastAsia="仿宋" w:cs="仿宋"/>
                <w:color w:val="auto"/>
                <w:sz w:val="24"/>
                <w:szCs w:val="24"/>
                <w:vertAlign w:val="baseline"/>
              </w:rPr>
            </w:pPr>
          </w:p>
        </w:tc>
        <w:tc>
          <w:tcPr>
            <w:tcW w:w="1300" w:type="dxa"/>
            <w:noWrap w:val="0"/>
            <w:vAlign w:val="center"/>
          </w:tcPr>
          <w:p>
            <w:pPr>
              <w:pStyle w:val="6"/>
              <w:keepNext w:val="0"/>
              <w:keepLines w:val="0"/>
              <w:widowControl/>
              <w:suppressLineNumbers w:val="0"/>
              <w:spacing w:before="0" w:beforeAutospacing="0" w:after="0" w:afterAutospacing="0"/>
              <w:ind w:left="0" w:righ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120秒</w:t>
            </w:r>
          </w:p>
          <w:p>
            <w:pPr>
              <w:jc w:val="center"/>
              <w:rPr>
                <w:rFonts w:hint="eastAsia" w:ascii="仿宋" w:hAnsi="仿宋" w:eastAsia="仿宋" w:cs="仿宋"/>
                <w:color w:val="auto"/>
                <w:sz w:val="24"/>
                <w:szCs w:val="24"/>
                <w:vertAlign w:val="baseline"/>
              </w:rPr>
            </w:pPr>
          </w:p>
        </w:tc>
      </w:tr>
    </w:tbl>
    <w:p>
      <w:pPr>
        <w:pStyle w:val="2"/>
        <w:spacing w:line="360" w:lineRule="auto"/>
        <w:ind w:left="0" w:leftChars="0" w:firstLine="0" w:firstLineChars="0"/>
        <w:jc w:val="left"/>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动画视频质量要求：</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9" w:leftChars="228"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1.视频</w:t>
      </w:r>
      <w:r>
        <w:rPr>
          <w:rFonts w:hint="eastAsia" w:ascii="仿宋" w:hAnsi="仿宋" w:eastAsia="仿宋" w:cs="仿宋"/>
          <w:color w:val="auto"/>
          <w:kern w:val="0"/>
          <w:sz w:val="24"/>
          <w:szCs w:val="24"/>
          <w:lang w:val="en-US" w:eastAsia="zh-CN"/>
        </w:rPr>
        <w:t>3D动画的</w:t>
      </w:r>
      <w:r>
        <w:rPr>
          <w:rFonts w:hint="eastAsia" w:ascii="仿宋" w:hAnsi="仿宋" w:eastAsia="仿宋" w:cs="仿宋"/>
          <w:color w:val="auto"/>
          <w:kern w:val="0"/>
          <w:sz w:val="24"/>
          <w:szCs w:val="24"/>
        </w:rPr>
        <w:t>作品为</w:t>
      </w:r>
      <w:r>
        <w:rPr>
          <w:rFonts w:hint="eastAsia" w:ascii="仿宋" w:hAnsi="仿宋" w:eastAsia="仿宋" w:cs="仿宋"/>
          <w:color w:val="auto"/>
          <w:sz w:val="24"/>
          <w:szCs w:val="24"/>
          <w:lang w:val="en-US" w:eastAsia="zh-CN"/>
        </w:rPr>
        <w:t>MP4</w:t>
      </w:r>
      <w:r>
        <w:rPr>
          <w:rFonts w:hint="eastAsia" w:ascii="仿宋" w:hAnsi="仿宋" w:eastAsia="仿宋" w:cs="仿宋"/>
          <w:color w:val="auto"/>
          <w:sz w:val="24"/>
          <w:szCs w:val="24"/>
        </w:rPr>
        <w:t>格式。</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9" w:leftChars="228"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输出的作品要求画面清晰，分辨率至少为</w:t>
      </w:r>
      <w:bookmarkStart w:id="0" w:name="OLE_LINK79"/>
      <w:bookmarkStart w:id="1" w:name="OLE_LINK78"/>
      <w:r>
        <w:rPr>
          <w:rFonts w:hint="eastAsia" w:ascii="仿宋" w:hAnsi="仿宋" w:eastAsia="仿宋" w:cs="仿宋"/>
          <w:color w:val="auto"/>
          <w:kern w:val="0"/>
          <w:sz w:val="24"/>
          <w:szCs w:val="24"/>
        </w:rPr>
        <w:t>1920x1080（1080p）</w:t>
      </w:r>
      <w:bookmarkEnd w:id="0"/>
      <w:bookmarkEnd w:id="1"/>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eastAsia="zh-CN"/>
        </w:rPr>
        <w:t>视频</w:t>
      </w:r>
      <w:r>
        <w:rPr>
          <w:rFonts w:hint="eastAsia" w:ascii="仿宋" w:hAnsi="仿宋" w:eastAsia="仿宋" w:cs="仿宋"/>
          <w:color w:val="auto"/>
          <w:kern w:val="0"/>
          <w:sz w:val="24"/>
          <w:szCs w:val="24"/>
        </w:rPr>
        <w:t>比特率不低于2400kB/s，音频比特率尽量不低于128kB/秒。</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9" w:leftChars="228"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动画画面清晰，</w:t>
      </w:r>
      <w:r>
        <w:rPr>
          <w:rFonts w:hint="eastAsia" w:ascii="仿宋" w:hAnsi="仿宋" w:eastAsia="仿宋" w:cs="仿宋"/>
          <w:color w:val="auto"/>
          <w:kern w:val="0"/>
          <w:sz w:val="24"/>
          <w:szCs w:val="24"/>
          <w:lang w:eastAsia="zh-CN"/>
        </w:rPr>
        <w:t>与配音同步；</w:t>
      </w:r>
      <w:r>
        <w:rPr>
          <w:rFonts w:hint="eastAsia" w:ascii="仿宋" w:hAnsi="仿宋" w:eastAsia="仿宋" w:cs="仿宋"/>
          <w:color w:val="auto"/>
          <w:kern w:val="0"/>
          <w:sz w:val="24"/>
          <w:szCs w:val="24"/>
          <w:lang w:val="en-US" w:eastAsia="zh-CN"/>
        </w:rPr>
        <w:t>2D动画尽量采用矢量图形，</w:t>
      </w:r>
      <w:r>
        <w:rPr>
          <w:rFonts w:hint="eastAsia" w:ascii="仿宋" w:hAnsi="仿宋" w:eastAsia="仿宋" w:cs="仿宋"/>
          <w:color w:val="auto"/>
          <w:kern w:val="0"/>
          <w:sz w:val="24"/>
          <w:szCs w:val="24"/>
        </w:rPr>
        <w:t>3D动画建模要符合比例和实际情况。</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9" w:leftChars="228" w:firstLine="480" w:firstLineChars="200"/>
        <w:jc w:val="left"/>
        <w:textAlignment w:val="auto"/>
        <w:outlineLvl w:val="9"/>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4.动画的实现须流畅、合理、图像清晰，具有较强的可视性。</w:t>
      </w:r>
    </w:p>
    <w:p>
      <w:pPr>
        <w:pStyle w:val="2"/>
        <w:spacing w:line="360" w:lineRule="auto"/>
        <w:ind w:left="0" w:leftChars="0" w:firstLine="0" w:firstLineChars="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甲方提供资料：</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9" w:leftChars="228" w:firstLine="480" w:firstLineChars="200"/>
        <w:jc w:val="left"/>
        <w:textAlignment w:val="auto"/>
        <w:outlineLvl w:val="9"/>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所有建模对象的结构图纸及原理资料。</w:t>
      </w:r>
    </w:p>
    <w:p>
      <w:pPr>
        <w:jc w:val="center"/>
        <w:rPr>
          <w:rFonts w:hint="eastAsia" w:cs="宋体"/>
          <w:b/>
          <w:bCs/>
          <w:sz w:val="28"/>
          <w:szCs w:val="28"/>
          <w:lang w:val="en-US" w:eastAsia="zh-CN"/>
        </w:rPr>
      </w:pPr>
    </w:p>
    <w:p>
      <w:pPr>
        <w:pStyle w:val="7"/>
        <w:ind w:left="0" w:leftChars="0" w:firstLine="0" w:firstLineChars="0"/>
        <w:rPr>
          <w:rFonts w:hint="eastAsia" w:cs="宋体"/>
          <w:b/>
          <w:bCs/>
          <w:sz w:val="28"/>
          <w:szCs w:val="28"/>
          <w:lang w:val="en-US" w:eastAsia="zh-CN"/>
        </w:rPr>
      </w:pPr>
    </w:p>
    <w:p>
      <w:pPr>
        <w:pStyle w:val="7"/>
        <w:ind w:left="0" w:leftChars="0" w:firstLine="0" w:firstLine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980F"/>
    <w:multiLevelType w:val="singleLevel"/>
    <w:tmpl w:val="6F6B980F"/>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B3206"/>
    <w:rsid w:val="05D83373"/>
    <w:rsid w:val="069B084D"/>
    <w:rsid w:val="081159CD"/>
    <w:rsid w:val="086848D0"/>
    <w:rsid w:val="0DB619D9"/>
    <w:rsid w:val="0E2C07EE"/>
    <w:rsid w:val="0EA51E1B"/>
    <w:rsid w:val="0FE41D82"/>
    <w:rsid w:val="11CB3BF4"/>
    <w:rsid w:val="13607195"/>
    <w:rsid w:val="15F75671"/>
    <w:rsid w:val="185F38AF"/>
    <w:rsid w:val="19C43F71"/>
    <w:rsid w:val="1AD1696E"/>
    <w:rsid w:val="1C1B0AB0"/>
    <w:rsid w:val="263B3206"/>
    <w:rsid w:val="35AE39D8"/>
    <w:rsid w:val="3625439C"/>
    <w:rsid w:val="363638C5"/>
    <w:rsid w:val="37927224"/>
    <w:rsid w:val="38991C1C"/>
    <w:rsid w:val="3BB41C2D"/>
    <w:rsid w:val="3DF3347D"/>
    <w:rsid w:val="4598562E"/>
    <w:rsid w:val="4615312F"/>
    <w:rsid w:val="47321F30"/>
    <w:rsid w:val="47BE44DC"/>
    <w:rsid w:val="49BF3F3F"/>
    <w:rsid w:val="4B5107C1"/>
    <w:rsid w:val="5015709C"/>
    <w:rsid w:val="50B5319F"/>
    <w:rsid w:val="517B256D"/>
    <w:rsid w:val="57332CD9"/>
    <w:rsid w:val="58516A21"/>
    <w:rsid w:val="59BE5ED8"/>
    <w:rsid w:val="59E449B6"/>
    <w:rsid w:val="5CE61C19"/>
    <w:rsid w:val="609B4BAB"/>
    <w:rsid w:val="620455FC"/>
    <w:rsid w:val="649B26E2"/>
    <w:rsid w:val="69B63AC3"/>
    <w:rsid w:val="6A2B46EE"/>
    <w:rsid w:val="71F43857"/>
    <w:rsid w:val="727413A5"/>
    <w:rsid w:val="76E56A93"/>
    <w:rsid w:val="77B96F52"/>
    <w:rsid w:val="79614293"/>
    <w:rsid w:val="79FB2A92"/>
    <w:rsid w:val="7C570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330" w:lineRule="exact"/>
      <w:ind w:firstLine="412" w:firstLineChars="196"/>
    </w:pPr>
    <w:rPr>
      <w:rFonts w:ascii="宋体" w:hAnsi="宋体"/>
      <w:szCs w:val="18"/>
    </w:rPr>
  </w:style>
  <w:style w:type="paragraph" w:styleId="4">
    <w:name w:val="Body Text"/>
    <w:basedOn w:val="1"/>
    <w:next w:val="1"/>
    <w:qFormat/>
    <w:uiPriority w:val="0"/>
    <w:pPr>
      <w:spacing w:afterLines="0" w:afterAutospacing="0"/>
    </w:pPr>
    <w:rPr>
      <w:rFonts w:ascii="Times New Roman" w:hAnsi="Times New Roman" w:eastAsia="宋体"/>
      <w:sz w:val="24"/>
      <w:szCs w:val="24"/>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4"/>
    <w:next w:val="1"/>
    <w:qFormat/>
    <w:uiPriority w:val="99"/>
    <w:pPr>
      <w:ind w:firstLine="420" w:firstLineChars="100"/>
    </w:pPr>
    <w:rPr>
      <w:rFonts w:ascii="微软雅黑" w:hAnsi="微软雅黑" w:eastAsia="微软雅黑" w:cs="微软雅黑"/>
      <w:szCs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15"/>
    <w:basedOn w:val="10"/>
    <w:qFormat/>
    <w:uiPriority w:val="0"/>
    <w:rPr>
      <w:rFonts w:hint="eastAsia" w:ascii="等线" w:hAnsi="等线" w:eastAsia="等线"/>
      <w:color w:val="000000"/>
      <w:sz w:val="22"/>
      <w:szCs w:val="22"/>
    </w:rPr>
  </w:style>
  <w:style w:type="paragraph" w:customStyle="1" w:styleId="1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3">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2019-12-08T14:16:00Z</dcterms:created>
  <dc:creator>Administrator</dc:creator>
  <cp:lastModifiedBy>李佳 </cp:lastModifiedBy>
  <cp:lastPrinted>2021-11-17T01:19:00Z</cp:lastPrinted>
  <dcterms:modified xsi:type="dcterms:W3CDTF">2021-11-18T08:52:10Z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302816678CC9403095DEB172D7AD917F</vt:lpwstr>
  </property>
</Properties>
</file>