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p>
    <w:p>
      <w:pPr>
        <w:spacing w:line="600" w:lineRule="auto"/>
        <w:jc w:val="center"/>
        <w:rPr>
          <w:b/>
          <w:spacing w:val="40"/>
          <w:sz w:val="52"/>
          <w:szCs w:val="52"/>
        </w:rPr>
      </w:pPr>
      <w:r>
        <w:rPr>
          <w:rFonts w:hint="eastAsia"/>
          <w:b/>
          <w:spacing w:val="40"/>
          <w:sz w:val="52"/>
          <w:szCs w:val="52"/>
        </w:rPr>
        <w:t>湖南铁路科技职业技术学院</w:t>
      </w:r>
    </w:p>
    <w:p>
      <w:pPr>
        <w:spacing w:line="600" w:lineRule="auto"/>
        <w:jc w:val="center"/>
        <w:rPr>
          <w:rFonts w:hint="eastAsia" w:ascii="宋体" w:hAnsi="宋体" w:eastAsia="仿宋_GB2312"/>
          <w:b/>
          <w:sz w:val="30"/>
          <w:szCs w:val="30"/>
        </w:rPr>
      </w:pPr>
    </w:p>
    <w:p>
      <w:pPr>
        <w:spacing w:line="600" w:lineRule="auto"/>
        <w:jc w:val="center"/>
        <w:rPr>
          <w:rFonts w:hint="eastAsia" w:ascii="宋体" w:hAnsi="宋体" w:eastAsia="仿宋_GB2312"/>
          <w:b/>
          <w:sz w:val="30"/>
          <w:szCs w:val="30"/>
          <w:lang w:val="en-US" w:eastAsia="zh-CN"/>
        </w:rPr>
      </w:pPr>
      <w:r>
        <w:rPr>
          <w:rFonts w:hint="eastAsia" w:ascii="宋体" w:hAnsi="宋体" w:eastAsia="仿宋_GB2312"/>
          <w:b/>
          <w:sz w:val="30"/>
          <w:szCs w:val="30"/>
          <w:lang w:val="en-US" w:eastAsia="zh-CN"/>
        </w:rPr>
        <w:t>等级证书（1+X）实训考核设备项目</w:t>
      </w:r>
    </w:p>
    <w:p>
      <w:pPr>
        <w:pStyle w:val="10"/>
        <w:rPr>
          <w:rFonts w:hint="eastAsia"/>
          <w:sz w:val="72"/>
          <w:szCs w:val="72"/>
        </w:rPr>
      </w:pPr>
    </w:p>
    <w:p>
      <w:pPr>
        <w:spacing w:line="600" w:lineRule="auto"/>
        <w:ind w:firstLine="2880" w:firstLineChars="400"/>
        <w:rPr>
          <w:sz w:val="72"/>
          <w:szCs w:val="72"/>
        </w:rPr>
      </w:pPr>
      <w:r>
        <w:rPr>
          <w:rFonts w:hint="eastAsia"/>
          <w:sz w:val="72"/>
          <w:szCs w:val="72"/>
        </w:rPr>
        <w:t>招标文件</w:t>
      </w:r>
    </w:p>
    <w:p>
      <w:pPr>
        <w:spacing w:line="600" w:lineRule="auto"/>
        <w:ind w:firstLine="560" w:firstLineChars="200"/>
        <w:rPr>
          <w:sz w:val="28"/>
          <w:szCs w:val="28"/>
        </w:rPr>
      </w:pPr>
    </w:p>
    <w:p>
      <w:pPr>
        <w:pStyle w:val="10"/>
        <w:rPr>
          <w:sz w:val="28"/>
          <w:szCs w:val="28"/>
        </w:rPr>
      </w:pPr>
    </w:p>
    <w:p>
      <w:pPr>
        <w:pStyle w:val="10"/>
        <w:rPr>
          <w:sz w:val="28"/>
          <w:szCs w:val="28"/>
        </w:rPr>
      </w:pPr>
    </w:p>
    <w:p>
      <w:pPr>
        <w:pStyle w:val="10"/>
        <w:rPr>
          <w:sz w:val="28"/>
          <w:szCs w:val="28"/>
        </w:rPr>
      </w:pPr>
    </w:p>
    <w:p>
      <w:pPr>
        <w:spacing w:line="600" w:lineRule="auto"/>
        <w:ind w:firstLine="562" w:firstLineChars="200"/>
        <w:jc w:val="center"/>
        <w:rPr>
          <w:b/>
          <w:sz w:val="28"/>
          <w:szCs w:val="28"/>
        </w:rPr>
      </w:pPr>
      <w:r>
        <w:rPr>
          <w:rFonts w:hint="eastAsia"/>
          <w:b/>
          <w:sz w:val="28"/>
          <w:szCs w:val="28"/>
        </w:rPr>
        <w:t>招标单位：湖南铁路科技职业技术学院（印章）</w:t>
      </w:r>
    </w:p>
    <w:p>
      <w:pPr>
        <w:spacing w:line="600" w:lineRule="auto"/>
        <w:ind w:firstLine="3373" w:firstLineChars="1200"/>
        <w:jc w:val="both"/>
        <w:rPr>
          <w:b/>
          <w:sz w:val="28"/>
          <w:szCs w:val="28"/>
        </w:rPr>
      </w:pPr>
      <w:r>
        <w:rPr>
          <w:rFonts w:hint="eastAsia"/>
          <w:b/>
          <w:sz w:val="28"/>
          <w:szCs w:val="28"/>
        </w:rPr>
        <w:t>二O二一年</w:t>
      </w:r>
      <w:r>
        <w:rPr>
          <w:rFonts w:hint="eastAsia"/>
          <w:b/>
          <w:sz w:val="28"/>
          <w:szCs w:val="28"/>
          <w:lang w:eastAsia="zh-CN"/>
        </w:rPr>
        <w:t>十一</w:t>
      </w:r>
      <w:r>
        <w:rPr>
          <w:rFonts w:hint="eastAsia"/>
          <w:b/>
          <w:sz w:val="28"/>
          <w:szCs w:val="28"/>
        </w:rPr>
        <w:t>月</w:t>
      </w:r>
    </w:p>
    <w:p>
      <w:pPr>
        <w:spacing w:line="360" w:lineRule="exact"/>
        <w:ind w:firstLine="562" w:firstLineChars="200"/>
        <w:jc w:val="center"/>
        <w:rPr>
          <w:rFonts w:ascii="宋体" w:hAnsi="宋体"/>
          <w:b/>
          <w:sz w:val="28"/>
          <w:szCs w:val="28"/>
        </w:rPr>
        <w:sectPr>
          <w:headerReference r:id="rId5" w:type="default"/>
          <w:pgSz w:w="11906" w:h="16838"/>
          <w:pgMar w:top="1701" w:right="1797" w:bottom="1440" w:left="1797" w:header="851" w:footer="992" w:gutter="0"/>
          <w:cols w:space="720" w:num="1"/>
          <w:docGrid w:type="lines" w:linePitch="312" w:charSpace="0"/>
        </w:sectPr>
      </w:pPr>
    </w:p>
    <w:p>
      <w:pPr>
        <w:spacing w:line="360" w:lineRule="exact"/>
        <w:ind w:firstLine="562" w:firstLineChars="200"/>
        <w:jc w:val="center"/>
        <w:rPr>
          <w:rFonts w:ascii="宋体" w:hAnsi="宋体"/>
          <w:b/>
          <w:sz w:val="28"/>
          <w:szCs w:val="28"/>
        </w:rPr>
      </w:pPr>
      <w:r>
        <w:rPr>
          <w:rFonts w:hint="eastAsia" w:ascii="宋体" w:hAnsi="宋体"/>
          <w:b/>
          <w:sz w:val="28"/>
          <w:szCs w:val="28"/>
        </w:rPr>
        <w:t>第一部分   投标须知</w:t>
      </w:r>
    </w:p>
    <w:p>
      <w:pPr>
        <w:spacing w:line="360" w:lineRule="exact"/>
        <w:ind w:firstLine="482" w:firstLineChars="200"/>
        <w:jc w:val="center"/>
        <w:rPr>
          <w:rFonts w:ascii="宋体" w:hAnsi="宋体"/>
          <w:b/>
          <w:sz w:val="24"/>
        </w:rPr>
      </w:pPr>
    </w:p>
    <w:p>
      <w:pPr>
        <w:spacing w:line="360" w:lineRule="exact"/>
        <w:ind w:firstLine="482" w:firstLineChars="200"/>
        <w:jc w:val="center"/>
        <w:rPr>
          <w:rFonts w:ascii="宋体" w:hAnsi="宋体"/>
          <w:b/>
          <w:sz w:val="24"/>
        </w:rPr>
      </w:pPr>
    </w:p>
    <w:p>
      <w:pPr>
        <w:spacing w:line="360" w:lineRule="exact"/>
        <w:ind w:firstLine="480" w:firstLineChars="200"/>
        <w:rPr>
          <w:rFonts w:hint="eastAsia" w:ascii="宋体" w:hAnsi="宋体"/>
          <w:sz w:val="24"/>
        </w:rPr>
      </w:pPr>
      <w:bookmarkStart w:id="0" w:name="_GoBack"/>
      <w:r>
        <w:rPr>
          <w:rFonts w:hint="eastAsia" w:ascii="宋体" w:hAnsi="宋体"/>
          <w:sz w:val="24"/>
        </w:rPr>
        <w:t>我院将对</w:t>
      </w:r>
      <w:r>
        <w:rPr>
          <w:rFonts w:hint="eastAsia" w:ascii="宋体" w:hAnsi="宋体"/>
          <w:sz w:val="24"/>
          <w:lang w:eastAsia="zh-CN"/>
        </w:rPr>
        <w:t>等级证书（1+X）实训考核设备项目</w:t>
      </w:r>
      <w:r>
        <w:rPr>
          <w:rFonts w:hint="eastAsia" w:ascii="宋体" w:hAnsi="宋体"/>
          <w:sz w:val="24"/>
        </w:rPr>
        <w:t>进行招标,特邀请具备相关资质的商家前来洽谈。</w:t>
      </w:r>
    </w:p>
    <w:p>
      <w:pPr>
        <w:spacing w:line="360" w:lineRule="exact"/>
        <w:rPr>
          <w:rFonts w:ascii="宋体" w:hAnsi="宋体"/>
          <w:b/>
          <w:sz w:val="24"/>
        </w:rPr>
      </w:pPr>
      <w:r>
        <w:rPr>
          <w:rFonts w:hint="eastAsia" w:ascii="宋体" w:hAnsi="宋体"/>
          <w:b/>
          <w:sz w:val="24"/>
        </w:rPr>
        <w:t>一、项目概述</w:t>
      </w:r>
    </w:p>
    <w:p>
      <w:pPr>
        <w:spacing w:line="360" w:lineRule="exact"/>
        <w:ind w:firstLine="480" w:firstLineChars="200"/>
        <w:rPr>
          <w:rFonts w:hint="eastAsia" w:ascii="宋体" w:hAnsi="宋体" w:eastAsia="宋体"/>
          <w:bCs/>
          <w:sz w:val="24"/>
          <w:lang w:eastAsia="zh-CN"/>
        </w:rPr>
      </w:pPr>
      <w:r>
        <w:rPr>
          <w:rFonts w:hint="eastAsia" w:ascii="宋体" w:hAnsi="宋体"/>
          <w:sz w:val="24"/>
        </w:rPr>
        <w:t>1、项目名称：</w:t>
      </w:r>
      <w:r>
        <w:rPr>
          <w:rFonts w:hint="eastAsia" w:ascii="宋体" w:hAnsi="宋体"/>
          <w:bCs/>
          <w:sz w:val="24"/>
          <w:lang w:eastAsia="zh-CN"/>
        </w:rPr>
        <w:t>等级证书（1+X）实训考核设备项目</w:t>
      </w:r>
    </w:p>
    <w:p>
      <w:pPr>
        <w:spacing w:line="360" w:lineRule="exact"/>
        <w:ind w:firstLine="480" w:firstLineChars="200"/>
        <w:rPr>
          <w:rFonts w:ascii="宋体" w:hAnsi="宋体"/>
          <w:color w:val="auto"/>
          <w:sz w:val="24"/>
        </w:rPr>
      </w:pPr>
      <w:r>
        <w:rPr>
          <w:rFonts w:hint="eastAsia" w:ascii="宋体" w:hAnsi="宋体"/>
          <w:color w:val="auto"/>
          <w:sz w:val="24"/>
        </w:rPr>
        <w:t>2、招标预算资金：</w:t>
      </w:r>
      <w:r>
        <w:rPr>
          <w:rFonts w:hint="eastAsia" w:ascii="宋体" w:hAnsi="宋体"/>
          <w:color w:val="auto"/>
          <w:sz w:val="24"/>
          <w:lang w:eastAsia="zh-CN"/>
        </w:rPr>
        <w:t>壹</w:t>
      </w:r>
      <w:r>
        <w:rPr>
          <w:rFonts w:hint="eastAsia" w:ascii="宋体" w:hAnsi="宋体"/>
          <w:color w:val="auto"/>
          <w:sz w:val="24"/>
        </w:rPr>
        <w:t>拾</w:t>
      </w:r>
      <w:r>
        <w:rPr>
          <w:rFonts w:hint="eastAsia" w:ascii="宋体" w:hAnsi="宋体"/>
          <w:color w:val="auto"/>
          <w:sz w:val="24"/>
          <w:lang w:eastAsia="zh-CN"/>
        </w:rPr>
        <w:t>玖</w:t>
      </w:r>
      <w:r>
        <w:rPr>
          <w:rFonts w:hint="eastAsia" w:ascii="宋体" w:hAnsi="宋体"/>
          <w:color w:val="auto"/>
          <w:sz w:val="24"/>
        </w:rPr>
        <w:t>万元（￥：</w:t>
      </w:r>
      <w:r>
        <w:rPr>
          <w:rFonts w:hint="eastAsia" w:ascii="宋体" w:hAnsi="宋体"/>
          <w:color w:val="auto"/>
          <w:sz w:val="24"/>
          <w:lang w:val="en-US" w:eastAsia="zh-CN"/>
        </w:rPr>
        <w:t>19</w:t>
      </w:r>
      <w:r>
        <w:rPr>
          <w:rFonts w:hint="eastAsia" w:ascii="宋体" w:hAnsi="宋体"/>
          <w:color w:val="auto"/>
          <w:sz w:val="24"/>
        </w:rPr>
        <w:t>0000元）</w:t>
      </w:r>
    </w:p>
    <w:p>
      <w:pPr>
        <w:spacing w:line="360" w:lineRule="exact"/>
        <w:ind w:firstLine="480" w:firstLineChars="200"/>
        <w:rPr>
          <w:rFonts w:ascii="宋体" w:hAnsi="宋体"/>
          <w:sz w:val="24"/>
        </w:rPr>
      </w:pPr>
      <w:r>
        <w:rPr>
          <w:rFonts w:hint="eastAsia" w:ascii="宋体" w:hAnsi="宋体"/>
          <w:sz w:val="24"/>
        </w:rPr>
        <w:t>3、招标的要求：见第三部分技术项目的说明</w:t>
      </w:r>
    </w:p>
    <w:p>
      <w:pPr>
        <w:spacing w:line="360" w:lineRule="exact"/>
        <w:ind w:firstLine="480" w:firstLineChars="200"/>
        <w:rPr>
          <w:rFonts w:ascii="宋体" w:hAnsi="宋体"/>
          <w:sz w:val="24"/>
        </w:rPr>
      </w:pPr>
      <w:r>
        <w:rPr>
          <w:rFonts w:hint="eastAsia" w:ascii="宋体" w:hAnsi="宋体"/>
          <w:sz w:val="24"/>
        </w:rPr>
        <w:t>4、采购数量：见第三部分技术项目的说明</w:t>
      </w:r>
    </w:p>
    <w:p>
      <w:pPr>
        <w:spacing w:line="360" w:lineRule="exact"/>
        <w:ind w:firstLine="480" w:firstLineChars="200"/>
        <w:rPr>
          <w:rFonts w:hint="eastAsia" w:ascii="宋体" w:hAnsi="宋体"/>
          <w:color w:val="FF0000"/>
          <w:sz w:val="24"/>
        </w:rPr>
      </w:pPr>
      <w:r>
        <w:rPr>
          <w:rFonts w:hint="eastAsia" w:ascii="宋体" w:hAnsi="宋体"/>
          <w:sz w:val="24"/>
        </w:rPr>
        <w:t>5、完成时间：2021年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5</w:t>
      </w:r>
      <w:r>
        <w:rPr>
          <w:rFonts w:hint="eastAsia" w:ascii="宋体" w:hAnsi="宋体"/>
          <w:sz w:val="24"/>
        </w:rPr>
        <w:t>日前</w:t>
      </w:r>
    </w:p>
    <w:p>
      <w:pPr>
        <w:spacing w:line="360" w:lineRule="exact"/>
        <w:ind w:firstLine="480" w:firstLineChars="200"/>
        <w:rPr>
          <w:rFonts w:hint="eastAsia" w:ascii="宋体" w:hAnsi="宋体"/>
          <w:sz w:val="24"/>
        </w:rPr>
      </w:pPr>
      <w:r>
        <w:rPr>
          <w:rFonts w:hint="eastAsia" w:ascii="宋体" w:hAnsi="宋体"/>
          <w:sz w:val="24"/>
        </w:rPr>
        <w:t xml:space="preserve">6、供货地点：湖南铁路科技职业技术学院 </w:t>
      </w:r>
    </w:p>
    <w:p>
      <w:pPr>
        <w:spacing w:line="360" w:lineRule="exact"/>
        <w:ind w:firstLine="482" w:firstLineChars="200"/>
        <w:rPr>
          <w:rFonts w:ascii="宋体" w:hAnsi="宋体"/>
          <w:b/>
          <w:sz w:val="24"/>
        </w:rPr>
      </w:pPr>
      <w:r>
        <w:rPr>
          <w:rFonts w:hint="eastAsia" w:ascii="宋体" w:hAnsi="宋体"/>
          <w:b/>
          <w:sz w:val="24"/>
        </w:rPr>
        <w:t>二、报名需携带的证件及要求</w:t>
      </w:r>
    </w:p>
    <w:p>
      <w:pPr>
        <w:spacing w:line="360" w:lineRule="exact"/>
        <w:ind w:firstLine="480" w:firstLineChars="200"/>
        <w:rPr>
          <w:rFonts w:hint="eastAsia" w:ascii="宋体" w:hAnsi="宋体"/>
          <w:sz w:val="24"/>
        </w:rPr>
      </w:pPr>
      <w:r>
        <w:rPr>
          <w:rFonts w:hint="eastAsia" w:ascii="宋体" w:hAnsi="宋体"/>
          <w:sz w:val="24"/>
        </w:rPr>
        <w:t>1、报名参加竞标的单位必须携带营业执照副本（需年检合格）；</w:t>
      </w:r>
    </w:p>
    <w:p>
      <w:pPr>
        <w:spacing w:line="360" w:lineRule="exact"/>
        <w:ind w:firstLine="480" w:firstLineChars="200"/>
        <w:rPr>
          <w:rFonts w:hint="eastAsia" w:ascii="宋体" w:hAnsi="宋体"/>
          <w:sz w:val="24"/>
        </w:rPr>
      </w:pPr>
      <w:r>
        <w:rPr>
          <w:rFonts w:hint="eastAsia" w:ascii="宋体" w:hAnsi="宋体"/>
          <w:sz w:val="24"/>
        </w:rPr>
        <w:t>2、组织机构代码证（需年检合格）；</w:t>
      </w:r>
    </w:p>
    <w:p>
      <w:pPr>
        <w:spacing w:line="360" w:lineRule="exact"/>
        <w:ind w:firstLine="480" w:firstLineChars="200"/>
        <w:rPr>
          <w:rFonts w:hint="eastAsia"/>
        </w:rPr>
      </w:pPr>
      <w:r>
        <w:rPr>
          <w:rFonts w:hint="eastAsia" w:ascii="宋体" w:hAnsi="宋体"/>
          <w:sz w:val="24"/>
        </w:rPr>
        <w:t>3、法人证书或法定代表人授权书（注明有效期限、法定代表人签章及加盖公章）及被受权人身份证；</w:t>
      </w:r>
    </w:p>
    <w:p>
      <w:pPr>
        <w:spacing w:line="360" w:lineRule="exact"/>
        <w:ind w:firstLine="480" w:firstLineChars="200"/>
        <w:rPr>
          <w:rFonts w:hint="eastAsia" w:ascii="宋体" w:hAnsi="宋体"/>
          <w:sz w:val="24"/>
        </w:rPr>
      </w:pPr>
      <w:r>
        <w:rPr>
          <w:rFonts w:hint="eastAsia" w:ascii="宋体" w:hAnsi="宋体"/>
          <w:sz w:val="24"/>
        </w:rPr>
        <w:t>4、上述资料报名时需提供原件及复印件一式两份；</w:t>
      </w:r>
    </w:p>
    <w:p>
      <w:pPr>
        <w:spacing w:line="360" w:lineRule="exact"/>
        <w:ind w:firstLine="480" w:firstLineChars="200"/>
        <w:rPr>
          <w:rFonts w:hint="eastAsia" w:ascii="宋体" w:hAnsi="宋体"/>
          <w:sz w:val="24"/>
        </w:rPr>
      </w:pPr>
      <w:r>
        <w:rPr>
          <w:rFonts w:hint="eastAsia" w:ascii="宋体" w:hAnsi="宋体"/>
          <w:sz w:val="24"/>
        </w:rPr>
        <w:t>5、电子卖场资质证明材料。</w:t>
      </w:r>
    </w:p>
    <w:p>
      <w:pPr>
        <w:spacing w:line="360" w:lineRule="exact"/>
        <w:rPr>
          <w:rFonts w:ascii="宋体" w:hAnsi="宋体"/>
          <w:b/>
          <w:sz w:val="24"/>
        </w:rPr>
      </w:pPr>
      <w:r>
        <w:rPr>
          <w:rFonts w:hint="eastAsia" w:ascii="宋体" w:hAnsi="宋体"/>
          <w:b/>
          <w:sz w:val="24"/>
        </w:rPr>
        <w:t>三、报名时间及地点：</w:t>
      </w:r>
    </w:p>
    <w:p>
      <w:pPr>
        <w:widowControl/>
        <w:spacing w:line="300" w:lineRule="exact"/>
        <w:ind w:firstLine="480" w:firstLineChars="200"/>
        <w:jc w:val="left"/>
        <w:rPr>
          <w:rFonts w:hint="eastAsia" w:ascii="宋体" w:hAnsi="宋体" w:cs="宋体"/>
          <w:kern w:val="0"/>
          <w:sz w:val="24"/>
        </w:rPr>
      </w:pPr>
      <w:r>
        <w:rPr>
          <w:rFonts w:hint="eastAsia" w:ascii="宋体" w:hAnsi="宋体" w:cs="宋体"/>
          <w:kern w:val="0"/>
          <w:sz w:val="24"/>
        </w:rPr>
        <w:t>报名时间</w:t>
      </w:r>
      <w:r>
        <w:rPr>
          <w:rFonts w:ascii="宋体" w:hAnsi="宋体" w:cs="宋体"/>
          <w:kern w:val="0"/>
          <w:sz w:val="24"/>
        </w:rPr>
        <w:t>：</w:t>
      </w:r>
      <w:r>
        <w:rPr>
          <w:rFonts w:hint="eastAsia" w:ascii="宋体" w:hAnsi="宋体" w:cs="宋体"/>
          <w:kern w:val="0"/>
          <w:sz w:val="24"/>
        </w:rPr>
        <w:t>2021年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11</w:t>
      </w:r>
      <w:r>
        <w:rPr>
          <w:rFonts w:hint="eastAsia" w:ascii="宋体" w:hAnsi="宋体" w:cs="宋体"/>
          <w:kern w:val="0"/>
          <w:sz w:val="24"/>
        </w:rPr>
        <w:t>日至2021年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16</w:t>
      </w:r>
      <w:r>
        <w:rPr>
          <w:rFonts w:ascii="宋体" w:hAnsi="宋体" w:cs="宋体"/>
          <w:kern w:val="0"/>
          <w:sz w:val="24"/>
        </w:rPr>
        <w:t>日</w:t>
      </w:r>
      <w:r>
        <w:rPr>
          <w:rFonts w:hint="eastAsia" w:ascii="宋体" w:hAnsi="宋体" w:cs="宋体"/>
          <w:kern w:val="0"/>
          <w:sz w:val="24"/>
          <w:lang w:eastAsia="zh-CN"/>
        </w:rPr>
        <w:t>（工作日）</w:t>
      </w:r>
      <w:r>
        <w:rPr>
          <w:rFonts w:hint="eastAsia" w:ascii="宋体" w:hAnsi="宋体" w:cs="宋体"/>
          <w:kern w:val="0"/>
          <w:sz w:val="24"/>
        </w:rPr>
        <w:t>；</w:t>
      </w:r>
    </w:p>
    <w:p>
      <w:pPr>
        <w:pStyle w:val="10"/>
        <w:ind w:firstLine="480" w:firstLineChars="200"/>
        <w:rPr>
          <w:rFonts w:hint="eastAsia" w:ascii="宋体" w:hAnsi="宋体" w:eastAsia="宋体" w:cs="宋体"/>
          <w:sz w:val="24"/>
          <w:szCs w:val="24"/>
        </w:rPr>
      </w:pPr>
      <w:r>
        <w:rPr>
          <w:rFonts w:hint="eastAsia" w:ascii="宋体" w:hAnsi="宋体" w:eastAsia="宋体" w:cs="宋体"/>
          <w:sz w:val="24"/>
          <w:szCs w:val="24"/>
        </w:rPr>
        <w:t>地点：资产管理处（行政楼402）。</w:t>
      </w:r>
    </w:p>
    <w:p>
      <w:pPr>
        <w:spacing w:line="360" w:lineRule="exact"/>
        <w:rPr>
          <w:rFonts w:ascii="宋体" w:hAnsi="宋体"/>
          <w:b/>
          <w:sz w:val="24"/>
        </w:rPr>
      </w:pPr>
      <w:r>
        <w:rPr>
          <w:rFonts w:hint="eastAsia" w:ascii="宋体" w:hAnsi="宋体"/>
          <w:b/>
          <w:sz w:val="24"/>
        </w:rPr>
        <w:t>四、招标截止、开标时间及地点：</w:t>
      </w:r>
    </w:p>
    <w:p>
      <w:pPr>
        <w:spacing w:line="360" w:lineRule="exact"/>
        <w:ind w:firstLine="480" w:firstLineChars="200"/>
        <w:rPr>
          <w:rFonts w:hint="eastAsia" w:ascii="宋体" w:hAnsi="宋体" w:eastAsia="宋体"/>
          <w:sz w:val="24"/>
          <w:lang w:eastAsia="zh-CN"/>
        </w:rPr>
      </w:pPr>
      <w:r>
        <w:rPr>
          <w:rFonts w:hint="eastAsia" w:ascii="宋体" w:hAnsi="宋体" w:cs="宋体"/>
          <w:kern w:val="0"/>
          <w:sz w:val="24"/>
        </w:rPr>
        <w:t>截止时间：</w:t>
      </w:r>
      <w:r>
        <w:rPr>
          <w:rFonts w:hint="eastAsia" w:ascii="宋体" w:hAnsi="宋体" w:cs="宋体"/>
          <w:kern w:val="0"/>
          <w:sz w:val="24"/>
          <w:lang w:eastAsia="zh-CN"/>
        </w:rPr>
        <w:t>2021年</w:t>
      </w:r>
      <w:r>
        <w:rPr>
          <w:rFonts w:hint="eastAsia" w:ascii="宋体" w:hAnsi="宋体" w:cs="宋体"/>
          <w:kern w:val="0"/>
          <w:sz w:val="24"/>
          <w:lang w:val="en-US" w:eastAsia="zh-CN"/>
        </w:rPr>
        <w:t>11</w:t>
      </w:r>
      <w:r>
        <w:rPr>
          <w:rFonts w:hint="eastAsia" w:ascii="宋体" w:hAnsi="宋体" w:cs="宋体"/>
          <w:kern w:val="0"/>
          <w:sz w:val="24"/>
          <w:lang w:eastAsia="zh-CN"/>
        </w:rPr>
        <w:t>月</w:t>
      </w:r>
      <w:r>
        <w:rPr>
          <w:rFonts w:hint="eastAsia" w:ascii="宋体" w:hAnsi="宋体" w:cs="宋体"/>
          <w:kern w:val="0"/>
          <w:sz w:val="24"/>
          <w:lang w:val="en-US" w:eastAsia="zh-CN"/>
        </w:rPr>
        <w:t>17</w:t>
      </w:r>
      <w:r>
        <w:rPr>
          <w:rFonts w:hint="eastAsia" w:ascii="宋体" w:hAnsi="宋体" w:cs="宋体"/>
          <w:kern w:val="0"/>
          <w:sz w:val="24"/>
          <w:lang w:eastAsia="zh-CN"/>
        </w:rPr>
        <w:t>日上午</w:t>
      </w:r>
      <w:r>
        <w:rPr>
          <w:rFonts w:hint="eastAsia" w:ascii="宋体" w:hAnsi="宋体" w:cs="宋体"/>
          <w:kern w:val="0"/>
          <w:sz w:val="24"/>
          <w:lang w:val="en-US" w:eastAsia="zh-CN"/>
        </w:rPr>
        <w:t>9</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0</w:t>
      </w:r>
    </w:p>
    <w:p>
      <w:pPr>
        <w:spacing w:line="360" w:lineRule="exact"/>
        <w:ind w:firstLine="480" w:firstLineChars="200"/>
        <w:rPr>
          <w:rFonts w:hint="eastAsia" w:ascii="宋体" w:hAnsi="宋体" w:eastAsia="宋体"/>
          <w:sz w:val="24"/>
          <w:lang w:eastAsia="zh-CN"/>
        </w:rPr>
      </w:pPr>
      <w:r>
        <w:rPr>
          <w:rFonts w:hint="eastAsia" w:ascii="宋体" w:hAnsi="宋体" w:cs="宋体"/>
          <w:kern w:val="0"/>
          <w:sz w:val="24"/>
        </w:rPr>
        <w:t>开标时间：</w:t>
      </w:r>
      <w:r>
        <w:rPr>
          <w:rFonts w:hint="eastAsia" w:ascii="宋体" w:hAnsi="宋体" w:cs="宋体"/>
          <w:kern w:val="0"/>
          <w:sz w:val="24"/>
          <w:lang w:eastAsia="zh-CN"/>
        </w:rPr>
        <w:t>2021年</w:t>
      </w:r>
      <w:r>
        <w:rPr>
          <w:rFonts w:hint="eastAsia" w:ascii="宋体" w:hAnsi="宋体" w:cs="宋体"/>
          <w:kern w:val="0"/>
          <w:sz w:val="24"/>
          <w:lang w:val="en-US" w:eastAsia="zh-CN"/>
        </w:rPr>
        <w:t>11</w:t>
      </w:r>
      <w:r>
        <w:rPr>
          <w:rFonts w:hint="eastAsia" w:ascii="宋体" w:hAnsi="宋体" w:cs="宋体"/>
          <w:kern w:val="0"/>
          <w:sz w:val="24"/>
          <w:lang w:eastAsia="zh-CN"/>
        </w:rPr>
        <w:t>月</w:t>
      </w:r>
      <w:r>
        <w:rPr>
          <w:rFonts w:hint="eastAsia" w:ascii="宋体" w:hAnsi="宋体" w:cs="宋体"/>
          <w:kern w:val="0"/>
          <w:sz w:val="24"/>
          <w:lang w:val="en-US" w:eastAsia="zh-CN"/>
        </w:rPr>
        <w:t>17</w:t>
      </w:r>
      <w:r>
        <w:rPr>
          <w:rFonts w:hint="eastAsia" w:ascii="宋体" w:hAnsi="宋体" w:cs="宋体"/>
          <w:kern w:val="0"/>
          <w:sz w:val="24"/>
          <w:lang w:eastAsia="zh-CN"/>
        </w:rPr>
        <w:t>日上午</w:t>
      </w:r>
      <w:r>
        <w:rPr>
          <w:rFonts w:hint="eastAsia" w:ascii="宋体" w:hAnsi="宋体" w:cs="宋体"/>
          <w:kern w:val="0"/>
          <w:sz w:val="24"/>
          <w:lang w:val="en-US" w:eastAsia="zh-CN"/>
        </w:rPr>
        <w:t>9</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0</w:t>
      </w:r>
    </w:p>
    <w:p>
      <w:pPr>
        <w:tabs>
          <w:tab w:val="left" w:pos="855"/>
        </w:tabs>
        <w:snapToGrid w:val="0"/>
        <w:spacing w:line="0" w:lineRule="atLeast"/>
        <w:ind w:firstLine="480" w:firstLineChars="200"/>
        <w:rPr>
          <w:rFonts w:hint="eastAsia" w:ascii="宋体" w:hAnsi="宋体"/>
          <w:sz w:val="24"/>
        </w:rPr>
      </w:pPr>
      <w:r>
        <w:rPr>
          <w:rFonts w:hint="eastAsia" w:ascii="宋体" w:hAnsi="宋体"/>
          <w:sz w:val="24"/>
        </w:rPr>
        <w:t>地点：湖南铁路科技职业技术学院 谈判会议室（行政楼401）。</w:t>
      </w:r>
    </w:p>
    <w:p>
      <w:pPr>
        <w:spacing w:line="360" w:lineRule="exact"/>
        <w:rPr>
          <w:rFonts w:hint="eastAsia" w:ascii="宋体" w:hAnsi="宋体"/>
          <w:b/>
          <w:sz w:val="24"/>
        </w:rPr>
      </w:pPr>
      <w:r>
        <w:rPr>
          <w:rFonts w:hint="eastAsia" w:ascii="宋体" w:hAnsi="宋体"/>
          <w:b/>
          <w:sz w:val="24"/>
        </w:rPr>
        <w:t>五、供应商应具备的基本条件</w:t>
      </w:r>
    </w:p>
    <w:p>
      <w:pPr>
        <w:spacing w:line="360" w:lineRule="exact"/>
        <w:ind w:firstLine="480" w:firstLineChars="200"/>
        <w:rPr>
          <w:rFonts w:hint="eastAsia" w:ascii="宋体" w:hAnsi="宋体"/>
          <w:sz w:val="24"/>
        </w:rPr>
      </w:pPr>
      <w:r>
        <w:rPr>
          <w:rFonts w:hint="eastAsia" w:ascii="宋体" w:hAnsi="宋体"/>
          <w:sz w:val="24"/>
        </w:rPr>
        <w:t>1、投标人基本资格条件：投标人应当符合《政府采购法》第二十二条第一款的规定，即：</w:t>
      </w:r>
    </w:p>
    <w:p>
      <w:pPr>
        <w:spacing w:line="360" w:lineRule="exact"/>
        <w:ind w:firstLine="480" w:firstLineChars="200"/>
        <w:rPr>
          <w:rFonts w:hint="eastAsia" w:ascii="宋体" w:hAnsi="宋体"/>
          <w:sz w:val="24"/>
        </w:rPr>
      </w:pPr>
      <w:r>
        <w:rPr>
          <w:rFonts w:hint="eastAsia" w:ascii="宋体" w:hAnsi="宋体"/>
          <w:sz w:val="24"/>
        </w:rPr>
        <w:t>（1）具有独立承担民事责任的能力；</w:t>
      </w:r>
    </w:p>
    <w:p>
      <w:pPr>
        <w:spacing w:line="360" w:lineRule="exact"/>
        <w:ind w:firstLine="480" w:firstLineChars="200"/>
        <w:rPr>
          <w:rFonts w:hint="eastAsia" w:ascii="宋体" w:hAnsi="宋体"/>
          <w:sz w:val="24"/>
        </w:rPr>
      </w:pPr>
      <w:r>
        <w:rPr>
          <w:rFonts w:hint="eastAsia" w:ascii="宋体" w:hAnsi="宋体"/>
          <w:sz w:val="24"/>
        </w:rPr>
        <w:t>（2）具有良好的商业信誉和健全的财务会计制度；</w:t>
      </w:r>
    </w:p>
    <w:p>
      <w:pPr>
        <w:spacing w:line="360" w:lineRule="exact"/>
        <w:ind w:firstLine="480" w:firstLineChars="200"/>
        <w:rPr>
          <w:rFonts w:hint="eastAsia" w:ascii="宋体" w:hAnsi="宋体"/>
          <w:sz w:val="24"/>
        </w:rPr>
      </w:pPr>
      <w:r>
        <w:rPr>
          <w:rFonts w:hint="eastAsia" w:ascii="宋体" w:hAnsi="宋体"/>
          <w:sz w:val="24"/>
        </w:rPr>
        <w:t>（3）具有履行合同所必需的设备和专业技术能力；</w:t>
      </w:r>
    </w:p>
    <w:p>
      <w:pPr>
        <w:spacing w:line="360" w:lineRule="exact"/>
        <w:ind w:firstLine="480" w:firstLineChars="200"/>
        <w:rPr>
          <w:rFonts w:hint="eastAsia" w:ascii="宋体" w:hAnsi="宋体"/>
          <w:sz w:val="24"/>
        </w:rPr>
      </w:pPr>
      <w:r>
        <w:rPr>
          <w:rFonts w:hint="eastAsia" w:ascii="宋体" w:hAnsi="宋体"/>
          <w:sz w:val="24"/>
        </w:rPr>
        <w:t>（4）有依法缴纳税收和社会保障资金的良好记录；</w:t>
      </w:r>
    </w:p>
    <w:p>
      <w:pPr>
        <w:spacing w:line="360" w:lineRule="exact"/>
        <w:ind w:firstLine="480" w:firstLineChars="200"/>
        <w:rPr>
          <w:rFonts w:hint="eastAsia" w:ascii="宋体" w:hAnsi="宋体"/>
          <w:sz w:val="24"/>
        </w:rPr>
      </w:pPr>
      <w:r>
        <w:rPr>
          <w:rFonts w:hint="eastAsia" w:ascii="宋体" w:hAnsi="宋体"/>
          <w:sz w:val="24"/>
        </w:rPr>
        <w:t>（5）参加政府采购活动前三年内，在经营活动中没有重大违法记录；</w:t>
      </w:r>
    </w:p>
    <w:p>
      <w:pPr>
        <w:spacing w:line="360" w:lineRule="exact"/>
        <w:ind w:firstLine="480" w:firstLineChars="200"/>
        <w:rPr>
          <w:rFonts w:hint="eastAsia" w:ascii="宋体" w:hAnsi="宋体"/>
          <w:sz w:val="24"/>
        </w:rPr>
      </w:pPr>
      <w:r>
        <w:rPr>
          <w:rFonts w:hint="eastAsia" w:ascii="宋体" w:hAnsi="宋体"/>
          <w:sz w:val="24"/>
        </w:rPr>
        <w:t>（6）法律、行政法规规定的其他条件。</w:t>
      </w:r>
    </w:p>
    <w:p>
      <w:pPr>
        <w:spacing w:line="360" w:lineRule="exact"/>
        <w:ind w:firstLine="480" w:firstLineChars="200"/>
        <w:rPr>
          <w:rFonts w:hint="eastAsia" w:ascii="宋体" w:hAnsi="宋体"/>
          <w:sz w:val="24"/>
        </w:rPr>
      </w:pPr>
      <w:r>
        <w:rPr>
          <w:rFonts w:hint="eastAsia" w:ascii="宋体" w:hAnsi="宋体"/>
          <w:sz w:val="24"/>
        </w:rPr>
        <w:t>2、被“信用中国”网站列入失信被执行人和重大税收违法案件当事人名单的、被“中国政府采购网”网站列入政府采购严重违法失信行为记录名单（处罚期限尚未届满的），不得参与本项目的政府采购活动。</w:t>
      </w:r>
    </w:p>
    <w:p>
      <w:pPr>
        <w:spacing w:line="360" w:lineRule="exact"/>
        <w:rPr>
          <w:rFonts w:ascii="宋体" w:hAnsi="宋体"/>
          <w:b/>
          <w:sz w:val="24"/>
        </w:rPr>
      </w:pPr>
      <w:r>
        <w:rPr>
          <w:rFonts w:hint="eastAsia" w:ascii="宋体" w:hAnsi="宋体"/>
          <w:b/>
          <w:sz w:val="24"/>
        </w:rPr>
        <w:t>六、联系地址及联系人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rPr>
        <w:t>地址：湖南省株洲市云龙示范区职教大学城智慧路1号</w:t>
      </w:r>
    </w:p>
    <w:p>
      <w:pPr>
        <w:keepNext w:val="0"/>
        <w:keepLines w:val="0"/>
        <w:pageBreakBefore w:val="0"/>
        <w:widowControl w:val="0"/>
        <w:kinsoku/>
        <w:wordWrap/>
        <w:overflowPunct/>
        <w:topLinePunct w:val="0"/>
        <w:autoSpaceDE/>
        <w:autoSpaceDN/>
        <w:bidi w:val="0"/>
        <w:adjustRightInd/>
        <w:snapToGrid/>
        <w:spacing w:line="480" w:lineRule="auto"/>
        <w:ind w:firstLine="465"/>
        <w:textAlignment w:val="auto"/>
        <w:rPr>
          <w:rFonts w:ascii="宋体" w:hAnsi="宋体"/>
          <w:sz w:val="24"/>
        </w:rPr>
      </w:pPr>
      <w:r>
        <w:rPr>
          <w:rFonts w:hint="eastAsia" w:ascii="宋体" w:hAnsi="宋体"/>
          <w:sz w:val="24"/>
        </w:rPr>
        <w:t>联系人：彭老师（资产管理处）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rPr>
        <w:t>电话：0731-22780163   邮政编码：412000</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rPr>
        <w:t>联系人：</w:t>
      </w:r>
      <w:r>
        <w:rPr>
          <w:rFonts w:hint="eastAsia" w:ascii="宋体" w:hAnsi="宋体"/>
          <w:sz w:val="24"/>
          <w:lang w:eastAsia="zh-CN"/>
        </w:rPr>
        <w:t>戴</w:t>
      </w:r>
      <w:r>
        <w:rPr>
          <w:rFonts w:hint="eastAsia" w:ascii="宋体" w:hAnsi="宋体"/>
          <w:sz w:val="24"/>
        </w:rPr>
        <w:t>老师（技术负责）</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olor w:val="auto"/>
          <w:sz w:val="24"/>
          <w:lang w:val="en-US" w:eastAsia="zh-CN"/>
        </w:rPr>
      </w:pPr>
      <w:r>
        <w:rPr>
          <w:rFonts w:hint="eastAsia" w:ascii="宋体" w:hAnsi="宋体"/>
          <w:sz w:val="24"/>
        </w:rPr>
        <w:t>电话：</w:t>
      </w:r>
      <w:r>
        <w:rPr>
          <w:rFonts w:hint="eastAsia" w:ascii="宋体" w:hAnsi="宋体"/>
          <w:color w:val="auto"/>
          <w:sz w:val="24"/>
        </w:rPr>
        <w:t>0731—</w:t>
      </w:r>
      <w:r>
        <w:rPr>
          <w:rFonts w:hint="eastAsia" w:ascii="宋体" w:hAnsi="宋体"/>
          <w:color w:val="auto"/>
          <w:sz w:val="24"/>
          <w:lang w:val="en-US" w:eastAsia="zh-CN"/>
        </w:rPr>
        <w:t>22777045</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rPr>
        <w:t>联系人：王 津（纪检监督）</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rPr>
        <w:t xml:space="preserve">电话：0731—22780158  </w:t>
      </w:r>
    </w:p>
    <w:p>
      <w:pPr>
        <w:spacing w:line="360" w:lineRule="exact"/>
        <w:ind w:firstLine="480" w:firstLineChars="200"/>
        <w:rPr>
          <w:rFonts w:hint="eastAsia" w:ascii="宋体" w:hAnsi="宋体"/>
          <w:sz w:val="24"/>
        </w:rPr>
      </w:pPr>
    </w:p>
    <w:p>
      <w:pPr>
        <w:pStyle w:val="10"/>
        <w:rPr>
          <w:rFonts w:hint="eastAsia" w:ascii="宋体" w:hAnsi="宋体"/>
          <w:sz w:val="24"/>
        </w:rPr>
      </w:pPr>
    </w:p>
    <w:bookmarkEnd w:id="0"/>
    <w:p>
      <w:pPr>
        <w:pStyle w:val="10"/>
        <w:rPr>
          <w:rFonts w:hint="eastAsia" w:ascii="宋体" w:hAnsi="宋体"/>
          <w:sz w:val="24"/>
        </w:rPr>
      </w:pPr>
    </w:p>
    <w:p>
      <w:pPr>
        <w:pStyle w:val="10"/>
        <w:rPr>
          <w:rFonts w:hint="eastAsia" w:ascii="宋体" w:hAnsi="宋体"/>
          <w:sz w:val="24"/>
        </w:rPr>
      </w:pPr>
    </w:p>
    <w:p>
      <w:pPr>
        <w:pStyle w:val="10"/>
        <w:rPr>
          <w:rFonts w:hint="eastAsia" w:ascii="宋体" w:hAnsi="宋体"/>
          <w:sz w:val="24"/>
        </w:rPr>
      </w:pPr>
    </w:p>
    <w:p>
      <w:pPr>
        <w:pStyle w:val="10"/>
        <w:rPr>
          <w:rFonts w:hint="eastAsia" w:ascii="宋体" w:hAnsi="宋体"/>
          <w:sz w:val="24"/>
        </w:rPr>
      </w:pPr>
    </w:p>
    <w:p>
      <w:pPr>
        <w:pStyle w:val="10"/>
        <w:rPr>
          <w:rFonts w:hint="eastAsia" w:ascii="宋体" w:hAnsi="宋体"/>
          <w:sz w:val="24"/>
        </w:rPr>
      </w:pPr>
    </w:p>
    <w:p>
      <w:pPr>
        <w:pStyle w:val="10"/>
        <w:rPr>
          <w:rFonts w:hint="eastAsia" w:ascii="宋体" w:hAnsi="宋体"/>
          <w:sz w:val="24"/>
        </w:rPr>
      </w:pPr>
    </w:p>
    <w:p>
      <w:pPr>
        <w:pStyle w:val="10"/>
        <w:rPr>
          <w:rFonts w:hint="eastAsia" w:ascii="宋体" w:hAnsi="宋体"/>
          <w:sz w:val="24"/>
        </w:rPr>
      </w:pPr>
    </w:p>
    <w:p>
      <w:pPr>
        <w:pStyle w:val="10"/>
        <w:rPr>
          <w:rFonts w:hint="eastAsia" w:ascii="宋体" w:hAnsi="宋体"/>
          <w:sz w:val="24"/>
        </w:rPr>
      </w:pPr>
    </w:p>
    <w:p>
      <w:pPr>
        <w:pStyle w:val="10"/>
        <w:rPr>
          <w:rFonts w:hint="eastAsia" w:ascii="宋体" w:hAnsi="宋体"/>
          <w:sz w:val="24"/>
        </w:rPr>
      </w:pPr>
    </w:p>
    <w:p>
      <w:pPr>
        <w:pStyle w:val="10"/>
        <w:rPr>
          <w:rFonts w:hint="eastAsia" w:ascii="宋体" w:hAnsi="宋体"/>
          <w:sz w:val="24"/>
        </w:rPr>
      </w:pPr>
    </w:p>
    <w:p>
      <w:pPr>
        <w:pStyle w:val="10"/>
        <w:rPr>
          <w:rFonts w:hint="eastAsia" w:ascii="宋体" w:hAnsi="宋体"/>
          <w:sz w:val="24"/>
        </w:rPr>
      </w:pPr>
    </w:p>
    <w:p>
      <w:pPr>
        <w:pStyle w:val="10"/>
        <w:rPr>
          <w:rFonts w:hint="eastAsia" w:ascii="宋体" w:hAnsi="宋体"/>
          <w:sz w:val="24"/>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pStyle w:val="2"/>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pStyle w:val="10"/>
        <w:rPr>
          <w:rFonts w:hint="eastAsia"/>
        </w:rPr>
      </w:pPr>
    </w:p>
    <w:p>
      <w:pPr>
        <w:spacing w:line="360" w:lineRule="exact"/>
        <w:ind w:firstLine="562" w:firstLineChars="200"/>
        <w:jc w:val="center"/>
        <w:rPr>
          <w:rFonts w:ascii="宋体" w:hAnsi="宋体"/>
          <w:b/>
          <w:sz w:val="28"/>
          <w:szCs w:val="28"/>
        </w:rPr>
      </w:pPr>
      <w:r>
        <w:rPr>
          <w:rFonts w:hint="eastAsia" w:ascii="宋体" w:hAnsi="宋体"/>
          <w:b/>
          <w:sz w:val="28"/>
          <w:szCs w:val="28"/>
        </w:rPr>
        <w:t>第二部分 投标事项说明</w:t>
      </w:r>
    </w:p>
    <w:p>
      <w:pPr>
        <w:spacing w:line="360" w:lineRule="exact"/>
        <w:ind w:firstLine="482" w:firstLineChars="200"/>
        <w:jc w:val="center"/>
        <w:rPr>
          <w:rFonts w:ascii="宋体" w:hAnsi="宋体"/>
          <w:b/>
          <w:sz w:val="24"/>
        </w:rPr>
      </w:pPr>
    </w:p>
    <w:p>
      <w:pPr>
        <w:spacing w:line="360" w:lineRule="exact"/>
        <w:ind w:firstLine="482" w:firstLineChars="200"/>
        <w:jc w:val="center"/>
        <w:rPr>
          <w:rFonts w:ascii="宋体" w:hAnsi="宋体"/>
          <w:b/>
          <w:sz w:val="24"/>
        </w:rPr>
      </w:pPr>
    </w:p>
    <w:p>
      <w:pPr>
        <w:spacing w:line="360" w:lineRule="exact"/>
        <w:rPr>
          <w:rFonts w:ascii="宋体" w:hAnsi="宋体"/>
          <w:b/>
          <w:sz w:val="24"/>
        </w:rPr>
      </w:pPr>
      <w:r>
        <w:rPr>
          <w:rFonts w:hint="eastAsia" w:ascii="宋体" w:hAnsi="宋体"/>
          <w:b/>
          <w:sz w:val="24"/>
        </w:rPr>
        <w:t>一、投标文件应包含以下内容</w:t>
      </w:r>
    </w:p>
    <w:p>
      <w:pPr>
        <w:spacing w:line="360" w:lineRule="exact"/>
        <w:ind w:firstLine="480" w:firstLineChars="200"/>
        <w:rPr>
          <w:rFonts w:ascii="宋体" w:hAnsi="宋体"/>
          <w:sz w:val="24"/>
        </w:rPr>
      </w:pPr>
      <w:r>
        <w:rPr>
          <w:rFonts w:hint="eastAsia" w:ascii="宋体" w:hAnsi="宋体"/>
          <w:sz w:val="24"/>
        </w:rPr>
        <w:t>投标单位应根据招标文件规定的格式要求向招标单位提交投标文件四份（A4幅面，一正三副，并注明正、副本），并按规定密封（并注明“正本”和“副本”）。</w:t>
      </w:r>
    </w:p>
    <w:p>
      <w:pPr>
        <w:spacing w:line="360" w:lineRule="exact"/>
        <w:ind w:firstLine="480" w:firstLineChars="200"/>
        <w:rPr>
          <w:rFonts w:ascii="宋体" w:hAnsi="宋体"/>
          <w:sz w:val="24"/>
        </w:rPr>
      </w:pPr>
      <w:r>
        <w:rPr>
          <w:rFonts w:hint="eastAsia" w:ascii="宋体" w:hAnsi="宋体"/>
          <w:sz w:val="24"/>
        </w:rPr>
        <w:t>1、投标函</w:t>
      </w:r>
    </w:p>
    <w:p>
      <w:pPr>
        <w:spacing w:line="360" w:lineRule="exact"/>
        <w:ind w:firstLine="480" w:firstLineChars="200"/>
        <w:rPr>
          <w:rFonts w:ascii="宋体" w:hAnsi="宋体"/>
          <w:sz w:val="24"/>
        </w:rPr>
      </w:pPr>
      <w:r>
        <w:rPr>
          <w:rFonts w:hint="eastAsia" w:ascii="宋体" w:hAnsi="宋体"/>
          <w:sz w:val="24"/>
        </w:rPr>
        <w:t>2、企业法人资格说明（复印件）</w:t>
      </w:r>
    </w:p>
    <w:p>
      <w:pPr>
        <w:spacing w:line="360" w:lineRule="exact"/>
        <w:ind w:firstLine="480" w:firstLineChars="200"/>
        <w:rPr>
          <w:rFonts w:ascii="宋体" w:hAnsi="宋体"/>
          <w:sz w:val="24"/>
        </w:rPr>
      </w:pPr>
      <w:r>
        <w:rPr>
          <w:rFonts w:hint="eastAsia" w:ascii="宋体" w:hAnsi="宋体"/>
          <w:sz w:val="24"/>
        </w:rPr>
        <w:t>3、企业法人授权委托书</w:t>
      </w:r>
    </w:p>
    <w:p>
      <w:pPr>
        <w:spacing w:line="360" w:lineRule="exact"/>
        <w:ind w:firstLine="480" w:firstLineChars="200"/>
        <w:rPr>
          <w:rFonts w:ascii="宋体" w:hAnsi="宋体"/>
          <w:sz w:val="24"/>
        </w:rPr>
      </w:pPr>
      <w:r>
        <w:rPr>
          <w:rFonts w:hint="eastAsia" w:ascii="宋体" w:hAnsi="宋体"/>
          <w:sz w:val="24"/>
        </w:rPr>
        <w:t>4、投标报价表</w:t>
      </w:r>
    </w:p>
    <w:p>
      <w:pPr>
        <w:spacing w:line="360" w:lineRule="exact"/>
        <w:ind w:firstLine="480" w:firstLineChars="200"/>
        <w:rPr>
          <w:rFonts w:ascii="宋体" w:hAnsi="宋体"/>
          <w:sz w:val="24"/>
        </w:rPr>
      </w:pPr>
      <w:r>
        <w:rPr>
          <w:rFonts w:hint="eastAsia" w:ascii="宋体" w:hAnsi="宋体"/>
          <w:sz w:val="24"/>
        </w:rPr>
        <w:t>5、售后服务承诺</w:t>
      </w:r>
    </w:p>
    <w:p>
      <w:pPr>
        <w:spacing w:line="360" w:lineRule="exact"/>
        <w:ind w:firstLine="480" w:firstLineChars="200"/>
        <w:rPr>
          <w:rFonts w:ascii="宋体" w:hAnsi="宋体"/>
          <w:sz w:val="24"/>
        </w:rPr>
      </w:pPr>
      <w:r>
        <w:rPr>
          <w:rFonts w:hint="eastAsia" w:ascii="宋体" w:hAnsi="宋体"/>
          <w:sz w:val="24"/>
        </w:rPr>
        <w:t>6、公司简介</w:t>
      </w:r>
    </w:p>
    <w:p>
      <w:pPr>
        <w:spacing w:line="360" w:lineRule="exact"/>
        <w:ind w:firstLine="480" w:firstLineChars="200"/>
        <w:rPr>
          <w:rFonts w:ascii="宋体" w:hAnsi="宋体"/>
          <w:sz w:val="24"/>
        </w:rPr>
      </w:pPr>
      <w:r>
        <w:rPr>
          <w:rFonts w:hint="eastAsia" w:ascii="宋体" w:hAnsi="宋体"/>
          <w:sz w:val="24"/>
        </w:rPr>
        <w:t>7、其他需说明的事项</w:t>
      </w:r>
    </w:p>
    <w:p>
      <w:pPr>
        <w:spacing w:line="360" w:lineRule="exact"/>
        <w:ind w:firstLine="480" w:firstLineChars="200"/>
        <w:rPr>
          <w:rFonts w:ascii="宋体" w:hAnsi="宋体"/>
          <w:sz w:val="24"/>
        </w:rPr>
      </w:pPr>
      <w:r>
        <w:rPr>
          <w:rFonts w:hint="eastAsia" w:ascii="宋体" w:hAnsi="宋体"/>
          <w:sz w:val="24"/>
        </w:rPr>
        <w:t>投标标书文本关键处应由对投标单位有法律约束力的代表签字和盖章。标函上应注明项目名称、投标单位的全称、地址和联系电话。投标人必须提供投标资格文件与应具备的条件；投标人的法定地址、注册地点、企业法人和营业执照。</w:t>
      </w:r>
    </w:p>
    <w:p>
      <w:pPr>
        <w:spacing w:line="360" w:lineRule="exact"/>
        <w:rPr>
          <w:rFonts w:ascii="宋体" w:hAnsi="宋体"/>
          <w:b/>
          <w:sz w:val="24"/>
        </w:rPr>
      </w:pPr>
      <w:r>
        <w:rPr>
          <w:rFonts w:hint="eastAsia" w:ascii="宋体" w:hAnsi="宋体"/>
          <w:b/>
          <w:sz w:val="24"/>
        </w:rPr>
        <w:t>二、报价</w:t>
      </w:r>
    </w:p>
    <w:p>
      <w:pPr>
        <w:spacing w:line="360" w:lineRule="exact"/>
        <w:ind w:firstLine="482" w:firstLineChars="200"/>
        <w:rPr>
          <w:rFonts w:ascii="宋体" w:hAnsi="宋体"/>
          <w:b/>
          <w:bCs/>
          <w:color w:val="auto"/>
          <w:sz w:val="24"/>
        </w:rPr>
      </w:pPr>
      <w:r>
        <w:rPr>
          <w:rFonts w:hint="eastAsia" w:ascii="宋体" w:hAnsi="宋体"/>
          <w:b/>
          <w:bCs/>
          <w:color w:val="auto"/>
          <w:sz w:val="24"/>
        </w:rPr>
        <w:t>本投标报价上限值：</w:t>
      </w:r>
      <w:r>
        <w:rPr>
          <w:rFonts w:hint="eastAsia" w:ascii="宋体" w:hAnsi="宋体"/>
          <w:b/>
          <w:bCs/>
          <w:color w:val="auto"/>
          <w:sz w:val="24"/>
          <w:lang w:val="en-US" w:eastAsia="zh-CN"/>
        </w:rPr>
        <w:t>19</w:t>
      </w:r>
      <w:r>
        <w:rPr>
          <w:rFonts w:hint="eastAsia" w:ascii="宋体" w:hAnsi="宋体"/>
          <w:b/>
          <w:bCs/>
          <w:color w:val="auto"/>
          <w:sz w:val="24"/>
        </w:rPr>
        <w:t>万元。</w:t>
      </w:r>
    </w:p>
    <w:p>
      <w:pPr>
        <w:spacing w:line="360" w:lineRule="exact"/>
        <w:ind w:firstLine="480" w:firstLineChars="200"/>
        <w:rPr>
          <w:rFonts w:ascii="宋体" w:hAnsi="宋体"/>
          <w:sz w:val="24"/>
        </w:rPr>
      </w:pPr>
      <w:r>
        <w:rPr>
          <w:rFonts w:hint="eastAsia" w:ascii="宋体" w:hAnsi="宋体"/>
          <w:sz w:val="24"/>
        </w:rPr>
        <w:t>所有报价应以人民币为单位，投标函中的投标报价为第一次报价，谈判后采购双方都能接受的情况下，以最终报价为准。</w:t>
      </w:r>
    </w:p>
    <w:p>
      <w:pPr>
        <w:spacing w:line="360" w:lineRule="exact"/>
        <w:ind w:firstLine="480" w:firstLineChars="200"/>
        <w:rPr>
          <w:rFonts w:ascii="宋体" w:hAnsi="宋体"/>
          <w:sz w:val="24"/>
        </w:rPr>
      </w:pPr>
      <w:r>
        <w:rPr>
          <w:rFonts w:hint="eastAsia" w:ascii="宋体" w:hAnsi="宋体"/>
          <w:sz w:val="24"/>
        </w:rPr>
        <w:t>1、投标报价应按照谈判文件附件的“投标函”格式填报，投标人应在报价表中标明每一个项目单位和总价，当单价与总价有出入时，以单价为准；</w:t>
      </w:r>
    </w:p>
    <w:p>
      <w:pPr>
        <w:spacing w:line="360" w:lineRule="exact"/>
        <w:ind w:firstLine="480" w:firstLineChars="200"/>
        <w:rPr>
          <w:rFonts w:ascii="宋体" w:hAnsi="宋体"/>
          <w:sz w:val="24"/>
        </w:rPr>
      </w:pPr>
      <w:r>
        <w:rPr>
          <w:rFonts w:hint="eastAsia" w:ascii="宋体" w:hAnsi="宋体"/>
          <w:sz w:val="24"/>
        </w:rPr>
        <w:t>2、价必须包括货物（包括所需的货物配置、备品备件、专用工具等）运输安装调式、维护、人工、代理服务费、税费及其相关工作范围内的所有费用；</w:t>
      </w:r>
    </w:p>
    <w:p>
      <w:pPr>
        <w:spacing w:line="360" w:lineRule="exact"/>
        <w:ind w:firstLine="480" w:firstLineChars="200"/>
        <w:rPr>
          <w:rFonts w:ascii="宋体" w:hAnsi="宋体"/>
          <w:sz w:val="24"/>
        </w:rPr>
      </w:pPr>
      <w:r>
        <w:rPr>
          <w:rFonts w:hint="eastAsia" w:ascii="宋体" w:hAnsi="宋体"/>
          <w:sz w:val="24"/>
        </w:rPr>
        <w:t>3、报价应是含税报价，并且投标人所报价在合同执行过程中是固定不变的，不得以任何理由予以变更，采购方不承担价格波动所产生的任何责任；</w:t>
      </w:r>
    </w:p>
    <w:p>
      <w:pPr>
        <w:spacing w:line="360" w:lineRule="exact"/>
        <w:ind w:firstLine="480" w:firstLineChars="200"/>
        <w:rPr>
          <w:rFonts w:ascii="宋体" w:hAnsi="宋体"/>
          <w:sz w:val="24"/>
        </w:rPr>
      </w:pPr>
      <w:r>
        <w:rPr>
          <w:rFonts w:hint="eastAsia" w:ascii="宋体" w:hAnsi="宋体"/>
          <w:sz w:val="24"/>
        </w:rPr>
        <w:t>4、最终成交报价总额应用阿拉伯数字和大写数字两种表示，阿拉伯数字与大写数字有不同的，以大写数字为准；</w:t>
      </w:r>
    </w:p>
    <w:p>
      <w:pPr>
        <w:spacing w:line="360" w:lineRule="exact"/>
        <w:ind w:firstLine="480" w:firstLineChars="200"/>
        <w:rPr>
          <w:rFonts w:ascii="宋体" w:hAnsi="宋体"/>
          <w:sz w:val="24"/>
        </w:rPr>
      </w:pPr>
      <w:r>
        <w:rPr>
          <w:rFonts w:hint="eastAsia" w:ascii="宋体" w:hAnsi="宋体"/>
          <w:sz w:val="24"/>
        </w:rPr>
        <w:t>5、除谈判文件另有规定的，计量单位为我国法定计量单位；</w:t>
      </w:r>
    </w:p>
    <w:p>
      <w:pPr>
        <w:spacing w:line="360" w:lineRule="exact"/>
        <w:ind w:firstLine="480" w:firstLineChars="200"/>
        <w:rPr>
          <w:rFonts w:ascii="宋体" w:hAnsi="宋体"/>
          <w:sz w:val="24"/>
        </w:rPr>
      </w:pPr>
      <w:r>
        <w:rPr>
          <w:rFonts w:hint="eastAsia" w:ascii="宋体" w:hAnsi="宋体"/>
          <w:sz w:val="24"/>
        </w:rPr>
        <w:t>6、投标人提交的投标书以及投标人与买方就有关投标的所有来函电均应使用中文。</w:t>
      </w:r>
    </w:p>
    <w:p>
      <w:pPr>
        <w:spacing w:line="360" w:lineRule="exact"/>
        <w:rPr>
          <w:rFonts w:ascii="宋体" w:hAnsi="宋体"/>
          <w:b/>
          <w:sz w:val="24"/>
        </w:rPr>
      </w:pPr>
      <w:r>
        <w:rPr>
          <w:rFonts w:hint="eastAsia" w:ascii="宋体" w:hAnsi="宋体"/>
          <w:b/>
          <w:sz w:val="24"/>
        </w:rPr>
        <w:t>三、招标文件和投标文件的澄清程序</w:t>
      </w:r>
    </w:p>
    <w:p>
      <w:pPr>
        <w:spacing w:line="360" w:lineRule="exact"/>
        <w:ind w:firstLine="480" w:firstLineChars="200"/>
        <w:rPr>
          <w:rFonts w:ascii="宋体" w:hAnsi="宋体"/>
          <w:sz w:val="24"/>
        </w:rPr>
      </w:pPr>
      <w:r>
        <w:rPr>
          <w:rFonts w:hint="eastAsia" w:ascii="宋体" w:hAnsi="宋体"/>
          <w:sz w:val="24"/>
        </w:rPr>
        <w:t>1、投标人对于招标文件中技术要求方面的质疑，由招标方负责澄清；</w:t>
      </w:r>
    </w:p>
    <w:p>
      <w:pPr>
        <w:spacing w:line="360" w:lineRule="exact"/>
        <w:ind w:firstLine="480" w:firstLineChars="200"/>
        <w:rPr>
          <w:rFonts w:ascii="宋体" w:hAnsi="宋体"/>
          <w:sz w:val="24"/>
        </w:rPr>
      </w:pPr>
      <w:r>
        <w:rPr>
          <w:rFonts w:hint="eastAsia" w:ascii="宋体" w:hAnsi="宋体"/>
          <w:sz w:val="24"/>
        </w:rPr>
        <w:t>2、招标人认为的投标文件中无法判定的内容，投标人予以澄清；</w:t>
      </w:r>
    </w:p>
    <w:p>
      <w:pPr>
        <w:spacing w:line="360" w:lineRule="exact"/>
        <w:rPr>
          <w:rFonts w:ascii="宋体" w:hAnsi="宋体"/>
          <w:b/>
          <w:sz w:val="24"/>
        </w:rPr>
      </w:pPr>
      <w:r>
        <w:rPr>
          <w:rFonts w:hint="eastAsia" w:ascii="宋体" w:hAnsi="宋体"/>
          <w:b/>
          <w:sz w:val="24"/>
        </w:rPr>
        <w:t>四、谈判时间、地点：</w:t>
      </w:r>
    </w:p>
    <w:p>
      <w:pPr>
        <w:spacing w:line="360" w:lineRule="exact"/>
        <w:ind w:firstLine="480" w:firstLineChars="200"/>
        <w:rPr>
          <w:rFonts w:hint="eastAsia" w:ascii="宋体" w:hAnsi="宋体" w:eastAsia="宋体"/>
          <w:sz w:val="24"/>
          <w:lang w:eastAsia="zh-CN"/>
        </w:rPr>
      </w:pPr>
      <w:r>
        <w:rPr>
          <w:rFonts w:hint="eastAsia" w:ascii="宋体" w:hAnsi="宋体"/>
          <w:sz w:val="24"/>
        </w:rPr>
        <w:t>1、时间：</w:t>
      </w:r>
      <w:r>
        <w:rPr>
          <w:rFonts w:hint="eastAsia" w:ascii="宋体" w:hAnsi="宋体" w:cs="宋体"/>
          <w:kern w:val="0"/>
          <w:sz w:val="24"/>
          <w:lang w:eastAsia="zh-CN"/>
        </w:rPr>
        <w:t>2021年</w:t>
      </w:r>
      <w:r>
        <w:rPr>
          <w:rFonts w:hint="eastAsia" w:ascii="宋体" w:hAnsi="宋体" w:cs="宋体"/>
          <w:kern w:val="0"/>
          <w:sz w:val="24"/>
          <w:lang w:val="en-US" w:eastAsia="zh-CN"/>
        </w:rPr>
        <w:t>11</w:t>
      </w:r>
      <w:r>
        <w:rPr>
          <w:rFonts w:hint="eastAsia" w:ascii="宋体" w:hAnsi="宋体" w:cs="宋体"/>
          <w:kern w:val="0"/>
          <w:sz w:val="24"/>
          <w:lang w:eastAsia="zh-CN"/>
        </w:rPr>
        <w:t>月</w:t>
      </w:r>
      <w:r>
        <w:rPr>
          <w:rFonts w:hint="eastAsia" w:ascii="宋体" w:hAnsi="宋体" w:cs="宋体"/>
          <w:kern w:val="0"/>
          <w:sz w:val="24"/>
          <w:lang w:val="en-US" w:eastAsia="zh-CN"/>
        </w:rPr>
        <w:t>17</w:t>
      </w:r>
      <w:r>
        <w:rPr>
          <w:rFonts w:hint="eastAsia" w:ascii="宋体" w:hAnsi="宋体" w:cs="宋体"/>
          <w:kern w:val="0"/>
          <w:sz w:val="24"/>
          <w:lang w:eastAsia="zh-CN"/>
        </w:rPr>
        <w:t>日上午</w:t>
      </w:r>
      <w:r>
        <w:rPr>
          <w:rFonts w:hint="eastAsia" w:ascii="宋体" w:hAnsi="宋体" w:cs="宋体"/>
          <w:kern w:val="0"/>
          <w:sz w:val="24"/>
          <w:lang w:val="en-US" w:eastAsia="zh-CN"/>
        </w:rPr>
        <w:t>9</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0</w:t>
      </w:r>
    </w:p>
    <w:p>
      <w:pPr>
        <w:spacing w:line="360" w:lineRule="exact"/>
        <w:ind w:firstLine="480" w:firstLineChars="200"/>
        <w:rPr>
          <w:rFonts w:ascii="宋体" w:hAnsi="宋体"/>
          <w:sz w:val="24"/>
        </w:rPr>
      </w:pPr>
      <w:r>
        <w:rPr>
          <w:rFonts w:hint="eastAsia" w:ascii="宋体" w:hAnsi="宋体"/>
          <w:sz w:val="24"/>
        </w:rPr>
        <w:t>2、地点：湖南铁路科技职业技术学院 谈判会议室（行政楼401）</w:t>
      </w:r>
    </w:p>
    <w:p>
      <w:pPr>
        <w:spacing w:line="360" w:lineRule="exact"/>
        <w:rPr>
          <w:rFonts w:ascii="宋体" w:hAnsi="宋体"/>
          <w:b/>
          <w:sz w:val="24"/>
        </w:rPr>
      </w:pPr>
      <w:r>
        <w:rPr>
          <w:rFonts w:hint="eastAsia" w:ascii="宋体" w:hAnsi="宋体"/>
          <w:b/>
          <w:sz w:val="24"/>
        </w:rPr>
        <w:t>五、谈判双方：</w:t>
      </w:r>
    </w:p>
    <w:p>
      <w:pPr>
        <w:spacing w:line="360" w:lineRule="exact"/>
        <w:ind w:firstLine="480" w:firstLineChars="200"/>
        <w:rPr>
          <w:rFonts w:ascii="宋体" w:hAnsi="宋体"/>
          <w:sz w:val="24"/>
        </w:rPr>
      </w:pPr>
      <w:r>
        <w:rPr>
          <w:rFonts w:hint="eastAsia" w:ascii="宋体" w:hAnsi="宋体"/>
          <w:sz w:val="24"/>
        </w:rPr>
        <w:t>1、投标供应商</w:t>
      </w:r>
    </w:p>
    <w:p>
      <w:pPr>
        <w:spacing w:line="360" w:lineRule="exact"/>
        <w:ind w:firstLine="480" w:firstLineChars="200"/>
        <w:rPr>
          <w:rFonts w:ascii="宋体" w:hAnsi="宋体"/>
          <w:sz w:val="24"/>
        </w:rPr>
      </w:pPr>
      <w:r>
        <w:rPr>
          <w:rFonts w:hint="eastAsia" w:ascii="宋体" w:hAnsi="宋体"/>
          <w:sz w:val="24"/>
        </w:rPr>
        <w:t>2、由招标单位有关人员组成的谈判小组</w:t>
      </w:r>
    </w:p>
    <w:p>
      <w:pPr>
        <w:spacing w:line="360" w:lineRule="exact"/>
        <w:rPr>
          <w:rFonts w:ascii="宋体" w:hAnsi="宋体"/>
          <w:b/>
          <w:sz w:val="24"/>
        </w:rPr>
      </w:pPr>
      <w:r>
        <w:rPr>
          <w:rFonts w:hint="eastAsia" w:ascii="宋体" w:hAnsi="宋体"/>
          <w:b/>
          <w:sz w:val="24"/>
        </w:rPr>
        <w:t>六、谈判程序：</w:t>
      </w:r>
    </w:p>
    <w:p>
      <w:pPr>
        <w:spacing w:line="360" w:lineRule="exact"/>
        <w:ind w:firstLine="480" w:firstLineChars="200"/>
        <w:rPr>
          <w:rFonts w:ascii="宋体" w:hAnsi="宋体"/>
          <w:sz w:val="24"/>
        </w:rPr>
      </w:pPr>
      <w:r>
        <w:rPr>
          <w:rFonts w:hint="eastAsia" w:ascii="宋体" w:hAnsi="宋体"/>
          <w:sz w:val="24"/>
        </w:rPr>
        <w:t>1、参加谈判的人员应签到以证明其出席；</w:t>
      </w:r>
    </w:p>
    <w:p>
      <w:pPr>
        <w:spacing w:line="360" w:lineRule="exact"/>
        <w:ind w:firstLine="480" w:firstLineChars="200"/>
        <w:rPr>
          <w:rFonts w:ascii="宋体" w:hAnsi="宋体"/>
          <w:sz w:val="24"/>
        </w:rPr>
      </w:pPr>
      <w:r>
        <w:rPr>
          <w:rFonts w:hint="eastAsia" w:ascii="宋体" w:hAnsi="宋体"/>
          <w:sz w:val="24"/>
        </w:rPr>
        <w:t>2、各供应商在谈判会议开始前递交投标文件，投标文件必须密封及加盖公章；</w:t>
      </w:r>
    </w:p>
    <w:p>
      <w:pPr>
        <w:spacing w:line="360" w:lineRule="exact"/>
        <w:ind w:firstLine="480" w:firstLineChars="200"/>
        <w:rPr>
          <w:rFonts w:ascii="宋体" w:hAnsi="宋体"/>
          <w:sz w:val="24"/>
        </w:rPr>
      </w:pPr>
      <w:r>
        <w:rPr>
          <w:rFonts w:hint="eastAsia" w:ascii="宋体" w:hAnsi="宋体"/>
          <w:sz w:val="24"/>
        </w:rPr>
        <w:t>3、谈判小组将按抽签顺序与各供应商分别进行谈判及要求供应商对投标文件有关事项作出解释或澄清；</w:t>
      </w:r>
    </w:p>
    <w:p>
      <w:pPr>
        <w:spacing w:line="360" w:lineRule="exact"/>
        <w:ind w:firstLine="480" w:firstLineChars="200"/>
        <w:rPr>
          <w:rFonts w:ascii="宋体" w:hAnsi="宋体"/>
          <w:sz w:val="24"/>
        </w:rPr>
      </w:pPr>
      <w:r>
        <w:rPr>
          <w:rFonts w:hint="eastAsia" w:ascii="宋体" w:hAnsi="宋体"/>
          <w:sz w:val="24"/>
        </w:rPr>
        <w:t>4、询标结束后，供应商在规定的时间内进行最后报价；</w:t>
      </w:r>
    </w:p>
    <w:p>
      <w:pPr>
        <w:spacing w:line="360" w:lineRule="exact"/>
        <w:ind w:firstLine="480" w:firstLineChars="200"/>
        <w:rPr>
          <w:rFonts w:ascii="宋体" w:hAnsi="宋体"/>
          <w:sz w:val="24"/>
        </w:rPr>
      </w:pPr>
      <w:r>
        <w:rPr>
          <w:rFonts w:hint="eastAsia" w:ascii="宋体" w:hAnsi="宋体"/>
          <w:sz w:val="24"/>
        </w:rPr>
        <w:t>5、宣布谈判结果并确定成交候选供应商。</w:t>
      </w:r>
    </w:p>
    <w:p>
      <w:pPr>
        <w:spacing w:line="360" w:lineRule="exact"/>
        <w:rPr>
          <w:rFonts w:ascii="宋体" w:hAnsi="宋体"/>
          <w:b/>
          <w:sz w:val="24"/>
        </w:rPr>
      </w:pPr>
      <w:r>
        <w:rPr>
          <w:rFonts w:hint="eastAsia" w:ascii="宋体" w:hAnsi="宋体"/>
          <w:b/>
          <w:sz w:val="24"/>
        </w:rPr>
        <w:t>七、供应商有下列情形之一的，中标、成交无效；</w:t>
      </w:r>
    </w:p>
    <w:p>
      <w:pPr>
        <w:spacing w:line="360" w:lineRule="exact"/>
        <w:ind w:firstLine="480" w:firstLineChars="200"/>
        <w:rPr>
          <w:rFonts w:ascii="宋体" w:hAnsi="宋体"/>
          <w:sz w:val="24"/>
        </w:rPr>
      </w:pPr>
      <w:r>
        <w:rPr>
          <w:rFonts w:hint="eastAsia" w:ascii="宋体" w:hAnsi="宋体"/>
          <w:sz w:val="24"/>
        </w:rPr>
        <w:t>1、提供虚假材料谋取中标、成交的；</w:t>
      </w:r>
    </w:p>
    <w:p>
      <w:pPr>
        <w:spacing w:line="360" w:lineRule="exact"/>
        <w:ind w:firstLine="480" w:firstLineChars="200"/>
        <w:rPr>
          <w:rFonts w:ascii="宋体" w:hAnsi="宋体"/>
          <w:sz w:val="24"/>
        </w:rPr>
      </w:pPr>
      <w:r>
        <w:rPr>
          <w:rFonts w:hint="eastAsia" w:ascii="宋体" w:hAnsi="宋体"/>
          <w:sz w:val="24"/>
        </w:rPr>
        <w:t>2、采取不正当手段底毁、排挤其他供应商的；</w:t>
      </w:r>
    </w:p>
    <w:p>
      <w:pPr>
        <w:spacing w:line="360" w:lineRule="exact"/>
        <w:ind w:firstLine="480" w:firstLineChars="200"/>
        <w:rPr>
          <w:rFonts w:ascii="宋体" w:hAnsi="宋体"/>
          <w:sz w:val="24"/>
        </w:rPr>
      </w:pPr>
      <w:r>
        <w:rPr>
          <w:rFonts w:hint="eastAsia" w:ascii="宋体" w:hAnsi="宋体"/>
          <w:sz w:val="24"/>
        </w:rPr>
        <w:t>3、与采购人、其他供应商恶意窜通的；</w:t>
      </w:r>
    </w:p>
    <w:p>
      <w:pPr>
        <w:spacing w:line="360" w:lineRule="exact"/>
        <w:ind w:firstLine="480" w:firstLineChars="200"/>
        <w:rPr>
          <w:rFonts w:ascii="宋体" w:hAnsi="宋体"/>
          <w:sz w:val="24"/>
        </w:rPr>
      </w:pPr>
      <w:r>
        <w:rPr>
          <w:rFonts w:hint="eastAsia" w:ascii="宋体" w:hAnsi="宋体"/>
          <w:sz w:val="24"/>
        </w:rPr>
        <w:t>4、向采购人行贿或者提供其他不正当利益的。</w:t>
      </w:r>
    </w:p>
    <w:p>
      <w:pPr>
        <w:spacing w:line="360" w:lineRule="exact"/>
        <w:rPr>
          <w:rFonts w:ascii="宋体" w:hAnsi="宋体"/>
          <w:b/>
          <w:sz w:val="24"/>
        </w:rPr>
      </w:pPr>
      <w:r>
        <w:rPr>
          <w:rFonts w:hint="eastAsia" w:ascii="宋体" w:hAnsi="宋体"/>
          <w:b/>
          <w:sz w:val="24"/>
        </w:rPr>
        <w:t>八、投标文件属下列情形之一的，按无效投标处理；</w:t>
      </w:r>
    </w:p>
    <w:p>
      <w:pPr>
        <w:spacing w:line="360" w:lineRule="exact"/>
        <w:ind w:firstLine="480" w:firstLineChars="200"/>
        <w:rPr>
          <w:rFonts w:ascii="宋体" w:hAnsi="宋体"/>
          <w:sz w:val="24"/>
        </w:rPr>
      </w:pPr>
      <w:r>
        <w:rPr>
          <w:rFonts w:hint="eastAsia" w:ascii="宋体" w:hAnsi="宋体"/>
          <w:sz w:val="24"/>
        </w:rPr>
        <w:t>1、投标文件未在规定的时间内送达的；</w:t>
      </w:r>
    </w:p>
    <w:p>
      <w:pPr>
        <w:spacing w:line="360" w:lineRule="exact"/>
        <w:ind w:firstLine="480" w:firstLineChars="200"/>
        <w:rPr>
          <w:rFonts w:ascii="宋体" w:hAnsi="宋体"/>
          <w:sz w:val="24"/>
        </w:rPr>
      </w:pPr>
      <w:r>
        <w:rPr>
          <w:rFonts w:hint="eastAsia" w:ascii="宋体" w:hAnsi="宋体"/>
          <w:sz w:val="24"/>
        </w:rPr>
        <w:t>2、未按照谈判文件规定要求密封的、签署、盖章的；</w:t>
      </w:r>
    </w:p>
    <w:p>
      <w:pPr>
        <w:spacing w:line="360" w:lineRule="exact"/>
        <w:ind w:firstLine="480" w:firstLineChars="200"/>
        <w:rPr>
          <w:rFonts w:ascii="宋体" w:hAnsi="宋体"/>
          <w:sz w:val="24"/>
        </w:rPr>
      </w:pPr>
      <w:r>
        <w:rPr>
          <w:rFonts w:hint="eastAsia" w:ascii="宋体" w:hAnsi="宋体"/>
          <w:sz w:val="24"/>
        </w:rPr>
        <w:t>3、不具备谈判文件中规定的其他实质性要求的。</w:t>
      </w:r>
    </w:p>
    <w:p>
      <w:pPr>
        <w:spacing w:line="360" w:lineRule="exact"/>
        <w:rPr>
          <w:rFonts w:ascii="宋体" w:hAnsi="宋体"/>
          <w:b/>
          <w:sz w:val="24"/>
        </w:rPr>
      </w:pPr>
      <w:r>
        <w:rPr>
          <w:rFonts w:hint="eastAsia" w:ascii="宋体" w:hAnsi="宋体"/>
          <w:b/>
          <w:sz w:val="24"/>
        </w:rPr>
        <w:t>九、谈判工作的基本原则</w:t>
      </w:r>
    </w:p>
    <w:p>
      <w:pPr>
        <w:spacing w:line="360" w:lineRule="exact"/>
        <w:ind w:firstLine="480" w:firstLineChars="200"/>
        <w:rPr>
          <w:rFonts w:ascii="宋体" w:hAnsi="宋体"/>
          <w:sz w:val="24"/>
        </w:rPr>
      </w:pPr>
      <w:r>
        <w:rPr>
          <w:rFonts w:hint="eastAsia" w:ascii="宋体" w:hAnsi="宋体"/>
          <w:sz w:val="24"/>
        </w:rPr>
        <w:t>1、遵循国家法律、法规；</w:t>
      </w:r>
    </w:p>
    <w:p>
      <w:pPr>
        <w:spacing w:line="360" w:lineRule="exact"/>
        <w:ind w:firstLine="480" w:firstLineChars="200"/>
        <w:rPr>
          <w:rFonts w:ascii="宋体" w:hAnsi="宋体"/>
          <w:sz w:val="24"/>
        </w:rPr>
      </w:pPr>
      <w:r>
        <w:rPr>
          <w:rFonts w:hint="eastAsia" w:ascii="宋体" w:hAnsi="宋体"/>
          <w:sz w:val="24"/>
        </w:rPr>
        <w:t>2、保护采购方的合法利益；</w:t>
      </w:r>
    </w:p>
    <w:p>
      <w:pPr>
        <w:spacing w:line="360" w:lineRule="exact"/>
        <w:ind w:firstLine="480" w:firstLineChars="200"/>
        <w:rPr>
          <w:rFonts w:ascii="宋体" w:hAnsi="宋体"/>
          <w:sz w:val="24"/>
        </w:rPr>
      </w:pPr>
      <w:r>
        <w:rPr>
          <w:rFonts w:hint="eastAsia" w:ascii="宋体" w:hAnsi="宋体"/>
          <w:sz w:val="24"/>
        </w:rPr>
        <w:t>3、客观、公正对待所有投标人，坚持实事求是、公平竞争的原则；</w:t>
      </w:r>
    </w:p>
    <w:p>
      <w:pPr>
        <w:spacing w:line="360" w:lineRule="exact"/>
        <w:ind w:firstLine="480" w:firstLineChars="200"/>
        <w:rPr>
          <w:rFonts w:hint="eastAsia" w:ascii="宋体" w:hAnsi="宋体"/>
          <w:sz w:val="24"/>
        </w:rPr>
      </w:pPr>
      <w:r>
        <w:rPr>
          <w:rFonts w:hint="eastAsia" w:ascii="宋体" w:hAnsi="宋体"/>
          <w:sz w:val="24"/>
        </w:rPr>
        <w:t>4、以谈判文件作为评定标准的依据，择优定标。</w:t>
      </w:r>
    </w:p>
    <w:p>
      <w:pPr>
        <w:spacing w:line="360" w:lineRule="exact"/>
        <w:rPr>
          <w:rFonts w:ascii="宋体" w:hAnsi="宋体"/>
          <w:b/>
          <w:sz w:val="24"/>
        </w:rPr>
      </w:pPr>
      <w:r>
        <w:rPr>
          <w:rFonts w:hint="eastAsia" w:ascii="宋体" w:hAnsi="宋体"/>
          <w:b/>
          <w:sz w:val="24"/>
        </w:rPr>
        <w:t>十、谈判过程中的保密原则</w:t>
      </w:r>
    </w:p>
    <w:p>
      <w:pPr>
        <w:spacing w:line="360" w:lineRule="exact"/>
        <w:ind w:firstLine="480" w:firstLineChars="200"/>
        <w:rPr>
          <w:rFonts w:ascii="宋体" w:hAnsi="宋体"/>
          <w:sz w:val="24"/>
        </w:rPr>
      </w:pPr>
      <w:r>
        <w:rPr>
          <w:rFonts w:hint="eastAsia" w:ascii="宋体" w:hAnsi="宋体"/>
          <w:sz w:val="24"/>
        </w:rPr>
        <w:t>1、开标后，直到授予中标人合同止，凡涉及审查、评估和比较投标文件以及定标意见等，均不得向投标人及与谈判无关的人员透露；</w:t>
      </w:r>
    </w:p>
    <w:p>
      <w:pPr>
        <w:spacing w:line="360" w:lineRule="exact"/>
        <w:ind w:firstLine="480" w:firstLineChars="200"/>
        <w:rPr>
          <w:rFonts w:ascii="宋体" w:hAnsi="宋体"/>
          <w:sz w:val="24"/>
        </w:rPr>
      </w:pPr>
      <w:r>
        <w:rPr>
          <w:rFonts w:hint="eastAsia" w:ascii="宋体" w:hAnsi="宋体"/>
          <w:sz w:val="24"/>
        </w:rPr>
        <w:t>2、在评标期间，投标方企图影响谈判小组的任何活动，将导致投标被拒绝，并承担相对的法律责任。</w:t>
      </w:r>
    </w:p>
    <w:p>
      <w:pPr>
        <w:widowControl/>
        <w:spacing w:line="320" w:lineRule="exact"/>
        <w:jc w:val="left"/>
        <w:rPr>
          <w:rFonts w:ascii="宋体" w:hAnsi="宋体" w:cs="宋体"/>
          <w:b/>
          <w:kern w:val="0"/>
          <w:sz w:val="20"/>
          <w:szCs w:val="20"/>
        </w:rPr>
      </w:pPr>
      <w:r>
        <w:rPr>
          <w:rFonts w:hint="eastAsia" w:ascii="宋体" w:hAnsi="宋体"/>
          <w:b/>
          <w:sz w:val="24"/>
        </w:rPr>
        <w:t>十一、</w:t>
      </w:r>
      <w:r>
        <w:rPr>
          <w:rFonts w:ascii="宋体" w:hAnsi="宋体" w:cs="宋体"/>
          <w:b/>
          <w:kern w:val="0"/>
          <w:sz w:val="24"/>
        </w:rPr>
        <w:t>开标和评标</w:t>
      </w:r>
    </w:p>
    <w:p>
      <w:pPr>
        <w:widowControl/>
        <w:spacing w:line="320" w:lineRule="exact"/>
        <w:ind w:firstLine="480" w:firstLineChars="200"/>
        <w:jc w:val="left"/>
        <w:rPr>
          <w:rFonts w:hint="eastAsia" w:ascii="宋体" w:hAnsi="宋体" w:cs="宋体"/>
          <w:kern w:val="0"/>
          <w:sz w:val="24"/>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ascii="宋体" w:hAnsi="宋体" w:cs="宋体"/>
          <w:kern w:val="0"/>
          <w:sz w:val="24"/>
        </w:rPr>
        <w:t>招</w:t>
      </w:r>
      <w:r>
        <w:rPr>
          <w:rFonts w:hint="eastAsia" w:ascii="宋体" w:hAnsi="宋体" w:cs="宋体"/>
          <w:kern w:val="0"/>
          <w:sz w:val="24"/>
        </w:rPr>
        <w:t>投</w:t>
      </w:r>
      <w:r>
        <w:rPr>
          <w:rFonts w:ascii="宋体" w:hAnsi="宋体" w:cs="宋体"/>
          <w:kern w:val="0"/>
          <w:sz w:val="24"/>
        </w:rPr>
        <w:t>标</w:t>
      </w:r>
      <w:r>
        <w:rPr>
          <w:rFonts w:hint="eastAsia" w:ascii="宋体" w:hAnsi="宋体" w:cs="宋体"/>
          <w:kern w:val="0"/>
          <w:sz w:val="24"/>
        </w:rPr>
        <w:t>小</w:t>
      </w:r>
      <w:r>
        <w:rPr>
          <w:rFonts w:ascii="宋体" w:hAnsi="宋体" w:cs="宋体"/>
          <w:kern w:val="0"/>
          <w:sz w:val="24"/>
        </w:rPr>
        <w:t>组</w:t>
      </w:r>
      <w:r>
        <w:rPr>
          <w:rFonts w:hint="eastAsia" w:ascii="宋体" w:hAnsi="宋体" w:cs="宋体"/>
          <w:kern w:val="0"/>
          <w:sz w:val="24"/>
        </w:rPr>
        <w:t>具体组织</w:t>
      </w:r>
      <w:r>
        <w:rPr>
          <w:rFonts w:ascii="宋体" w:hAnsi="宋体" w:cs="宋体"/>
          <w:kern w:val="0"/>
          <w:sz w:val="24"/>
        </w:rPr>
        <w:t>。</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评标的基础是投标人的资质、质量、报价、服务项目和承诺等。</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招标人有权在签订合同时调整采购数量。</w:t>
      </w:r>
    </w:p>
    <w:p>
      <w:pPr>
        <w:spacing w:line="360" w:lineRule="exact"/>
        <w:rPr>
          <w:rFonts w:ascii="宋体" w:hAnsi="宋体"/>
          <w:b/>
          <w:sz w:val="24"/>
        </w:rPr>
      </w:pPr>
      <w:r>
        <w:rPr>
          <w:rFonts w:hint="eastAsia" w:ascii="宋体" w:hAnsi="宋体"/>
          <w:b/>
          <w:sz w:val="24"/>
        </w:rPr>
        <w:t>十二、其他需要说明的事项</w:t>
      </w:r>
    </w:p>
    <w:p>
      <w:pPr>
        <w:spacing w:line="360" w:lineRule="exact"/>
        <w:ind w:firstLine="480" w:firstLineChars="200"/>
        <w:rPr>
          <w:rFonts w:ascii="宋体" w:hAnsi="宋体"/>
          <w:sz w:val="24"/>
        </w:rPr>
      </w:pPr>
      <w:r>
        <w:rPr>
          <w:rFonts w:hint="eastAsia" w:ascii="宋体" w:hAnsi="宋体"/>
          <w:sz w:val="24"/>
        </w:rPr>
        <w:t>1、投标单位应充分理解文件的全部内容。</w:t>
      </w:r>
    </w:p>
    <w:p>
      <w:pPr>
        <w:spacing w:line="360" w:lineRule="exact"/>
        <w:ind w:firstLine="480" w:firstLineChars="200"/>
        <w:rPr>
          <w:rFonts w:ascii="宋体" w:hAnsi="宋体"/>
          <w:sz w:val="24"/>
        </w:rPr>
      </w:pPr>
      <w:r>
        <w:rPr>
          <w:rFonts w:hint="eastAsia" w:ascii="宋体" w:hAnsi="宋体"/>
          <w:sz w:val="24"/>
        </w:rPr>
        <w:t>2、投标单位不得转让标书。</w:t>
      </w:r>
    </w:p>
    <w:p>
      <w:pPr>
        <w:spacing w:line="360" w:lineRule="exact"/>
        <w:ind w:firstLine="480" w:firstLineChars="200"/>
        <w:rPr>
          <w:rFonts w:ascii="宋体" w:hAnsi="宋体"/>
          <w:sz w:val="24"/>
        </w:rPr>
      </w:pPr>
      <w:r>
        <w:rPr>
          <w:rFonts w:hint="eastAsia" w:ascii="宋体" w:hAnsi="宋体"/>
          <w:sz w:val="24"/>
        </w:rPr>
        <w:t>3、投标单位对招标文件内容的修改或签复投标单位提出的问题，将以招标补充文件的形式书面通知所有投标单位；招标补充文件与招标文件具有同等法律效力。当文件时间、内容有矛盾时，以日期在后的文件为准。</w:t>
      </w:r>
    </w:p>
    <w:p>
      <w:pPr>
        <w:spacing w:line="360" w:lineRule="exact"/>
        <w:ind w:firstLine="480" w:firstLineChars="200"/>
        <w:rPr>
          <w:rFonts w:ascii="宋体" w:hAnsi="宋体"/>
          <w:sz w:val="24"/>
        </w:rPr>
      </w:pPr>
      <w:r>
        <w:rPr>
          <w:rFonts w:hint="eastAsia" w:ascii="宋体" w:hAnsi="宋体"/>
          <w:sz w:val="24"/>
        </w:rPr>
        <w:t>4、投标单位在开标前或开标后要求撤销投标文件，必须提出书面申请并加盖公章。</w:t>
      </w: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pStyle w:val="10"/>
        <w:rPr>
          <w:rFonts w:hint="eastAsia" w:ascii="宋体" w:hAnsi="宋体" w:eastAsia="宋体"/>
          <w:b/>
          <w:sz w:val="28"/>
          <w:szCs w:val="28"/>
        </w:rPr>
      </w:pPr>
    </w:p>
    <w:p>
      <w:pPr>
        <w:pStyle w:val="10"/>
        <w:rPr>
          <w:rFonts w:hint="eastAsia" w:ascii="宋体" w:hAnsi="宋体" w:eastAsia="宋体"/>
          <w:b/>
          <w:sz w:val="28"/>
          <w:szCs w:val="28"/>
        </w:rPr>
      </w:pPr>
    </w:p>
    <w:p>
      <w:pPr>
        <w:pStyle w:val="10"/>
        <w:rPr>
          <w:rFonts w:hint="eastAsia" w:ascii="宋体" w:hAnsi="宋体" w:eastAsia="宋体"/>
          <w:b/>
          <w:sz w:val="28"/>
          <w:szCs w:val="28"/>
        </w:rPr>
      </w:pPr>
    </w:p>
    <w:p>
      <w:pPr>
        <w:pStyle w:val="10"/>
        <w:rPr>
          <w:rFonts w:hint="eastAsia" w:ascii="宋体" w:hAnsi="宋体" w:eastAsia="宋体"/>
          <w:b/>
          <w:sz w:val="28"/>
          <w:szCs w:val="28"/>
        </w:rPr>
      </w:pPr>
    </w:p>
    <w:p>
      <w:pPr>
        <w:pStyle w:val="10"/>
        <w:rPr>
          <w:rFonts w:hint="eastAsia" w:ascii="宋体" w:hAnsi="宋体" w:eastAsia="宋体"/>
          <w:b/>
          <w:sz w:val="28"/>
          <w:szCs w:val="28"/>
        </w:rPr>
      </w:pPr>
    </w:p>
    <w:p>
      <w:pPr>
        <w:pStyle w:val="10"/>
        <w:rPr>
          <w:rFonts w:hint="eastAsia" w:ascii="宋体" w:hAnsi="宋体" w:eastAsia="宋体"/>
          <w:b/>
          <w:sz w:val="28"/>
          <w:szCs w:val="28"/>
        </w:rPr>
      </w:pPr>
    </w:p>
    <w:p>
      <w:pPr>
        <w:pStyle w:val="10"/>
        <w:rPr>
          <w:rFonts w:hint="eastAsia" w:ascii="宋体" w:hAnsi="宋体" w:eastAsia="宋体"/>
          <w:b/>
          <w:sz w:val="28"/>
          <w:szCs w:val="28"/>
        </w:rPr>
      </w:pPr>
    </w:p>
    <w:p>
      <w:pPr>
        <w:pStyle w:val="10"/>
        <w:rPr>
          <w:rFonts w:hint="eastAsia" w:ascii="宋体" w:hAnsi="宋体" w:eastAsia="宋体"/>
          <w:b/>
          <w:sz w:val="28"/>
          <w:szCs w:val="28"/>
        </w:rPr>
      </w:pPr>
    </w:p>
    <w:p>
      <w:pPr>
        <w:pStyle w:val="10"/>
        <w:rPr>
          <w:rFonts w:hint="eastAsia" w:ascii="宋体" w:hAnsi="宋体" w:eastAsia="宋体"/>
          <w:b/>
          <w:sz w:val="28"/>
          <w:szCs w:val="28"/>
        </w:rPr>
      </w:pPr>
    </w:p>
    <w:p>
      <w:pPr>
        <w:pStyle w:val="10"/>
        <w:rPr>
          <w:rFonts w:hint="eastAsia" w:ascii="宋体" w:hAnsi="宋体" w:eastAsia="宋体"/>
          <w:b/>
          <w:sz w:val="28"/>
          <w:szCs w:val="28"/>
        </w:rPr>
      </w:pPr>
    </w:p>
    <w:p>
      <w:pPr>
        <w:spacing w:line="360" w:lineRule="exact"/>
        <w:rPr>
          <w:rFonts w:hint="eastAsia" w:ascii="宋体" w:hAnsi="宋体"/>
          <w:b/>
          <w:sz w:val="28"/>
          <w:szCs w:val="28"/>
        </w:rPr>
      </w:pPr>
    </w:p>
    <w:p>
      <w:pPr>
        <w:pStyle w:val="10"/>
        <w:rPr>
          <w:rFonts w:hint="eastAsia" w:ascii="宋体" w:hAnsi="宋体"/>
          <w:b/>
          <w:sz w:val="28"/>
          <w:szCs w:val="28"/>
        </w:rPr>
      </w:pPr>
    </w:p>
    <w:p>
      <w:pPr>
        <w:pStyle w:val="10"/>
        <w:rPr>
          <w:rFonts w:hint="eastAsia" w:ascii="宋体" w:hAnsi="宋体"/>
          <w:b/>
          <w:sz w:val="28"/>
          <w:szCs w:val="28"/>
        </w:rPr>
      </w:pPr>
    </w:p>
    <w:p>
      <w:pPr>
        <w:pStyle w:val="10"/>
        <w:rPr>
          <w:rFonts w:hint="eastAsia" w:ascii="宋体" w:hAnsi="宋体"/>
          <w:b/>
          <w:sz w:val="28"/>
          <w:szCs w:val="28"/>
        </w:rPr>
      </w:pPr>
    </w:p>
    <w:p>
      <w:pPr>
        <w:pStyle w:val="10"/>
        <w:rPr>
          <w:rFonts w:hint="eastAsia" w:ascii="宋体" w:hAnsi="宋体"/>
          <w:b/>
          <w:sz w:val="28"/>
          <w:szCs w:val="28"/>
        </w:rPr>
      </w:pPr>
    </w:p>
    <w:p>
      <w:pPr>
        <w:pStyle w:val="10"/>
        <w:rPr>
          <w:rFonts w:hint="eastAsia" w:ascii="宋体" w:hAnsi="宋体"/>
          <w:b/>
          <w:sz w:val="28"/>
          <w:szCs w:val="28"/>
        </w:rPr>
      </w:pPr>
    </w:p>
    <w:p>
      <w:pPr>
        <w:pStyle w:val="10"/>
        <w:rPr>
          <w:rFonts w:hint="eastAsia" w:ascii="宋体" w:hAnsi="宋体"/>
          <w:b/>
          <w:sz w:val="28"/>
          <w:szCs w:val="28"/>
        </w:rPr>
      </w:pPr>
    </w:p>
    <w:p>
      <w:pPr>
        <w:pStyle w:val="10"/>
        <w:numPr>
          <w:ilvl w:val="0"/>
          <w:numId w:val="1"/>
        </w:numPr>
        <w:jc w:val="center"/>
        <w:rPr>
          <w:rFonts w:hint="eastAsia" w:ascii="宋体" w:hAnsi="宋体"/>
          <w:b/>
          <w:sz w:val="28"/>
          <w:szCs w:val="28"/>
        </w:rPr>
      </w:pPr>
      <w:r>
        <w:rPr>
          <w:rFonts w:hint="eastAsia" w:ascii="宋体" w:hAnsi="宋体"/>
          <w:b/>
          <w:sz w:val="28"/>
          <w:szCs w:val="28"/>
          <w:lang w:eastAsia="zh-CN"/>
        </w:rPr>
        <w:t>等级证书（1+X）实训考核设备项目</w:t>
      </w:r>
      <w:r>
        <w:rPr>
          <w:rFonts w:hint="eastAsia" w:ascii="宋体" w:hAnsi="宋体"/>
          <w:b/>
          <w:sz w:val="28"/>
          <w:szCs w:val="28"/>
        </w:rPr>
        <w:t>参数要求</w:t>
      </w:r>
    </w:p>
    <w:tbl>
      <w:tblPr>
        <w:tblStyle w:val="7"/>
        <w:tblpPr w:leftFromText="180" w:rightFromText="180" w:vertAnchor="text" w:horzAnchor="page" w:tblpX="1072" w:tblpY="607"/>
        <w:tblOverlap w:val="never"/>
        <w:tblW w:w="9458" w:type="dxa"/>
        <w:tblInd w:w="0" w:type="dxa"/>
        <w:tblLayout w:type="fixed"/>
        <w:tblCellMar>
          <w:top w:w="15" w:type="dxa"/>
          <w:left w:w="15" w:type="dxa"/>
          <w:bottom w:w="15" w:type="dxa"/>
          <w:right w:w="15" w:type="dxa"/>
        </w:tblCellMar>
      </w:tblPr>
      <w:tblGrid>
        <w:gridCol w:w="690"/>
        <w:gridCol w:w="982"/>
        <w:gridCol w:w="5700"/>
        <w:gridCol w:w="900"/>
        <w:gridCol w:w="1186"/>
      </w:tblGrid>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C6E0B4"/>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C6E0B4"/>
            <w:vAlign w:val="center"/>
          </w:tcPr>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产品名称</w:t>
            </w:r>
          </w:p>
        </w:tc>
        <w:tc>
          <w:tcPr>
            <w:tcW w:w="5700" w:type="dxa"/>
            <w:tcBorders>
              <w:top w:val="single" w:color="000000" w:sz="4" w:space="0"/>
              <w:left w:val="single" w:color="000000" w:sz="4" w:space="0"/>
              <w:bottom w:val="single" w:color="000000" w:sz="4" w:space="0"/>
              <w:right w:val="single" w:color="000000" w:sz="4" w:space="0"/>
            </w:tcBorders>
            <w:shd w:val="clear" w:color="auto" w:fill="C6E0B4"/>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规格参数</w:t>
            </w:r>
          </w:p>
        </w:tc>
        <w:tc>
          <w:tcPr>
            <w:tcW w:w="900" w:type="dxa"/>
            <w:tcBorders>
              <w:top w:val="single" w:color="000000" w:sz="4" w:space="0"/>
              <w:left w:val="single" w:color="000000" w:sz="4" w:space="0"/>
              <w:bottom w:val="single" w:color="000000" w:sz="4" w:space="0"/>
              <w:right w:val="single" w:color="000000" w:sz="4" w:space="0"/>
            </w:tcBorders>
            <w:shd w:val="clear" w:color="auto" w:fill="C6E0B4"/>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数量</w:t>
            </w:r>
          </w:p>
        </w:tc>
        <w:tc>
          <w:tcPr>
            <w:tcW w:w="1186" w:type="dxa"/>
            <w:tcBorders>
              <w:top w:val="single" w:color="000000" w:sz="4" w:space="0"/>
              <w:left w:val="single" w:color="000000" w:sz="4" w:space="0"/>
              <w:bottom w:val="single" w:color="000000" w:sz="4" w:space="0"/>
              <w:right w:val="single" w:color="000000" w:sz="4" w:space="0"/>
            </w:tcBorders>
            <w:shd w:val="clear" w:color="auto" w:fill="C6E0B4"/>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单位</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控制终端操作台</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灰白木色三胺板桌面，基材选用25mm厚中密度板，强度高，不变形，承重性强，所有材料均经过防虫，防腐等化学处理,桌面打出线圆孔.前档板落地，每位带PVC键盘架和活动主机柜个一个。桌椅尺寸约：L1200×W600×H750mm）含标准办公坐椅和插线板一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2</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手持终端</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1.无线手持终端</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处理器：PXA320 @624MHz 256M/1G</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操作系统：CE系统</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扩展槽：SD/MMC卡槽 8G</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无线：802.11a/b/g</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BT 2.1 EDR classII</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支持：SE950 SE4500SR 752X480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耳机接口、扬声器、麦克风、蓝牙耳机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防护等级：IP54</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1.2米跌落 500次0.5米滚动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操作温度：-10至50度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屏幕：3英寸彩色320X320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电池容量：标准的：可充电式锂离子电池，4800mAh原装充电座键盘：38键</w:t>
            </w:r>
          </w:p>
          <w:p>
            <w:pPr>
              <w:pStyle w:val="2"/>
              <w:spacing w:line="24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kern w:val="0"/>
                <w:sz w:val="21"/>
                <w:szCs w:val="21"/>
                <w:lang w:bidi="ar"/>
              </w:rPr>
              <w:t>▲</w:t>
            </w:r>
            <w:r>
              <w:rPr>
                <w:rFonts w:hint="eastAsia" w:ascii="宋体" w:hAnsi="宋体" w:eastAsia="宋体" w:cs="宋体"/>
                <w:b w:val="0"/>
                <w:bCs w:val="0"/>
                <w:color w:val="000000"/>
                <w:kern w:val="0"/>
                <w:sz w:val="21"/>
                <w:szCs w:val="21"/>
                <w:lang w:val="en-US" w:eastAsia="zh-CN" w:bidi="ar"/>
              </w:rPr>
              <w:t>实现</w:t>
            </w:r>
            <w:r>
              <w:rPr>
                <w:rFonts w:hint="eastAsia" w:ascii="宋体" w:hAnsi="宋体" w:eastAsia="宋体" w:cs="宋体"/>
                <w:b w:val="0"/>
                <w:bCs w:val="0"/>
                <w:sz w:val="21"/>
                <w:szCs w:val="21"/>
                <w:lang w:val="en-US" w:eastAsia="zh-CN"/>
              </w:rPr>
              <w:t>手持终端与中物联考试平台系统对接集成</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3</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包装耗材</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纸箱规格1-1  外径（长*宽*高）：外径：190mm*370mm*270mm</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纸箱规格1-2  外径（长*宽*高）：外径：285mm*380mm*270mm</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纸箱规格1-3  外径（长*宽*高）：外径：320mm*480mm*200mm</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纸箱规格1-4  外径（长*宽*高）：外径：380mm*570mm*220mm</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纸箱规格1-5  外径（长*宽*高）：外径：350mm*350mm*245mm</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五层瓦楞纸、铆钉封装，印字（尺寸、学校LOGO、堆垛层数、防潮等）</w:t>
            </w:r>
          </w:p>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lang w:val="en-US" w:eastAsia="zh-CN"/>
              </w:rPr>
              <w:t>每个规格100个。</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项</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4</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无线</w:t>
            </w:r>
            <w:r>
              <w:rPr>
                <w:rFonts w:hint="eastAsia" w:ascii="宋体" w:hAnsi="宋体" w:eastAsia="宋体" w:cs="宋体"/>
                <w:b w:val="0"/>
                <w:bCs w:val="0"/>
                <w:color w:val="000000"/>
                <w:kern w:val="0"/>
                <w:sz w:val="21"/>
                <w:szCs w:val="21"/>
              </w:rPr>
              <w:t>基站</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类型:无线路由器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机身材质工艺:金属机身</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使用场景:其他</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总带机量:50-100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规格信息:LAN口(设备连接口)</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千兆网口:WAN口(网线接入口)</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传输标准:IEEE 802.11n；IEEE 802.11g；IEEE 802.11b；IEEE 802.11.ac；IEEE 802.11.a；IEEE 802.3；IEEE 802.3u；IEEE 802.3ab</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网络协议:其他</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无线协议:802.11ac</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处理器:其他</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无线速率:其他</w:t>
            </w:r>
          </w:p>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bidi="ar"/>
              </w:rPr>
              <w:t>▲</w:t>
            </w:r>
            <w:r>
              <w:rPr>
                <w:rFonts w:hint="eastAsia" w:ascii="宋体" w:hAnsi="宋体" w:eastAsia="宋体" w:cs="宋体"/>
                <w:b w:val="0"/>
                <w:bCs w:val="0"/>
                <w:color w:val="auto"/>
                <w:sz w:val="21"/>
                <w:szCs w:val="21"/>
              </w:rPr>
              <w:t>支持RF手持终端与物流管理信息系统的无线连接</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UPS不间断电源</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额定容量：2400W</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输入频率：（40~70）Hz</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转换时间：0ms时间切换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电池放电：当输入电压断电时每四秒一叫，当电池将用尽时每一秒一叫，UPS运行状态指示灯等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电池备用时间：大于4.5min</w:t>
            </w:r>
          </w:p>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rPr>
              <w:t>电池充电时间：小于等于10小时</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6</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视频监控</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包含：4路POE硬盘录像机1台、200万像素带拾音功能球机摄像头2个，2T监控硬盘，19寸液晶显示器，包安装</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套</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7</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打印机</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产品类别：黑白激光打印机</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分 辨 率：高达 600*600 dpi(1200 dpi 有效输出)</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打印速度：18页/分</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最大打印幅面：A4</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打印能力：5,000页/月</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进纸方式：手动</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接口类型：USB接口</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8</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条形码打印机</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基本参数：</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打印方式：热敏或热转印</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 xml:space="preserve">打印速度：76mm/s </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 xml:space="preserve">最大打印宽度：104mm </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 xml:space="preserve">最大打印长度：1092mm </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 xml:space="preserve">分辨率：203dpi </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 xml:space="preserve">碳带宽度：33-109mm </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 xml:space="preserve">带长度：920mm </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内存：4MB</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通信接口：USB，串行接口，并行接口</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字体：5 种内建文数字字体，国际标准字.</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 xml:space="preserve">产品类型：桌面打印机 </w:t>
            </w:r>
            <w:r>
              <w:rPr>
                <w:rFonts w:hint="eastAsia" w:ascii="宋体" w:hAnsi="宋体" w:eastAsia="宋体" w:cs="宋体"/>
                <w:b w:val="0"/>
                <w:bCs w:val="0"/>
                <w:color w:val="000000"/>
                <w:kern w:val="0"/>
                <w:sz w:val="21"/>
                <w:szCs w:val="21"/>
              </w:rPr>
              <w:br w:type="textWrapping"/>
            </w:r>
            <w:r>
              <w:rPr>
                <w:rFonts w:hint="eastAsia" w:ascii="宋体" w:hAnsi="宋体" w:eastAsia="宋体" w:cs="宋体"/>
                <w:b w:val="0"/>
                <w:bCs w:val="0"/>
                <w:color w:val="000000"/>
                <w:kern w:val="0"/>
                <w:sz w:val="21"/>
                <w:szCs w:val="21"/>
              </w:rPr>
              <w:t>介质厚度：0.058-0.305mm</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9</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项目集成</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设备强弱电布线，实训室规划布局</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根据考核站点实操考场建设确保软硬件的使用。</w:t>
            </w:r>
            <w:r>
              <w:rPr>
                <w:rFonts w:hint="eastAsia" w:ascii="宋体" w:hAnsi="宋体" w:eastAsia="宋体" w:cs="宋体"/>
                <w:b w:val="0"/>
                <w:bCs w:val="0"/>
                <w:color w:val="000000"/>
                <w:kern w:val="0"/>
                <w:sz w:val="21"/>
                <w:szCs w:val="21"/>
              </w:rPr>
              <w:t>实训室挂图，内容包括：实训室操作安全规范、实训流程介绍等约5幅挂图</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挂图外形尺寸长宽约1200*800mm；</w:t>
            </w:r>
            <w:r>
              <w:rPr>
                <w:rFonts w:hint="eastAsia" w:ascii="宋体" w:hAnsi="宋体" w:eastAsia="宋体" w:cs="宋体"/>
                <w:b w:val="0"/>
                <w:bCs w:val="0"/>
                <w:color w:val="000000"/>
                <w:kern w:val="0"/>
                <w:sz w:val="21"/>
                <w:szCs w:val="21"/>
                <w:lang w:val="en-US" w:eastAsia="zh-CN"/>
              </w:rPr>
              <w:t>考点操作区指示牌5个。</w:t>
            </w:r>
            <w:r>
              <w:rPr>
                <w:rFonts w:hint="eastAsia" w:ascii="宋体" w:hAnsi="宋体" w:eastAsia="宋体" w:cs="宋体"/>
                <w:b w:val="0"/>
                <w:bCs w:val="0"/>
                <w:color w:val="000000"/>
                <w:kern w:val="0"/>
                <w:sz w:val="21"/>
                <w:szCs w:val="21"/>
              </w:rPr>
              <w:t>符合实训室建设规划要求。</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项</w:t>
            </w:r>
          </w:p>
        </w:tc>
      </w:tr>
      <w:tr>
        <w:tblPrEx>
          <w:tblCellMar>
            <w:top w:w="15" w:type="dxa"/>
            <w:left w:w="15" w:type="dxa"/>
            <w:bottom w:w="15" w:type="dxa"/>
            <w:right w:w="15" w:type="dxa"/>
          </w:tblCellMar>
        </w:tblPrEx>
        <w:trPr>
          <w:trHeight w:val="10057"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10</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实训教学资源</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rPr>
            </w:pPr>
            <w:r>
              <w:rPr>
                <w:rFonts w:hint="eastAsia"/>
              </w:rPr>
              <w:t>一、物流管理职业技能等级考核实操训练模拟软件</w:t>
            </w:r>
          </w:p>
          <w:p>
            <w:pPr>
              <w:widowControl/>
              <w:spacing w:line="240" w:lineRule="auto"/>
              <w:ind w:firstLine="420" w:firstLineChars="200"/>
              <w:rPr>
                <w:rFonts w:hint="eastAsia"/>
              </w:rPr>
            </w:pPr>
            <w:r>
              <w:rPr>
                <w:rFonts w:hint="eastAsia"/>
              </w:rPr>
              <w:t>软件还原物流管理职业技能等级考核实操场景，按照实操题目要求通过对虚拟现场货架储位、货物、手持终端等交互模拟操作，实现考试要求的入库作业、出库作业操作流程。</w:t>
            </w:r>
          </w:p>
          <w:p>
            <w:pPr>
              <w:widowControl/>
              <w:spacing w:line="240" w:lineRule="auto"/>
              <w:rPr>
                <w:rFonts w:hint="eastAsia"/>
              </w:rPr>
            </w:pPr>
            <w:r>
              <w:rPr>
                <w:rFonts w:hint="eastAsia"/>
              </w:rPr>
              <w:t>★1、软件标准实操场景包含6m*1.2m托盘货架区、7.4m*1.8m托盘组托区、0.6m*5m控制区，出入库商品等。软件操作采用第一人称三维交互的方式进行模拟考核实操。</w:t>
            </w:r>
          </w:p>
          <w:p>
            <w:pPr>
              <w:widowControl/>
              <w:spacing w:line="240" w:lineRule="auto"/>
              <w:rPr>
                <w:rFonts w:hint="eastAsia"/>
              </w:rPr>
            </w:pPr>
            <w:r>
              <w:rPr>
                <w:rFonts w:hint="eastAsia"/>
              </w:rPr>
              <w:t>●2、入库作业实操模拟</w:t>
            </w:r>
          </w:p>
          <w:p>
            <w:pPr>
              <w:widowControl/>
              <w:spacing w:line="240" w:lineRule="auto"/>
              <w:rPr>
                <w:rFonts w:hint="eastAsia"/>
              </w:rPr>
            </w:pPr>
            <w:r>
              <w:rPr>
                <w:rFonts w:hint="eastAsia"/>
              </w:rPr>
              <w:t>1）、在RF手持终端选择作业单，选择要完成的入库单，开始作业。</w:t>
            </w:r>
          </w:p>
          <w:p>
            <w:pPr>
              <w:widowControl/>
              <w:spacing w:line="240" w:lineRule="auto"/>
              <w:rPr>
                <w:rFonts w:hint="eastAsia"/>
              </w:rPr>
            </w:pPr>
            <w:r>
              <w:rPr>
                <w:rFonts w:hint="eastAsia"/>
              </w:rPr>
              <w:t>2）、入库理货，根据入库单信息对应的物品扫描货品条码、托盘标签，清点货品数量录入实收数量然后保存结果，依次完成的所有商品入库理货作业。</w:t>
            </w:r>
          </w:p>
          <w:p>
            <w:pPr>
              <w:widowControl/>
              <w:spacing w:line="240" w:lineRule="auto"/>
              <w:rPr>
                <w:rFonts w:hint="eastAsia"/>
              </w:rPr>
            </w:pPr>
            <w:r>
              <w:rPr>
                <w:rFonts w:hint="eastAsia"/>
              </w:rPr>
              <w:t>3）、入库搬运，依次扫描商品托盘标签获取商品信息核对商品信息无误后确认搬运。</w:t>
            </w:r>
          </w:p>
          <w:p>
            <w:pPr>
              <w:widowControl/>
              <w:spacing w:line="240" w:lineRule="auto"/>
              <w:rPr>
                <w:rFonts w:hint="eastAsia"/>
              </w:rPr>
            </w:pPr>
            <w:r>
              <w:rPr>
                <w:rFonts w:hint="eastAsia"/>
              </w:rPr>
              <w:t>4）、入库上架，扫描托盘标签获取商品信息，扫描货架上的储位标签完成入库上架作业。</w:t>
            </w:r>
          </w:p>
          <w:p>
            <w:pPr>
              <w:widowControl/>
              <w:spacing w:line="240" w:lineRule="auto"/>
              <w:rPr>
                <w:rFonts w:hint="eastAsia"/>
              </w:rPr>
            </w:pPr>
            <w:r>
              <w:rPr>
                <w:rFonts w:hint="eastAsia"/>
              </w:rPr>
              <w:t>●3、出库作业实操模拟</w:t>
            </w:r>
          </w:p>
          <w:p>
            <w:pPr>
              <w:widowControl/>
              <w:spacing w:line="240" w:lineRule="auto"/>
              <w:rPr>
                <w:rFonts w:hint="eastAsia"/>
              </w:rPr>
            </w:pPr>
            <w:r>
              <w:rPr>
                <w:rFonts w:hint="eastAsia"/>
              </w:rPr>
              <w:t>1）、在RF手持终端选择出库作业单，开始作业。</w:t>
            </w:r>
          </w:p>
          <w:p>
            <w:pPr>
              <w:widowControl/>
              <w:spacing w:line="240" w:lineRule="auto"/>
              <w:rPr>
                <w:rFonts w:hint="eastAsia"/>
              </w:rPr>
            </w:pPr>
            <w:r>
              <w:rPr>
                <w:rFonts w:hint="eastAsia"/>
              </w:rPr>
              <w:t>2）、出库下架，依次扫描托盘标签、储位标签、核对商品信息、录入出库数量确认下架，依次完成所有商品出库下架作业。</w:t>
            </w:r>
          </w:p>
          <w:p>
            <w:pPr>
              <w:widowControl/>
              <w:spacing w:line="240" w:lineRule="auto"/>
              <w:rPr>
                <w:rFonts w:hint="eastAsia"/>
              </w:rPr>
            </w:pPr>
            <w:r>
              <w:rPr>
                <w:rFonts w:hint="eastAsia"/>
              </w:rPr>
              <w:t>3）、出库搬运，扫描托盘标签核对商品品名及数量确认搬运。</w:t>
            </w:r>
          </w:p>
          <w:p>
            <w:pPr>
              <w:widowControl/>
              <w:spacing w:line="240" w:lineRule="auto"/>
              <w:rPr>
                <w:rFonts w:hint="eastAsia"/>
              </w:rPr>
            </w:pPr>
            <w:r>
              <w:rPr>
                <w:rFonts w:hint="eastAsia"/>
              </w:rPr>
              <w:t>4）、出库整理，选择出库商品，显示要出库商品信息及数量，核对填写数量保存结果依次完成所有作业任务。</w:t>
            </w:r>
          </w:p>
          <w:p>
            <w:pPr>
              <w:widowControl/>
              <w:spacing w:line="240" w:lineRule="auto"/>
              <w:jc w:val="left"/>
              <w:textAlignment w:val="center"/>
              <w:rPr>
                <w:rFonts w:hint="eastAsia"/>
              </w:rPr>
            </w:pPr>
            <w:r>
              <w:rPr>
                <w:rFonts w:hint="eastAsia"/>
              </w:rPr>
              <w:t>●二、堆场业务教学互动教学软件</w:t>
            </w:r>
          </w:p>
          <w:p>
            <w:pPr>
              <w:widowControl/>
              <w:spacing w:line="240" w:lineRule="auto"/>
              <w:jc w:val="left"/>
              <w:textAlignment w:val="center"/>
              <w:rPr>
                <w:rFonts w:hint="eastAsia"/>
              </w:rPr>
            </w:pPr>
            <w:r>
              <w:rPr>
                <w:rFonts w:hint="eastAsia"/>
              </w:rPr>
              <w:t>集装箱堆场游戏基于货运代理中常见码头业务，根据码头堆场管理及规划原则对码头集装箱的正确堆放进行模拟操作，利用堆场提供的数据，对后方堆场区位进行规划选择，能根据提供的场箱位号从堆场中取出正确的集装箱并进行移动。游戏界面呈现出不同的箱区，包括出口箱区，进口箱区，危险品箱区，冷藏箱区，验关箱区，空箱箱区，每个箱区又分为不同的堆存区（出口箱区分为12个堆存区），每个堆存区被划分为一定数量的贝位，学生根据任务要求选择正确的箱区，系统给出相应的对错提示，当选对正确的箱区后进入到贝位图，编码从01~30分根据贝位编码原则进行显示，选择贝位后，通过动画形式模拟龙门吊从多行多列集装箱中选出正确的集装箱，在取出集装箱时要遵循集装箱堆放原则。</w:t>
            </w:r>
          </w:p>
          <w:p>
            <w:pPr>
              <w:widowControl/>
              <w:spacing w:line="240" w:lineRule="auto"/>
              <w:jc w:val="left"/>
              <w:textAlignment w:val="center"/>
              <w:rPr>
                <w:rFonts w:hint="eastAsia"/>
              </w:rPr>
            </w:pPr>
            <w:r>
              <w:rPr>
                <w:rFonts w:hint="eastAsia"/>
              </w:rPr>
              <w:t>●三、集装箱船舶配积载教学互动教学软件</w:t>
            </w:r>
          </w:p>
          <w:p>
            <w:pPr>
              <w:widowControl/>
              <w:spacing w:line="240" w:lineRule="auto"/>
              <w:jc w:val="left"/>
              <w:textAlignment w:val="center"/>
              <w:rPr>
                <w:rFonts w:hint="eastAsia"/>
              </w:rPr>
            </w:pPr>
            <w:r>
              <w:rPr>
                <w:rFonts w:hint="eastAsia"/>
              </w:rPr>
              <w:t>船舶配积载游戏基于集装箱装载的原理规则，对集装箱船的结构进行呈现，分为舱内和甲板显示，甲板共4层11列，舱内5排9列，根据船舶配积载规则，设置不同的位置，或箱位号，学生通过任务背景，对集装箱的位置进行识别堆放，游戏分为三个任务，第一个任务中设置15个位置，由学生去识别正确的集装箱位置，第二个任务中设置15个集装箱堆放位置，设置其中的5个位置，由学生根据箱位号选择出两个正确的集装箱箱位号。第三个任务由学生根据集装箱箱位号中字母位置，填写正确的箱位号，提交时进行答案验证。主要考察学生对集装箱船的结构及贝位，箱位的理解掌握能力。</w:t>
            </w:r>
          </w:p>
          <w:p>
            <w:pPr>
              <w:widowControl/>
              <w:adjustRightInd w:val="0"/>
              <w:snapToGrid w:val="0"/>
              <w:spacing w:line="240" w:lineRule="auto"/>
              <w:jc w:val="left"/>
              <w:textAlignment w:val="center"/>
              <w:rPr>
                <w:rFonts w:hint="default"/>
              </w:rPr>
            </w:pPr>
            <w:r>
              <w:rPr>
                <w:rFonts w:hint="eastAsia"/>
                <w:lang w:val="en-US" w:eastAsia="zh-CN"/>
              </w:rPr>
              <w:t>四、</w:t>
            </w:r>
            <w:r>
              <w:rPr>
                <w:rFonts w:hint="default"/>
              </w:rPr>
              <w:t>货物跟踪系统教学游戏软件</w:t>
            </w:r>
          </w:p>
          <w:p>
            <w:pPr>
              <w:widowControl/>
              <w:adjustRightInd w:val="0"/>
              <w:snapToGrid w:val="0"/>
              <w:spacing w:line="240" w:lineRule="auto"/>
              <w:ind w:firstLine="210" w:firstLineChars="100"/>
              <w:jc w:val="left"/>
              <w:textAlignment w:val="center"/>
              <w:rPr>
                <w:rFonts w:hint="default"/>
              </w:rPr>
            </w:pPr>
            <w:r>
              <w:rPr>
                <w:rFonts w:hint="default"/>
              </w:rPr>
              <w:t>●货物跟踪系统模拟以企业运营的形式进行车辆类型，数量以及车辆设备进行选择，根据订单信息选择合适的订单进行货物运输，完成目标金额任务。</w:t>
            </w:r>
          </w:p>
          <w:p>
            <w:pPr>
              <w:widowControl/>
              <w:adjustRightInd w:val="0"/>
              <w:snapToGrid w:val="0"/>
              <w:spacing w:line="240" w:lineRule="auto"/>
              <w:ind w:firstLine="315" w:firstLineChars="150"/>
              <w:jc w:val="left"/>
              <w:textAlignment w:val="center"/>
              <w:rPr>
                <w:rFonts w:hint="default"/>
              </w:rPr>
            </w:pPr>
            <w:r>
              <w:rPr>
                <w:rFonts w:hint="default"/>
              </w:rPr>
              <w:t>核心功能展示（确保教学实训的适用性，软件需支持PC端和小程序端）：</w:t>
            </w:r>
          </w:p>
          <w:p>
            <w:pPr>
              <w:widowControl/>
              <w:adjustRightInd w:val="0"/>
              <w:snapToGrid w:val="0"/>
              <w:spacing w:line="240" w:lineRule="auto"/>
              <w:ind w:firstLine="315" w:firstLineChars="150"/>
              <w:jc w:val="left"/>
              <w:textAlignment w:val="center"/>
              <w:rPr>
                <w:rFonts w:hint="default"/>
              </w:rPr>
            </w:pPr>
            <w:r>
              <w:rPr>
                <w:rFonts w:hint="default"/>
              </w:rPr>
              <w:t>●（1）根据教学任务要求制定项目目标金额任务及单项实训时间周期，订单盈利状况需要与运输成本和运输过程突发事故损失关联体现。</w:t>
            </w:r>
          </w:p>
          <w:p>
            <w:pPr>
              <w:widowControl/>
              <w:adjustRightInd w:val="0"/>
              <w:snapToGrid w:val="0"/>
              <w:spacing w:line="240" w:lineRule="auto"/>
              <w:ind w:firstLine="315" w:firstLineChars="150"/>
              <w:jc w:val="left"/>
              <w:textAlignment w:val="center"/>
              <w:rPr>
                <w:rFonts w:hint="default"/>
              </w:rPr>
            </w:pPr>
            <w:r>
              <w:rPr>
                <w:rFonts w:hint="default"/>
              </w:rPr>
              <w:t>●（2）经营者根据自有资金大小选择车辆进行接单任务，接单成功后，根据区域路线车辆进行移动，赚取利润，对冷鲜食品需要采用冷藏车及数据采集设备进行货物跟踪。</w:t>
            </w:r>
          </w:p>
          <w:p>
            <w:pPr>
              <w:widowControl/>
              <w:adjustRightInd w:val="0"/>
              <w:snapToGrid w:val="0"/>
              <w:spacing w:line="240" w:lineRule="auto"/>
              <w:ind w:firstLine="315" w:firstLineChars="150"/>
              <w:jc w:val="left"/>
              <w:textAlignment w:val="center"/>
              <w:rPr>
                <w:rFonts w:hint="eastAsia"/>
              </w:rPr>
            </w:pPr>
            <w:r>
              <w:rPr>
                <w:rFonts w:hint="default"/>
              </w:rPr>
              <w:t>（3）运营周期结束后，统计当前收益，展示相关结果的变化。</w:t>
            </w:r>
          </w:p>
          <w:p>
            <w:pPr>
              <w:widowControl/>
              <w:spacing w:line="240" w:lineRule="auto"/>
              <w:jc w:val="left"/>
              <w:textAlignment w:val="center"/>
              <w:rPr>
                <w:rFonts w:hint="eastAsia" w:ascii="宋体" w:hAnsi="宋体" w:eastAsia="宋体" w:cs="宋体"/>
              </w:rPr>
            </w:pPr>
            <w:r>
              <w:rPr>
                <w:rFonts w:hint="eastAsia" w:ascii="宋体" w:hAnsi="宋体" w:eastAsia="宋体" w:cs="宋体"/>
              </w:rPr>
              <w:t>▲投标现场</w:t>
            </w:r>
            <w:r>
              <w:rPr>
                <w:rFonts w:hint="eastAsia" w:ascii="宋体" w:hAnsi="宋体" w:eastAsia="宋体" w:cs="宋体"/>
                <w:lang w:val="en-US" w:eastAsia="zh-CN"/>
              </w:rPr>
              <w:t>原型</w:t>
            </w:r>
            <w:r>
              <w:rPr>
                <w:rFonts w:hint="eastAsia" w:ascii="宋体" w:hAnsi="宋体" w:eastAsia="宋体" w:cs="宋体"/>
              </w:rPr>
              <w:t>演示加注“●”项参数功能。</w:t>
            </w:r>
          </w:p>
          <w:p>
            <w:pPr>
              <w:pStyle w:val="2"/>
              <w:spacing w:line="240" w:lineRule="auto"/>
              <w:ind w:left="0" w:leftChars="0" w:firstLine="0" w:firstLineChars="0"/>
              <w:rPr>
                <w:rFonts w:hint="eastAsia"/>
                <w:lang w:val="en-US" w:eastAsia="zh-CN"/>
              </w:rPr>
            </w:pPr>
            <w:r>
              <w:rPr>
                <w:rFonts w:hint="eastAsia" w:ascii="宋体" w:hAnsi="宋体" w:eastAsia="宋体" w:cs="宋体"/>
                <w:b w:val="0"/>
                <w:bCs w:val="0"/>
                <w:sz w:val="21"/>
                <w:szCs w:val="21"/>
              </w:rPr>
              <w:t>▲投标产品软件生产商通过质量体系管理认证、环境管理体系认证、职业健康体系认证、CMMI认证证书，提供证书复印件，加盖软件生产商</w:t>
            </w:r>
            <w:r>
              <w:rPr>
                <w:rFonts w:hint="eastAsia" w:ascii="宋体" w:hAnsi="宋体" w:eastAsia="宋体" w:cs="宋体"/>
                <w:b w:val="0"/>
                <w:bCs w:val="0"/>
                <w:sz w:val="21"/>
                <w:szCs w:val="21"/>
                <w:lang w:val="en-US" w:eastAsia="zh-CN"/>
              </w:rPr>
              <w:t>鲜</w:t>
            </w:r>
            <w:r>
              <w:rPr>
                <w:rFonts w:hint="eastAsia" w:ascii="宋体" w:hAnsi="宋体" w:eastAsia="宋体" w:cs="宋体"/>
                <w:b w:val="0"/>
                <w:bCs w:val="0"/>
                <w:sz w:val="21"/>
                <w:szCs w:val="21"/>
              </w:rPr>
              <w:t>章。</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套</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11</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空调</w:t>
            </w:r>
          </w:p>
        </w:tc>
        <w:tc>
          <w:tcPr>
            <w:tcW w:w="5700" w:type="dxa"/>
            <w:tcBorders>
              <w:top w:val="single" w:color="000000" w:sz="4" w:space="0"/>
              <w:left w:val="single" w:color="000000" w:sz="4" w:space="0"/>
              <w:bottom w:val="single" w:color="000000" w:sz="4" w:space="0"/>
              <w:right w:val="single" w:color="000000" w:sz="4" w:space="0"/>
            </w:tcBorders>
            <w:vAlign w:val="center"/>
          </w:tcPr>
          <w:p>
            <w:pPr>
              <w:pStyle w:val="2"/>
              <w:spacing w:line="240" w:lineRule="auto"/>
              <w:ind w:left="0" w:leftChars="0" w:firstLine="0" w:firstLineChars="0"/>
              <w:rPr>
                <w:rFonts w:hint="eastAsia" w:ascii="宋体" w:hAnsi="宋体" w:eastAsia="宋体" w:cs="宋体"/>
                <w:b w:val="0"/>
                <w:bCs w:val="0"/>
                <w:sz w:val="21"/>
                <w:szCs w:val="21"/>
                <w:lang w:val="en-US" w:eastAsia="zh-CN"/>
              </w:rPr>
            </w:pPr>
          </w:p>
          <w:p>
            <w:pPr>
              <w:pStyle w:val="2"/>
              <w:spacing w:line="240" w:lineRule="auto"/>
              <w:ind w:left="0" w:leftChars="0" w:firstLine="0" w:firstLineChars="0"/>
              <w:rPr>
                <w:rFonts w:hint="eastAsia" w:ascii="宋体" w:hAnsi="宋体" w:eastAsia="宋体" w:cs="宋体"/>
                <w:b w:val="0"/>
                <w:bCs w:val="0"/>
                <w:sz w:val="21"/>
                <w:szCs w:val="21"/>
                <w:lang w:val="en-US" w:eastAsia="zh-CN"/>
              </w:rPr>
            </w:pPr>
          </w:p>
          <w:p>
            <w:pPr>
              <w:pStyle w:val="2"/>
              <w:spacing w:line="24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5P冷暖空调，全国三大品牌之一。</w:t>
            </w:r>
          </w:p>
          <w:p>
            <w:pPr>
              <w:pStyle w:val="2"/>
              <w:ind w:left="0" w:leftChars="0" w:firstLine="0" w:firstLineChars="0"/>
              <w:rPr>
                <w:rFonts w:hint="default"/>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2</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台</w:t>
            </w:r>
          </w:p>
        </w:tc>
      </w:tr>
    </w:tbl>
    <w:p>
      <w:pPr>
        <w:jc w:val="left"/>
        <w:rPr>
          <w:rFonts w:hint="eastAsia" w:cs="宋体"/>
          <w:b/>
          <w:bCs/>
          <w:sz w:val="28"/>
          <w:szCs w:val="28"/>
          <w:lang w:val="en-US" w:eastAsia="zh-CN"/>
        </w:rPr>
      </w:pPr>
    </w:p>
    <w:p>
      <w:pPr>
        <w:pStyle w:val="2"/>
        <w:ind w:left="0" w:leftChars="0" w:firstLine="0" w:firstLineChars="0"/>
        <w:rPr>
          <w:rFonts w:hint="eastAsia" w:cs="宋体"/>
          <w:b/>
          <w:bCs/>
          <w:sz w:val="28"/>
          <w:szCs w:val="28"/>
          <w:lang w:val="en-US" w:eastAsia="zh-CN"/>
        </w:rPr>
      </w:pPr>
    </w:p>
    <w:p>
      <w:pPr>
        <w:pStyle w:val="2"/>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980F"/>
    <w:multiLevelType w:val="singleLevel"/>
    <w:tmpl w:val="6F6B980F"/>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B3206"/>
    <w:rsid w:val="05D83373"/>
    <w:rsid w:val="069B084D"/>
    <w:rsid w:val="081159CD"/>
    <w:rsid w:val="086848D0"/>
    <w:rsid w:val="0DB619D9"/>
    <w:rsid w:val="0E2C07EE"/>
    <w:rsid w:val="0EA51E1B"/>
    <w:rsid w:val="0FE41D82"/>
    <w:rsid w:val="11CB3BF4"/>
    <w:rsid w:val="13607195"/>
    <w:rsid w:val="15F75671"/>
    <w:rsid w:val="19C43F71"/>
    <w:rsid w:val="1AD1696E"/>
    <w:rsid w:val="1C1B0AB0"/>
    <w:rsid w:val="263B3206"/>
    <w:rsid w:val="35AE39D8"/>
    <w:rsid w:val="3625439C"/>
    <w:rsid w:val="363638C5"/>
    <w:rsid w:val="37927224"/>
    <w:rsid w:val="38991C1C"/>
    <w:rsid w:val="3BB41C2D"/>
    <w:rsid w:val="4598562E"/>
    <w:rsid w:val="4615312F"/>
    <w:rsid w:val="47321F30"/>
    <w:rsid w:val="47BE44DC"/>
    <w:rsid w:val="49BF3F3F"/>
    <w:rsid w:val="4B5107C1"/>
    <w:rsid w:val="5015709C"/>
    <w:rsid w:val="50B5319F"/>
    <w:rsid w:val="517B256D"/>
    <w:rsid w:val="57332CD9"/>
    <w:rsid w:val="58516A21"/>
    <w:rsid w:val="59BE5ED8"/>
    <w:rsid w:val="59E449B6"/>
    <w:rsid w:val="5CE61C19"/>
    <w:rsid w:val="609B4BAB"/>
    <w:rsid w:val="620455FC"/>
    <w:rsid w:val="649B26E2"/>
    <w:rsid w:val="69B63AC3"/>
    <w:rsid w:val="6A2B46EE"/>
    <w:rsid w:val="71F43857"/>
    <w:rsid w:val="727413A5"/>
    <w:rsid w:val="76E56A93"/>
    <w:rsid w:val="77B96F52"/>
    <w:rsid w:val="79614293"/>
    <w:rsid w:val="79FB2A92"/>
    <w:rsid w:val="7C57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rPr>
      <w:rFonts w:ascii="微软雅黑" w:hAnsi="微软雅黑" w:eastAsia="微软雅黑" w:cs="微软雅黑"/>
      <w:szCs w:val="21"/>
    </w:rPr>
  </w:style>
  <w:style w:type="paragraph" w:styleId="3">
    <w:name w:val="Body Text"/>
    <w:basedOn w:val="1"/>
    <w:next w:val="1"/>
    <w:qFormat/>
    <w:uiPriority w:val="0"/>
    <w:pPr>
      <w:spacing w:afterLines="0" w:afterAutospacing="0"/>
    </w:pPr>
    <w:rPr>
      <w:rFonts w:ascii="Times New Roman" w:hAnsi="Times New Roman" w:eastAsia="宋体"/>
      <w:sz w:val="24"/>
      <w:szCs w:val="24"/>
    </w:rPr>
  </w:style>
  <w:style w:type="paragraph" w:styleId="4">
    <w:name w:val="Body Text Indent"/>
    <w:basedOn w:val="1"/>
    <w:qFormat/>
    <w:uiPriority w:val="0"/>
    <w:pPr>
      <w:spacing w:line="330" w:lineRule="exact"/>
      <w:ind w:firstLine="412" w:firstLineChars="196"/>
    </w:pPr>
    <w:rPr>
      <w:rFonts w:ascii="宋体" w:hAnsi="宋体"/>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4"/>
    <w:qFormat/>
    <w:uiPriority w:val="0"/>
    <w:pPr>
      <w:ind w:firstLine="420" w:firstLineChars="200"/>
    </w:pPr>
  </w:style>
  <w:style w:type="character" w:customStyle="1" w:styleId="9">
    <w:name w:val="15"/>
    <w:basedOn w:val="8"/>
    <w:qFormat/>
    <w:uiPriority w:val="0"/>
    <w:rPr>
      <w:rFonts w:hint="eastAsia" w:ascii="等线" w:hAnsi="等线" w:eastAsia="等线"/>
      <w:color w:val="000000"/>
      <w:sz w:val="22"/>
      <w:szCs w:val="22"/>
    </w:rPr>
  </w:style>
  <w:style w:type="paragraph" w:customStyle="1" w:styleId="10">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2019-12-08T14:16:00Z</dcterms:created>
  <dc:creator>Administrator</dc:creator>
  <cp:lastModifiedBy>李佳 </cp:lastModifiedBy>
  <dcterms:modified xsi:type="dcterms:W3CDTF">2021-11-11T09:13:47Z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7C942A210B634861BF82CD2AE9426E0C</vt:lpwstr>
  </property>
</Properties>
</file>