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9"/>
        <w:rPr>
          <w:rFonts w:hint="default"/>
          <w:lang w:val="en-US" w:eastAsia="zh-CN"/>
        </w:rPr>
      </w:pPr>
    </w:p>
    <w:p>
      <w:pPr>
        <w:spacing w:line="600" w:lineRule="auto"/>
        <w:jc w:val="center"/>
        <w:rPr>
          <w:b/>
          <w:spacing w:val="40"/>
          <w:sz w:val="52"/>
          <w:szCs w:val="52"/>
        </w:rPr>
      </w:pPr>
      <w:r>
        <w:rPr>
          <w:rFonts w:hint="eastAsia"/>
          <w:b/>
          <w:spacing w:val="40"/>
          <w:sz w:val="52"/>
          <w:szCs w:val="52"/>
        </w:rPr>
        <w:t>湖南铁路科技职业技术学院</w:t>
      </w:r>
    </w:p>
    <w:p>
      <w:pPr>
        <w:spacing w:line="600" w:lineRule="auto"/>
        <w:jc w:val="center"/>
        <w:rPr>
          <w:rFonts w:hint="eastAsia" w:ascii="宋体" w:hAnsi="宋体" w:eastAsia="仿宋_GB2312"/>
          <w:b/>
          <w:sz w:val="30"/>
          <w:szCs w:val="30"/>
        </w:rPr>
      </w:pPr>
    </w:p>
    <w:p>
      <w:pPr>
        <w:spacing w:line="600" w:lineRule="auto"/>
        <w:jc w:val="center"/>
        <w:rPr>
          <w:rFonts w:hint="eastAsia" w:ascii="宋体" w:hAnsi="宋体" w:eastAsia="仿宋_GB2312"/>
          <w:b/>
          <w:sz w:val="30"/>
          <w:szCs w:val="30"/>
          <w:lang w:val="en-US" w:eastAsia="zh-CN"/>
        </w:rPr>
      </w:pPr>
      <w:r>
        <w:rPr>
          <w:rFonts w:hint="eastAsia" w:ascii="宋体" w:hAnsi="宋体" w:eastAsia="仿宋_GB2312"/>
          <w:b/>
          <w:sz w:val="30"/>
          <w:szCs w:val="30"/>
          <w:lang w:val="en-US" w:eastAsia="zh-CN"/>
        </w:rPr>
        <w:t xml:space="preserve"> 学生招聘室拼接屏项目</w:t>
      </w:r>
    </w:p>
    <w:p>
      <w:pPr>
        <w:pStyle w:val="13"/>
        <w:rPr>
          <w:rFonts w:hint="eastAsia"/>
          <w:sz w:val="72"/>
          <w:szCs w:val="72"/>
        </w:rPr>
      </w:pPr>
    </w:p>
    <w:p>
      <w:pPr>
        <w:spacing w:line="600" w:lineRule="auto"/>
        <w:ind w:firstLine="2880" w:firstLineChars="400"/>
        <w:rPr>
          <w:sz w:val="72"/>
          <w:szCs w:val="72"/>
        </w:rPr>
      </w:pPr>
      <w:r>
        <w:rPr>
          <w:rFonts w:hint="eastAsia"/>
          <w:sz w:val="72"/>
          <w:szCs w:val="72"/>
          <w:lang w:eastAsia="zh-CN"/>
        </w:rPr>
        <w:t>磋商</w:t>
      </w:r>
      <w:r>
        <w:rPr>
          <w:rFonts w:hint="eastAsia"/>
          <w:sz w:val="72"/>
          <w:szCs w:val="72"/>
        </w:rPr>
        <w:t>文件</w:t>
      </w:r>
    </w:p>
    <w:p>
      <w:pPr>
        <w:spacing w:line="600" w:lineRule="auto"/>
        <w:ind w:firstLine="560" w:firstLineChars="200"/>
        <w:rPr>
          <w:sz w:val="28"/>
          <w:szCs w:val="28"/>
        </w:rPr>
      </w:pPr>
    </w:p>
    <w:p>
      <w:pPr>
        <w:pStyle w:val="13"/>
        <w:rPr>
          <w:sz w:val="28"/>
          <w:szCs w:val="28"/>
        </w:rPr>
      </w:pPr>
    </w:p>
    <w:p>
      <w:pPr>
        <w:pStyle w:val="13"/>
        <w:rPr>
          <w:sz w:val="28"/>
          <w:szCs w:val="28"/>
        </w:rPr>
      </w:pPr>
    </w:p>
    <w:p>
      <w:pPr>
        <w:pStyle w:val="13"/>
        <w:rPr>
          <w:sz w:val="28"/>
          <w:szCs w:val="28"/>
        </w:rPr>
      </w:pPr>
    </w:p>
    <w:p>
      <w:pPr>
        <w:spacing w:line="600" w:lineRule="auto"/>
        <w:ind w:firstLine="562" w:firstLineChars="200"/>
        <w:jc w:val="center"/>
        <w:rPr>
          <w:b/>
          <w:sz w:val="28"/>
          <w:szCs w:val="28"/>
        </w:rPr>
      </w:pPr>
      <w:r>
        <w:rPr>
          <w:rFonts w:hint="eastAsia"/>
          <w:b/>
          <w:sz w:val="28"/>
          <w:szCs w:val="28"/>
        </w:rPr>
        <w:t>招标单位：湖南铁路科技职业技术学院（印章）</w:t>
      </w:r>
    </w:p>
    <w:p>
      <w:pPr>
        <w:spacing w:line="600" w:lineRule="auto"/>
        <w:ind w:firstLine="3373" w:firstLineChars="1200"/>
        <w:jc w:val="both"/>
        <w:rPr>
          <w:b/>
          <w:sz w:val="28"/>
          <w:szCs w:val="28"/>
        </w:rPr>
      </w:pPr>
      <w:r>
        <w:rPr>
          <w:rFonts w:hint="eastAsia"/>
          <w:b/>
          <w:sz w:val="28"/>
          <w:szCs w:val="28"/>
        </w:rPr>
        <w:t>二O二一年</w:t>
      </w:r>
      <w:r>
        <w:rPr>
          <w:rFonts w:hint="eastAsia"/>
          <w:b/>
          <w:sz w:val="28"/>
          <w:szCs w:val="28"/>
          <w:lang w:eastAsia="zh-CN"/>
        </w:rPr>
        <w:t>十一</w:t>
      </w:r>
      <w:r>
        <w:rPr>
          <w:rFonts w:hint="eastAsia"/>
          <w:b/>
          <w:sz w:val="28"/>
          <w:szCs w:val="28"/>
        </w:rPr>
        <w:t>月</w:t>
      </w:r>
    </w:p>
    <w:p>
      <w:pPr>
        <w:spacing w:line="360" w:lineRule="exact"/>
        <w:ind w:firstLine="562" w:firstLineChars="200"/>
        <w:jc w:val="center"/>
        <w:rPr>
          <w:rFonts w:ascii="宋体" w:hAnsi="宋体"/>
          <w:b/>
          <w:sz w:val="28"/>
          <w:szCs w:val="28"/>
        </w:rPr>
        <w:sectPr>
          <w:headerReference r:id="rId5" w:type="default"/>
          <w:pgSz w:w="11906" w:h="16838"/>
          <w:pgMar w:top="1701" w:right="1797" w:bottom="1440" w:left="1797" w:header="851" w:footer="992" w:gutter="0"/>
          <w:cols w:space="720" w:num="1"/>
          <w:docGrid w:type="lines" w:linePitch="312" w:charSpace="0"/>
        </w:sectPr>
      </w:pPr>
    </w:p>
    <w:p>
      <w:pPr>
        <w:spacing w:line="360" w:lineRule="exact"/>
        <w:ind w:firstLine="562" w:firstLineChars="200"/>
        <w:jc w:val="center"/>
        <w:rPr>
          <w:rFonts w:ascii="宋体" w:hAnsi="宋体"/>
          <w:b/>
          <w:sz w:val="28"/>
          <w:szCs w:val="28"/>
        </w:rPr>
      </w:pPr>
      <w:r>
        <w:rPr>
          <w:rFonts w:hint="eastAsia" w:ascii="宋体" w:hAnsi="宋体"/>
          <w:b/>
          <w:sz w:val="28"/>
          <w:szCs w:val="28"/>
        </w:rPr>
        <w:t xml:space="preserve">第一部分   </w:t>
      </w:r>
      <w:r>
        <w:rPr>
          <w:rFonts w:hint="eastAsia" w:ascii="宋体" w:hAnsi="宋体"/>
          <w:b/>
          <w:sz w:val="28"/>
          <w:szCs w:val="28"/>
          <w:lang w:eastAsia="zh-CN"/>
        </w:rPr>
        <w:t>磋商</w:t>
      </w:r>
      <w:r>
        <w:rPr>
          <w:rFonts w:hint="eastAsia" w:ascii="宋体" w:hAnsi="宋体"/>
          <w:b/>
          <w:sz w:val="28"/>
          <w:szCs w:val="28"/>
        </w:rPr>
        <w:t>须知</w:t>
      </w:r>
    </w:p>
    <w:p>
      <w:pPr>
        <w:spacing w:line="360" w:lineRule="exact"/>
        <w:ind w:firstLine="482" w:firstLineChars="200"/>
        <w:jc w:val="center"/>
        <w:rPr>
          <w:rFonts w:ascii="宋体" w:hAnsi="宋体"/>
          <w:b/>
          <w:sz w:val="24"/>
        </w:rPr>
      </w:pPr>
    </w:p>
    <w:p>
      <w:pPr>
        <w:spacing w:line="360" w:lineRule="exact"/>
        <w:ind w:firstLine="482" w:firstLineChars="200"/>
        <w:jc w:val="center"/>
        <w:rPr>
          <w:rFonts w:ascii="宋体" w:hAnsi="宋体"/>
          <w:b/>
          <w:sz w:val="24"/>
        </w:rPr>
      </w:pPr>
    </w:p>
    <w:p>
      <w:pPr>
        <w:spacing w:line="360" w:lineRule="exact"/>
        <w:ind w:firstLine="480" w:firstLineChars="200"/>
        <w:rPr>
          <w:rFonts w:hint="eastAsia" w:ascii="宋体" w:hAnsi="宋体"/>
          <w:sz w:val="24"/>
        </w:rPr>
      </w:pPr>
      <w:r>
        <w:rPr>
          <w:rFonts w:hint="eastAsia" w:ascii="宋体" w:hAnsi="宋体"/>
          <w:sz w:val="24"/>
        </w:rPr>
        <w:t>我院将对</w:t>
      </w:r>
      <w:r>
        <w:rPr>
          <w:rFonts w:hint="eastAsia" w:ascii="宋体" w:hAnsi="宋体"/>
          <w:sz w:val="24"/>
          <w:lang w:eastAsia="zh-CN"/>
        </w:rPr>
        <w:t>学生招聘室拼接屏项目</w:t>
      </w:r>
      <w:r>
        <w:rPr>
          <w:rFonts w:hint="eastAsia" w:ascii="宋体" w:hAnsi="宋体"/>
          <w:sz w:val="24"/>
        </w:rPr>
        <w:t>进行招标,特邀请符合资格条件的供应商参与竞争性磋商采购活动。</w:t>
      </w:r>
    </w:p>
    <w:p>
      <w:pPr>
        <w:spacing w:line="360" w:lineRule="exact"/>
        <w:rPr>
          <w:rFonts w:ascii="宋体" w:hAnsi="宋体"/>
          <w:b/>
          <w:sz w:val="24"/>
        </w:rPr>
      </w:pPr>
      <w:r>
        <w:rPr>
          <w:rFonts w:hint="eastAsia" w:ascii="宋体" w:hAnsi="宋体"/>
          <w:b/>
          <w:sz w:val="24"/>
        </w:rPr>
        <w:t>一、项目概述</w:t>
      </w:r>
    </w:p>
    <w:p>
      <w:pPr>
        <w:spacing w:line="360" w:lineRule="exact"/>
        <w:ind w:firstLine="480" w:firstLineChars="200"/>
        <w:rPr>
          <w:rFonts w:hint="eastAsia" w:ascii="宋体" w:hAnsi="宋体" w:eastAsia="宋体"/>
          <w:bCs/>
          <w:sz w:val="24"/>
          <w:lang w:eastAsia="zh-CN"/>
        </w:rPr>
      </w:pPr>
      <w:r>
        <w:rPr>
          <w:rFonts w:hint="eastAsia" w:ascii="宋体" w:hAnsi="宋体"/>
          <w:sz w:val="24"/>
        </w:rPr>
        <w:t>1、项目名称：</w:t>
      </w:r>
      <w:r>
        <w:rPr>
          <w:rFonts w:hint="eastAsia" w:ascii="宋体" w:hAnsi="宋体"/>
          <w:bCs/>
          <w:sz w:val="24"/>
          <w:lang w:eastAsia="zh-CN"/>
        </w:rPr>
        <w:t>学生招聘室拼接屏项目</w:t>
      </w:r>
    </w:p>
    <w:p>
      <w:pPr>
        <w:spacing w:line="360" w:lineRule="exact"/>
        <w:ind w:firstLine="480" w:firstLineChars="200"/>
        <w:rPr>
          <w:rFonts w:ascii="宋体" w:hAnsi="宋体"/>
          <w:color w:val="auto"/>
          <w:sz w:val="24"/>
        </w:rPr>
      </w:pPr>
      <w:r>
        <w:rPr>
          <w:rFonts w:hint="eastAsia" w:ascii="宋体" w:hAnsi="宋体"/>
          <w:color w:val="auto"/>
          <w:sz w:val="24"/>
        </w:rPr>
        <w:t>2、招标预算资金：</w:t>
      </w:r>
      <w:r>
        <w:rPr>
          <w:rFonts w:hint="eastAsia" w:ascii="宋体" w:hAnsi="宋体"/>
          <w:color w:val="auto"/>
          <w:sz w:val="24"/>
          <w:lang w:eastAsia="zh-CN"/>
        </w:rPr>
        <w:t>壹</w:t>
      </w:r>
      <w:r>
        <w:rPr>
          <w:rFonts w:hint="eastAsia" w:ascii="宋体" w:hAnsi="宋体"/>
          <w:color w:val="auto"/>
          <w:sz w:val="24"/>
        </w:rPr>
        <w:t>拾</w:t>
      </w:r>
      <w:r>
        <w:rPr>
          <w:rFonts w:hint="eastAsia" w:ascii="宋体" w:hAnsi="宋体"/>
          <w:color w:val="auto"/>
          <w:sz w:val="24"/>
          <w:lang w:eastAsia="zh-CN"/>
        </w:rPr>
        <w:t>肆</w:t>
      </w:r>
      <w:r>
        <w:rPr>
          <w:rFonts w:hint="eastAsia" w:ascii="宋体" w:hAnsi="宋体"/>
          <w:color w:val="auto"/>
          <w:sz w:val="24"/>
        </w:rPr>
        <w:t>万</w:t>
      </w:r>
      <w:r>
        <w:rPr>
          <w:rFonts w:hint="eastAsia" w:ascii="宋体" w:hAnsi="宋体"/>
          <w:color w:val="auto"/>
          <w:sz w:val="24"/>
          <w:lang w:eastAsia="zh-CN"/>
        </w:rPr>
        <w:t>伍千</w:t>
      </w:r>
      <w:r>
        <w:rPr>
          <w:rFonts w:hint="eastAsia" w:ascii="宋体" w:hAnsi="宋体"/>
          <w:color w:val="auto"/>
          <w:sz w:val="24"/>
        </w:rPr>
        <w:t>元（￥：</w:t>
      </w:r>
      <w:r>
        <w:rPr>
          <w:rFonts w:hint="eastAsia" w:ascii="宋体" w:hAnsi="宋体"/>
          <w:color w:val="auto"/>
          <w:sz w:val="24"/>
          <w:lang w:val="en-US" w:eastAsia="zh-CN"/>
        </w:rPr>
        <w:t>145000</w:t>
      </w:r>
      <w:r>
        <w:rPr>
          <w:rFonts w:hint="eastAsia" w:ascii="宋体" w:hAnsi="宋体"/>
          <w:color w:val="auto"/>
          <w:sz w:val="24"/>
        </w:rPr>
        <w:t>元）</w:t>
      </w:r>
    </w:p>
    <w:p>
      <w:pPr>
        <w:spacing w:line="360" w:lineRule="exact"/>
        <w:ind w:firstLine="480" w:firstLineChars="200"/>
        <w:rPr>
          <w:rFonts w:ascii="宋体" w:hAnsi="宋体"/>
          <w:sz w:val="24"/>
        </w:rPr>
      </w:pPr>
      <w:r>
        <w:rPr>
          <w:rFonts w:hint="eastAsia" w:ascii="宋体" w:hAnsi="宋体"/>
          <w:sz w:val="24"/>
        </w:rPr>
        <w:t>3、招标的要求：见第三部分技术项目的说明</w:t>
      </w:r>
    </w:p>
    <w:p>
      <w:pPr>
        <w:spacing w:line="360" w:lineRule="exact"/>
        <w:ind w:firstLine="480" w:firstLineChars="200"/>
        <w:rPr>
          <w:rFonts w:ascii="宋体" w:hAnsi="宋体"/>
          <w:sz w:val="24"/>
        </w:rPr>
      </w:pPr>
      <w:r>
        <w:rPr>
          <w:rFonts w:hint="eastAsia" w:ascii="宋体" w:hAnsi="宋体"/>
          <w:sz w:val="24"/>
        </w:rPr>
        <w:t>4、采购数量：见第三部分技术项目的说明</w:t>
      </w:r>
    </w:p>
    <w:p>
      <w:pPr>
        <w:spacing w:line="360" w:lineRule="exact"/>
        <w:ind w:firstLine="480" w:firstLineChars="200"/>
        <w:rPr>
          <w:rFonts w:hint="eastAsia" w:ascii="宋体" w:hAnsi="宋体"/>
          <w:color w:val="FF0000"/>
          <w:sz w:val="24"/>
        </w:rPr>
      </w:pPr>
      <w:r>
        <w:rPr>
          <w:rFonts w:hint="eastAsia" w:ascii="宋体" w:hAnsi="宋体"/>
          <w:sz w:val="24"/>
        </w:rPr>
        <w:t>5、完成时间：2021年</w:t>
      </w:r>
      <w:r>
        <w:rPr>
          <w:rFonts w:hint="eastAsia" w:ascii="宋体" w:hAnsi="宋体"/>
          <w:sz w:val="24"/>
          <w:lang w:val="en-US" w:eastAsia="zh-CN"/>
        </w:rPr>
        <w:t>11</w:t>
      </w:r>
      <w:r>
        <w:rPr>
          <w:rFonts w:hint="eastAsia" w:ascii="宋体" w:hAnsi="宋体"/>
          <w:sz w:val="24"/>
        </w:rPr>
        <w:t>月</w:t>
      </w:r>
      <w:r>
        <w:rPr>
          <w:rFonts w:hint="eastAsia" w:ascii="宋体" w:hAnsi="宋体"/>
          <w:sz w:val="24"/>
          <w:lang w:val="en-US" w:eastAsia="zh-CN"/>
        </w:rPr>
        <w:t>30</w:t>
      </w:r>
      <w:r>
        <w:rPr>
          <w:rFonts w:hint="eastAsia" w:ascii="宋体" w:hAnsi="宋体"/>
          <w:sz w:val="24"/>
        </w:rPr>
        <w:t>日前</w:t>
      </w:r>
    </w:p>
    <w:p>
      <w:pPr>
        <w:spacing w:line="360" w:lineRule="exact"/>
        <w:ind w:firstLine="480" w:firstLineChars="200"/>
        <w:rPr>
          <w:rFonts w:hint="eastAsia" w:ascii="宋体" w:hAnsi="宋体"/>
          <w:sz w:val="24"/>
        </w:rPr>
      </w:pPr>
      <w:r>
        <w:rPr>
          <w:rFonts w:hint="eastAsia" w:ascii="宋体" w:hAnsi="宋体"/>
          <w:sz w:val="24"/>
        </w:rPr>
        <w:t xml:space="preserve">6、供货地点：湖南铁路科技职业技术学院 </w:t>
      </w:r>
    </w:p>
    <w:p>
      <w:pPr>
        <w:spacing w:line="360" w:lineRule="exact"/>
        <w:ind w:firstLine="482" w:firstLineChars="200"/>
        <w:rPr>
          <w:rFonts w:ascii="宋体" w:hAnsi="宋体"/>
          <w:b/>
          <w:sz w:val="24"/>
        </w:rPr>
      </w:pPr>
      <w:r>
        <w:rPr>
          <w:rFonts w:hint="eastAsia" w:ascii="宋体" w:hAnsi="宋体"/>
          <w:b/>
          <w:sz w:val="24"/>
        </w:rPr>
        <w:t>二、报名需携带的证件及要求</w:t>
      </w:r>
    </w:p>
    <w:p>
      <w:pPr>
        <w:spacing w:line="360" w:lineRule="exact"/>
        <w:ind w:firstLine="480" w:firstLineChars="200"/>
        <w:rPr>
          <w:rFonts w:hint="eastAsia" w:ascii="宋体" w:hAnsi="宋体"/>
          <w:sz w:val="24"/>
        </w:rPr>
      </w:pPr>
      <w:r>
        <w:rPr>
          <w:rFonts w:hint="eastAsia" w:ascii="宋体" w:hAnsi="宋体"/>
          <w:sz w:val="24"/>
        </w:rPr>
        <w:t>1、报名参加竞标的单位必须携带营业执照副本（需年检合格）；</w:t>
      </w:r>
    </w:p>
    <w:p>
      <w:pPr>
        <w:spacing w:line="360" w:lineRule="exact"/>
        <w:ind w:firstLine="480" w:firstLineChars="200"/>
        <w:rPr>
          <w:rFonts w:hint="eastAsia" w:ascii="宋体" w:hAnsi="宋体"/>
          <w:sz w:val="24"/>
        </w:rPr>
      </w:pPr>
      <w:r>
        <w:rPr>
          <w:rFonts w:hint="eastAsia" w:ascii="宋体" w:hAnsi="宋体"/>
          <w:sz w:val="24"/>
        </w:rPr>
        <w:t>2、组织机构代码证（需年检合格）；</w:t>
      </w:r>
    </w:p>
    <w:p>
      <w:pPr>
        <w:spacing w:line="360" w:lineRule="exact"/>
        <w:ind w:firstLine="480" w:firstLineChars="200"/>
        <w:rPr>
          <w:rFonts w:hint="eastAsia"/>
        </w:rPr>
      </w:pPr>
      <w:r>
        <w:rPr>
          <w:rFonts w:hint="eastAsia" w:ascii="宋体" w:hAnsi="宋体"/>
          <w:sz w:val="24"/>
        </w:rPr>
        <w:t>3、法人证书或法定代表人授权书（注明有效期限、法定代表人签章及加盖公章）及被受权人身份证；</w:t>
      </w:r>
    </w:p>
    <w:p>
      <w:pPr>
        <w:spacing w:line="360" w:lineRule="exact"/>
        <w:ind w:firstLine="480" w:firstLineChars="200"/>
        <w:rPr>
          <w:rFonts w:hint="eastAsia" w:ascii="宋体" w:hAnsi="宋体"/>
          <w:sz w:val="24"/>
        </w:rPr>
      </w:pPr>
      <w:r>
        <w:rPr>
          <w:rFonts w:hint="eastAsia" w:ascii="宋体" w:hAnsi="宋体"/>
          <w:sz w:val="24"/>
        </w:rPr>
        <w:t>4、上述资料报名时需提供原件及复印件一式两份；</w:t>
      </w:r>
    </w:p>
    <w:p>
      <w:pPr>
        <w:spacing w:line="360" w:lineRule="exact"/>
        <w:ind w:firstLine="480" w:firstLineChars="200"/>
        <w:rPr>
          <w:rFonts w:hint="eastAsia" w:ascii="宋体" w:hAnsi="宋体"/>
          <w:sz w:val="24"/>
        </w:rPr>
      </w:pPr>
      <w:r>
        <w:rPr>
          <w:rFonts w:hint="eastAsia" w:ascii="宋体" w:hAnsi="宋体"/>
          <w:sz w:val="24"/>
        </w:rPr>
        <w:t>5、电子卖场资质证明材料。</w:t>
      </w:r>
    </w:p>
    <w:p>
      <w:pPr>
        <w:spacing w:line="360" w:lineRule="exact"/>
        <w:rPr>
          <w:rFonts w:ascii="宋体" w:hAnsi="宋体"/>
          <w:b/>
          <w:sz w:val="24"/>
        </w:rPr>
      </w:pPr>
      <w:r>
        <w:rPr>
          <w:rFonts w:hint="eastAsia" w:ascii="宋体" w:hAnsi="宋体"/>
          <w:b/>
          <w:sz w:val="24"/>
        </w:rPr>
        <w:t>三、报名时间及地点：</w:t>
      </w:r>
    </w:p>
    <w:p>
      <w:pPr>
        <w:widowControl/>
        <w:spacing w:line="300" w:lineRule="exact"/>
        <w:ind w:firstLine="480" w:firstLineChars="200"/>
        <w:jc w:val="left"/>
        <w:rPr>
          <w:rFonts w:hint="eastAsia" w:ascii="宋体" w:hAnsi="宋体" w:cs="宋体"/>
          <w:kern w:val="0"/>
          <w:sz w:val="24"/>
        </w:rPr>
      </w:pPr>
      <w:r>
        <w:rPr>
          <w:rFonts w:hint="eastAsia" w:ascii="宋体" w:hAnsi="宋体" w:cs="宋体"/>
          <w:kern w:val="0"/>
          <w:sz w:val="24"/>
        </w:rPr>
        <w:t>报名时间</w:t>
      </w:r>
      <w:r>
        <w:rPr>
          <w:rFonts w:ascii="宋体" w:hAnsi="宋体" w:cs="宋体"/>
          <w:kern w:val="0"/>
          <w:sz w:val="24"/>
        </w:rPr>
        <w:t>：</w:t>
      </w:r>
      <w:r>
        <w:rPr>
          <w:rFonts w:hint="eastAsia" w:ascii="宋体" w:hAnsi="宋体" w:cs="宋体"/>
          <w:kern w:val="0"/>
          <w:sz w:val="24"/>
        </w:rPr>
        <w:t>2021年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09</w:t>
      </w:r>
      <w:r>
        <w:rPr>
          <w:rFonts w:hint="eastAsia" w:ascii="宋体" w:hAnsi="宋体" w:cs="宋体"/>
          <w:kern w:val="0"/>
          <w:sz w:val="24"/>
        </w:rPr>
        <w:t>日至2021年</w:t>
      </w:r>
      <w:r>
        <w:rPr>
          <w:rFonts w:hint="eastAsia" w:ascii="宋体" w:hAnsi="宋体" w:cs="宋体"/>
          <w:kern w:val="0"/>
          <w:sz w:val="24"/>
          <w:lang w:val="en-US" w:eastAsia="zh-CN"/>
        </w:rPr>
        <w:t>11</w:t>
      </w:r>
      <w:r>
        <w:rPr>
          <w:rFonts w:hint="eastAsia" w:ascii="宋体" w:hAnsi="宋体" w:cs="宋体"/>
          <w:kern w:val="0"/>
          <w:sz w:val="24"/>
        </w:rPr>
        <w:t>月</w:t>
      </w:r>
      <w:r>
        <w:rPr>
          <w:rFonts w:hint="eastAsia" w:ascii="宋体" w:hAnsi="宋体" w:cs="宋体"/>
          <w:kern w:val="0"/>
          <w:sz w:val="24"/>
          <w:lang w:val="en-US" w:eastAsia="zh-CN"/>
        </w:rPr>
        <w:t>16</w:t>
      </w:r>
      <w:r>
        <w:rPr>
          <w:rFonts w:ascii="宋体" w:hAnsi="宋体" w:cs="宋体"/>
          <w:kern w:val="0"/>
          <w:sz w:val="24"/>
        </w:rPr>
        <w:t>日</w:t>
      </w:r>
      <w:r>
        <w:rPr>
          <w:rFonts w:hint="eastAsia" w:ascii="宋体" w:hAnsi="宋体" w:cs="宋体"/>
          <w:kern w:val="0"/>
          <w:sz w:val="24"/>
          <w:lang w:eastAsia="zh-CN"/>
        </w:rPr>
        <w:t>（工作日）</w:t>
      </w:r>
      <w:r>
        <w:rPr>
          <w:rFonts w:hint="eastAsia" w:ascii="宋体" w:hAnsi="宋体" w:cs="宋体"/>
          <w:kern w:val="0"/>
          <w:sz w:val="24"/>
        </w:rPr>
        <w:t>；</w:t>
      </w:r>
    </w:p>
    <w:p>
      <w:pPr>
        <w:pStyle w:val="13"/>
        <w:ind w:firstLine="480" w:firstLineChars="200"/>
        <w:rPr>
          <w:rFonts w:hint="eastAsia" w:ascii="宋体" w:hAnsi="宋体" w:eastAsia="宋体" w:cs="宋体"/>
          <w:sz w:val="24"/>
          <w:szCs w:val="24"/>
        </w:rPr>
      </w:pPr>
      <w:r>
        <w:rPr>
          <w:rFonts w:hint="eastAsia" w:ascii="宋体" w:hAnsi="宋体" w:eastAsia="宋体" w:cs="宋体"/>
          <w:sz w:val="24"/>
          <w:szCs w:val="24"/>
        </w:rPr>
        <w:t>地点：资产管理处（行政楼402）。</w:t>
      </w:r>
    </w:p>
    <w:p>
      <w:pPr>
        <w:spacing w:line="360" w:lineRule="exact"/>
        <w:rPr>
          <w:rFonts w:ascii="宋体" w:hAnsi="宋体"/>
          <w:b/>
          <w:sz w:val="24"/>
        </w:rPr>
      </w:pPr>
      <w:r>
        <w:rPr>
          <w:rFonts w:hint="eastAsia" w:ascii="宋体" w:hAnsi="宋体"/>
          <w:b/>
          <w:sz w:val="24"/>
        </w:rPr>
        <w:t>四、招标截止、开标时间及地点：</w:t>
      </w:r>
    </w:p>
    <w:p>
      <w:pPr>
        <w:spacing w:line="360" w:lineRule="exact"/>
        <w:ind w:firstLine="480" w:firstLineChars="200"/>
        <w:rPr>
          <w:rFonts w:hint="eastAsia" w:ascii="宋体" w:hAnsi="宋体" w:eastAsia="宋体"/>
          <w:sz w:val="24"/>
          <w:lang w:eastAsia="zh-CN"/>
        </w:rPr>
      </w:pPr>
      <w:r>
        <w:rPr>
          <w:rFonts w:hint="eastAsia" w:ascii="宋体" w:hAnsi="宋体" w:cs="宋体"/>
          <w:kern w:val="0"/>
          <w:sz w:val="24"/>
        </w:rPr>
        <w:t>截止时间：</w:t>
      </w:r>
      <w:r>
        <w:rPr>
          <w:rFonts w:hint="eastAsia" w:ascii="宋体" w:hAnsi="宋体" w:cs="宋体"/>
          <w:kern w:val="0"/>
          <w:sz w:val="24"/>
          <w:lang w:eastAsia="zh-CN"/>
        </w:rPr>
        <w:t>2021年</w:t>
      </w:r>
      <w:r>
        <w:rPr>
          <w:rFonts w:hint="eastAsia" w:ascii="宋体" w:hAnsi="宋体" w:cs="宋体"/>
          <w:kern w:val="0"/>
          <w:sz w:val="24"/>
          <w:lang w:val="en-US" w:eastAsia="zh-CN"/>
        </w:rPr>
        <w:t>11</w:t>
      </w:r>
      <w:r>
        <w:rPr>
          <w:rFonts w:hint="eastAsia" w:ascii="宋体" w:hAnsi="宋体" w:cs="宋体"/>
          <w:kern w:val="0"/>
          <w:sz w:val="24"/>
          <w:lang w:eastAsia="zh-CN"/>
        </w:rPr>
        <w:t>月</w:t>
      </w:r>
      <w:r>
        <w:rPr>
          <w:rFonts w:hint="eastAsia" w:ascii="宋体" w:hAnsi="宋体" w:cs="宋体"/>
          <w:kern w:val="0"/>
          <w:sz w:val="24"/>
          <w:lang w:val="en-US" w:eastAsia="zh-CN"/>
        </w:rPr>
        <w:t>17</w:t>
      </w:r>
      <w:r>
        <w:rPr>
          <w:rFonts w:hint="eastAsia" w:ascii="宋体" w:hAnsi="宋体" w:cs="宋体"/>
          <w:kern w:val="0"/>
          <w:sz w:val="24"/>
          <w:lang w:eastAsia="zh-CN"/>
        </w:rPr>
        <w:t>日上午</w:t>
      </w:r>
      <w:r>
        <w:rPr>
          <w:rFonts w:hint="eastAsia" w:ascii="宋体" w:hAnsi="宋体" w:cs="宋体"/>
          <w:kern w:val="0"/>
          <w:sz w:val="24"/>
          <w:lang w:val="en-US" w:eastAsia="zh-CN"/>
        </w:rPr>
        <w:t>10</w:t>
      </w: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0</w:t>
      </w:r>
    </w:p>
    <w:p>
      <w:pPr>
        <w:spacing w:line="360" w:lineRule="exact"/>
        <w:ind w:firstLine="480" w:firstLineChars="200"/>
        <w:rPr>
          <w:rFonts w:hint="eastAsia" w:ascii="宋体" w:hAnsi="宋体" w:eastAsia="宋体"/>
          <w:sz w:val="24"/>
          <w:lang w:eastAsia="zh-CN"/>
        </w:rPr>
      </w:pPr>
      <w:r>
        <w:rPr>
          <w:rFonts w:hint="eastAsia" w:ascii="宋体" w:hAnsi="宋体" w:cs="宋体"/>
          <w:kern w:val="0"/>
          <w:sz w:val="24"/>
        </w:rPr>
        <w:t>开标时间：</w:t>
      </w:r>
      <w:r>
        <w:rPr>
          <w:rFonts w:hint="eastAsia" w:ascii="宋体" w:hAnsi="宋体" w:cs="宋体"/>
          <w:kern w:val="0"/>
          <w:sz w:val="24"/>
          <w:lang w:eastAsia="zh-CN"/>
        </w:rPr>
        <w:t>2021年</w:t>
      </w:r>
      <w:r>
        <w:rPr>
          <w:rFonts w:hint="eastAsia" w:ascii="宋体" w:hAnsi="宋体" w:cs="宋体"/>
          <w:kern w:val="0"/>
          <w:sz w:val="24"/>
          <w:lang w:val="en-US" w:eastAsia="zh-CN"/>
        </w:rPr>
        <w:t>11</w:t>
      </w:r>
      <w:r>
        <w:rPr>
          <w:rFonts w:hint="eastAsia" w:ascii="宋体" w:hAnsi="宋体" w:cs="宋体"/>
          <w:kern w:val="0"/>
          <w:sz w:val="24"/>
          <w:lang w:eastAsia="zh-CN"/>
        </w:rPr>
        <w:t>月</w:t>
      </w:r>
      <w:r>
        <w:rPr>
          <w:rFonts w:hint="eastAsia" w:ascii="宋体" w:hAnsi="宋体" w:cs="宋体"/>
          <w:kern w:val="0"/>
          <w:sz w:val="24"/>
          <w:lang w:val="en-US" w:eastAsia="zh-CN"/>
        </w:rPr>
        <w:t>17</w:t>
      </w:r>
      <w:r>
        <w:rPr>
          <w:rFonts w:hint="eastAsia" w:ascii="宋体" w:hAnsi="宋体" w:cs="宋体"/>
          <w:kern w:val="0"/>
          <w:sz w:val="24"/>
          <w:lang w:eastAsia="zh-CN"/>
        </w:rPr>
        <w:t>日上午</w:t>
      </w:r>
      <w:r>
        <w:rPr>
          <w:rFonts w:hint="eastAsia" w:ascii="宋体" w:hAnsi="宋体" w:cs="宋体"/>
          <w:kern w:val="0"/>
          <w:sz w:val="24"/>
          <w:lang w:val="en-US" w:eastAsia="zh-CN"/>
        </w:rPr>
        <w:t>10</w:t>
      </w: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0</w:t>
      </w:r>
    </w:p>
    <w:p>
      <w:pPr>
        <w:tabs>
          <w:tab w:val="left" w:pos="855"/>
        </w:tabs>
        <w:snapToGrid w:val="0"/>
        <w:spacing w:line="0" w:lineRule="atLeast"/>
        <w:ind w:firstLine="480" w:firstLineChars="200"/>
        <w:rPr>
          <w:rFonts w:hint="eastAsia" w:ascii="宋体" w:hAnsi="宋体"/>
          <w:sz w:val="24"/>
        </w:rPr>
      </w:pPr>
      <w:r>
        <w:rPr>
          <w:rFonts w:hint="eastAsia" w:ascii="宋体" w:hAnsi="宋体"/>
          <w:sz w:val="24"/>
        </w:rPr>
        <w:t>地点：湖南铁路科技职业技术学院 谈判会议室（行政楼401）。</w:t>
      </w:r>
    </w:p>
    <w:p>
      <w:pPr>
        <w:spacing w:line="360" w:lineRule="exact"/>
        <w:rPr>
          <w:rFonts w:hint="eastAsia" w:ascii="宋体" w:hAnsi="宋体"/>
          <w:b/>
          <w:sz w:val="24"/>
        </w:rPr>
      </w:pPr>
      <w:r>
        <w:rPr>
          <w:rFonts w:hint="eastAsia" w:ascii="宋体" w:hAnsi="宋体"/>
          <w:b/>
          <w:sz w:val="24"/>
        </w:rPr>
        <w:t>五、供应商应具备的基本条件</w:t>
      </w:r>
    </w:p>
    <w:p>
      <w:pPr>
        <w:spacing w:line="360" w:lineRule="exact"/>
        <w:ind w:firstLine="480" w:firstLineChars="200"/>
        <w:rPr>
          <w:rFonts w:hint="eastAsia" w:ascii="宋体" w:hAnsi="宋体"/>
          <w:sz w:val="24"/>
        </w:rPr>
      </w:pPr>
      <w:r>
        <w:rPr>
          <w:rFonts w:hint="eastAsia" w:ascii="宋体" w:hAnsi="宋体"/>
          <w:sz w:val="24"/>
        </w:rPr>
        <w:t>1、投标人基本资格条件：投标人应当符合《政府采购法》第二十二条第一款的规定，即：</w:t>
      </w:r>
    </w:p>
    <w:p>
      <w:pPr>
        <w:spacing w:line="360" w:lineRule="exact"/>
        <w:ind w:firstLine="480" w:firstLineChars="200"/>
        <w:rPr>
          <w:rFonts w:hint="eastAsia" w:ascii="宋体" w:hAnsi="宋体"/>
          <w:sz w:val="24"/>
        </w:rPr>
      </w:pPr>
      <w:r>
        <w:rPr>
          <w:rFonts w:hint="eastAsia" w:ascii="宋体" w:hAnsi="宋体"/>
          <w:sz w:val="24"/>
        </w:rPr>
        <w:t>（1）具有独立承担民事责任的能力；</w:t>
      </w:r>
    </w:p>
    <w:p>
      <w:pPr>
        <w:spacing w:line="360" w:lineRule="exact"/>
        <w:ind w:firstLine="480" w:firstLineChars="200"/>
        <w:rPr>
          <w:rFonts w:hint="eastAsia" w:ascii="宋体" w:hAnsi="宋体"/>
          <w:sz w:val="24"/>
        </w:rPr>
      </w:pPr>
      <w:r>
        <w:rPr>
          <w:rFonts w:hint="eastAsia" w:ascii="宋体" w:hAnsi="宋体"/>
          <w:sz w:val="24"/>
        </w:rPr>
        <w:t>（2）具有良好的商业信誉和健全的财务会计制度；</w:t>
      </w:r>
    </w:p>
    <w:p>
      <w:pPr>
        <w:spacing w:line="360" w:lineRule="exact"/>
        <w:ind w:firstLine="480" w:firstLineChars="200"/>
        <w:rPr>
          <w:rFonts w:hint="eastAsia" w:ascii="宋体" w:hAnsi="宋体"/>
          <w:sz w:val="24"/>
        </w:rPr>
      </w:pPr>
      <w:r>
        <w:rPr>
          <w:rFonts w:hint="eastAsia" w:ascii="宋体" w:hAnsi="宋体"/>
          <w:sz w:val="24"/>
        </w:rPr>
        <w:t>（3）具有履行合同所必需的设备和专业技术能力；</w:t>
      </w:r>
    </w:p>
    <w:p>
      <w:pPr>
        <w:spacing w:line="360" w:lineRule="exact"/>
        <w:ind w:firstLine="480" w:firstLineChars="200"/>
        <w:rPr>
          <w:rFonts w:hint="eastAsia" w:ascii="宋体" w:hAnsi="宋体"/>
          <w:sz w:val="24"/>
        </w:rPr>
      </w:pPr>
      <w:r>
        <w:rPr>
          <w:rFonts w:hint="eastAsia" w:ascii="宋体" w:hAnsi="宋体"/>
          <w:sz w:val="24"/>
        </w:rPr>
        <w:t>（4）有依法缴纳税收和社会保障资金的良好记录；</w:t>
      </w:r>
    </w:p>
    <w:p>
      <w:pPr>
        <w:spacing w:line="360" w:lineRule="exact"/>
        <w:ind w:firstLine="480" w:firstLineChars="200"/>
        <w:rPr>
          <w:rFonts w:hint="eastAsia" w:ascii="宋体" w:hAnsi="宋体"/>
          <w:sz w:val="24"/>
        </w:rPr>
      </w:pPr>
      <w:r>
        <w:rPr>
          <w:rFonts w:hint="eastAsia" w:ascii="宋体" w:hAnsi="宋体"/>
          <w:sz w:val="24"/>
        </w:rPr>
        <w:t>（5）参加政府采购活动前三年内，在经营活动中没有重大违法记录；</w:t>
      </w:r>
    </w:p>
    <w:p>
      <w:pPr>
        <w:spacing w:line="360" w:lineRule="exact"/>
        <w:ind w:firstLine="480" w:firstLineChars="200"/>
        <w:rPr>
          <w:rFonts w:hint="eastAsia" w:ascii="宋体" w:hAnsi="宋体"/>
          <w:sz w:val="24"/>
        </w:rPr>
      </w:pPr>
      <w:r>
        <w:rPr>
          <w:rFonts w:hint="eastAsia" w:ascii="宋体" w:hAnsi="宋体"/>
          <w:sz w:val="24"/>
        </w:rPr>
        <w:t>（6）法律、行政法规规定的其他条件。</w:t>
      </w:r>
    </w:p>
    <w:p>
      <w:pPr>
        <w:spacing w:line="360" w:lineRule="exact"/>
        <w:ind w:firstLine="480" w:firstLineChars="200"/>
        <w:rPr>
          <w:rFonts w:hint="eastAsia" w:ascii="宋体" w:hAnsi="宋体"/>
          <w:sz w:val="24"/>
        </w:rPr>
      </w:pPr>
      <w:r>
        <w:rPr>
          <w:rFonts w:hint="eastAsia" w:ascii="宋体" w:hAnsi="宋体"/>
          <w:sz w:val="24"/>
        </w:rPr>
        <w:t>2、被“信用中国”网站列入失信被执行人和重大税收违法案件当事人名单的、被“中国政府采购网”网站列入政府采购严重违法失信行为记录名单（处罚期限尚未届满的），不得参与本项目的政府采购活动。</w:t>
      </w:r>
    </w:p>
    <w:p>
      <w:pPr>
        <w:spacing w:line="360" w:lineRule="exact"/>
        <w:rPr>
          <w:rFonts w:ascii="宋体" w:hAnsi="宋体"/>
          <w:b/>
          <w:sz w:val="24"/>
        </w:rPr>
      </w:pPr>
      <w:r>
        <w:rPr>
          <w:rFonts w:hint="eastAsia" w:ascii="宋体" w:hAnsi="宋体"/>
          <w:b/>
          <w:sz w:val="24"/>
        </w:rPr>
        <w:t>六、联系地址及联系人</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rPr>
        <w:t>地址：湖南省株洲市云龙示范区职教大学城智慧路1号</w:t>
      </w:r>
    </w:p>
    <w:p>
      <w:pPr>
        <w:keepNext w:val="0"/>
        <w:keepLines w:val="0"/>
        <w:pageBreakBefore w:val="0"/>
        <w:widowControl w:val="0"/>
        <w:kinsoku/>
        <w:wordWrap/>
        <w:overflowPunct/>
        <w:topLinePunct w:val="0"/>
        <w:autoSpaceDE/>
        <w:autoSpaceDN/>
        <w:bidi w:val="0"/>
        <w:adjustRightInd/>
        <w:snapToGrid/>
        <w:spacing w:line="480" w:lineRule="auto"/>
        <w:ind w:firstLine="465"/>
        <w:textAlignment w:val="auto"/>
        <w:rPr>
          <w:rFonts w:ascii="宋体" w:hAnsi="宋体"/>
          <w:sz w:val="24"/>
        </w:rPr>
      </w:pPr>
      <w:r>
        <w:rPr>
          <w:rFonts w:hint="eastAsia" w:ascii="宋体" w:hAnsi="宋体"/>
          <w:sz w:val="24"/>
        </w:rPr>
        <w:t>联系人：彭老师（资产管理处）</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sz w:val="24"/>
        </w:rPr>
      </w:pPr>
      <w:r>
        <w:rPr>
          <w:rFonts w:hint="eastAsia" w:ascii="宋体" w:hAnsi="宋体"/>
          <w:sz w:val="24"/>
        </w:rPr>
        <w:t>电话：0731-22780163   邮政编码：412000</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sz w:val="24"/>
        </w:rPr>
      </w:pPr>
      <w:r>
        <w:rPr>
          <w:rFonts w:hint="eastAsia" w:ascii="宋体" w:hAnsi="宋体"/>
          <w:sz w:val="24"/>
        </w:rPr>
        <w:t>联系人：</w:t>
      </w:r>
      <w:r>
        <w:rPr>
          <w:rFonts w:hint="eastAsia" w:ascii="宋体" w:hAnsi="宋体"/>
          <w:sz w:val="24"/>
          <w:lang w:eastAsia="zh-CN"/>
        </w:rPr>
        <w:t>熊</w:t>
      </w:r>
      <w:r>
        <w:rPr>
          <w:rFonts w:hint="eastAsia" w:ascii="宋体" w:hAnsi="宋体"/>
          <w:sz w:val="24"/>
        </w:rPr>
        <w:t>老师（技术负责）</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default" w:ascii="宋体" w:hAnsi="宋体"/>
          <w:color w:val="auto"/>
          <w:sz w:val="24"/>
          <w:lang w:val="en-US" w:eastAsia="zh-CN"/>
        </w:rPr>
      </w:pPr>
      <w:r>
        <w:rPr>
          <w:rFonts w:hint="eastAsia" w:ascii="宋体" w:hAnsi="宋体"/>
          <w:sz w:val="24"/>
        </w:rPr>
        <w:t>电话：</w:t>
      </w:r>
      <w:r>
        <w:rPr>
          <w:rFonts w:hint="eastAsia" w:ascii="宋体" w:hAnsi="宋体"/>
          <w:color w:val="auto"/>
          <w:sz w:val="24"/>
        </w:rPr>
        <w:t>0731—</w:t>
      </w:r>
      <w:r>
        <w:rPr>
          <w:rFonts w:hint="eastAsia" w:ascii="宋体" w:hAnsi="宋体"/>
          <w:color w:val="auto"/>
          <w:sz w:val="24"/>
          <w:lang w:val="en-US" w:eastAsia="zh-CN"/>
        </w:rPr>
        <w:t>22780185</w:t>
      </w:r>
      <w:bookmarkStart w:id="3" w:name="_GoBack"/>
      <w:bookmarkEnd w:id="3"/>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ascii="宋体" w:hAnsi="宋体"/>
          <w:sz w:val="24"/>
        </w:rPr>
      </w:pPr>
      <w:r>
        <w:rPr>
          <w:rFonts w:hint="eastAsia" w:ascii="宋体" w:hAnsi="宋体"/>
          <w:sz w:val="24"/>
        </w:rPr>
        <w:t>联系人：王 津（纪检监督）</w:t>
      </w:r>
    </w:p>
    <w:p>
      <w:pPr>
        <w:keepNext w:val="0"/>
        <w:keepLines w:val="0"/>
        <w:pageBreakBefore w:val="0"/>
        <w:widowControl w:val="0"/>
        <w:kinsoku/>
        <w:wordWrap/>
        <w:overflowPunct/>
        <w:topLinePunct w:val="0"/>
        <w:autoSpaceDE/>
        <w:autoSpaceDN/>
        <w:bidi w:val="0"/>
        <w:adjustRightInd/>
        <w:snapToGrid/>
        <w:spacing w:line="480" w:lineRule="auto"/>
        <w:ind w:firstLine="480" w:firstLineChars="200"/>
        <w:textAlignment w:val="auto"/>
        <w:rPr>
          <w:rFonts w:hint="eastAsia" w:ascii="宋体" w:hAnsi="宋体"/>
          <w:sz w:val="24"/>
        </w:rPr>
      </w:pPr>
      <w:r>
        <w:rPr>
          <w:rFonts w:hint="eastAsia" w:ascii="宋体" w:hAnsi="宋体"/>
          <w:sz w:val="24"/>
        </w:rPr>
        <w:t xml:space="preserve">电话：0731—22780158  </w:t>
      </w:r>
    </w:p>
    <w:p>
      <w:pPr>
        <w:spacing w:line="360" w:lineRule="exact"/>
        <w:ind w:firstLine="480" w:firstLineChars="200"/>
        <w:rPr>
          <w:rFonts w:hint="eastAsia" w:ascii="宋体" w:hAnsi="宋体"/>
          <w:sz w:val="24"/>
        </w:rPr>
      </w:pPr>
    </w:p>
    <w:p>
      <w:pPr>
        <w:pStyle w:val="13"/>
        <w:rPr>
          <w:rFonts w:hint="eastAsia" w:ascii="宋体" w:hAnsi="宋体"/>
          <w:sz w:val="24"/>
        </w:rPr>
      </w:pPr>
    </w:p>
    <w:p>
      <w:pPr>
        <w:pStyle w:val="13"/>
        <w:rPr>
          <w:rFonts w:hint="eastAsia" w:ascii="宋体" w:hAnsi="宋体"/>
          <w:sz w:val="24"/>
        </w:rPr>
      </w:pPr>
    </w:p>
    <w:p>
      <w:pPr>
        <w:pStyle w:val="13"/>
        <w:rPr>
          <w:rFonts w:hint="eastAsia" w:ascii="宋体" w:hAnsi="宋体"/>
          <w:sz w:val="24"/>
        </w:rPr>
      </w:pPr>
    </w:p>
    <w:p>
      <w:pPr>
        <w:pStyle w:val="13"/>
        <w:rPr>
          <w:rFonts w:hint="eastAsia" w:ascii="宋体" w:hAnsi="宋体"/>
          <w:sz w:val="24"/>
        </w:rPr>
      </w:pPr>
    </w:p>
    <w:p>
      <w:pPr>
        <w:pStyle w:val="13"/>
        <w:rPr>
          <w:rFonts w:hint="eastAsia" w:ascii="宋体" w:hAnsi="宋体"/>
          <w:sz w:val="24"/>
        </w:rPr>
      </w:pPr>
    </w:p>
    <w:p>
      <w:pPr>
        <w:pStyle w:val="13"/>
        <w:rPr>
          <w:rFonts w:hint="eastAsia" w:ascii="宋体" w:hAnsi="宋体"/>
          <w:sz w:val="24"/>
        </w:rPr>
      </w:pPr>
    </w:p>
    <w:p>
      <w:pPr>
        <w:pStyle w:val="13"/>
        <w:rPr>
          <w:rFonts w:hint="eastAsia" w:ascii="宋体" w:hAnsi="宋体"/>
          <w:sz w:val="24"/>
        </w:rPr>
      </w:pPr>
    </w:p>
    <w:p>
      <w:pPr>
        <w:pStyle w:val="13"/>
        <w:rPr>
          <w:rFonts w:hint="eastAsia" w:ascii="宋体" w:hAnsi="宋体"/>
          <w:sz w:val="24"/>
        </w:rPr>
      </w:pPr>
    </w:p>
    <w:p>
      <w:pPr>
        <w:pStyle w:val="13"/>
        <w:rPr>
          <w:rFonts w:hint="eastAsia" w:ascii="宋体" w:hAnsi="宋体"/>
          <w:sz w:val="24"/>
        </w:rPr>
      </w:pPr>
    </w:p>
    <w:p>
      <w:pPr>
        <w:pStyle w:val="13"/>
        <w:rPr>
          <w:rFonts w:hint="eastAsia" w:ascii="宋体" w:hAnsi="宋体"/>
          <w:sz w:val="24"/>
        </w:rPr>
      </w:pPr>
    </w:p>
    <w:p>
      <w:pPr>
        <w:pStyle w:val="13"/>
        <w:rPr>
          <w:rFonts w:hint="eastAsia" w:ascii="宋体" w:hAnsi="宋体"/>
          <w:sz w:val="24"/>
        </w:rPr>
      </w:pPr>
    </w:p>
    <w:p>
      <w:pPr>
        <w:pStyle w:val="13"/>
        <w:rPr>
          <w:rFonts w:hint="eastAsia" w:ascii="宋体" w:hAnsi="宋体"/>
          <w:sz w:val="24"/>
        </w:rPr>
      </w:pPr>
    </w:p>
    <w:p>
      <w:pPr>
        <w:pStyle w:val="13"/>
        <w:rPr>
          <w:rFonts w:hint="eastAsia" w:ascii="宋体" w:hAnsi="宋体"/>
          <w:sz w:val="24"/>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pStyle w:val="9"/>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spacing w:line="360" w:lineRule="exact"/>
        <w:ind w:firstLine="562" w:firstLineChars="200"/>
        <w:jc w:val="center"/>
        <w:rPr>
          <w:rFonts w:ascii="宋体" w:hAnsi="宋体"/>
          <w:b/>
          <w:sz w:val="28"/>
          <w:szCs w:val="28"/>
        </w:rPr>
      </w:pPr>
    </w:p>
    <w:p>
      <w:pPr>
        <w:pStyle w:val="13"/>
        <w:rPr>
          <w:rFonts w:hint="eastAsia"/>
        </w:rPr>
      </w:pPr>
    </w:p>
    <w:p>
      <w:pPr>
        <w:spacing w:line="360" w:lineRule="exact"/>
        <w:ind w:firstLine="562" w:firstLineChars="200"/>
        <w:jc w:val="center"/>
        <w:rPr>
          <w:rFonts w:ascii="宋体" w:hAnsi="宋体"/>
          <w:b/>
          <w:sz w:val="28"/>
          <w:szCs w:val="28"/>
        </w:rPr>
      </w:pPr>
      <w:r>
        <w:rPr>
          <w:rFonts w:hint="eastAsia" w:ascii="宋体" w:hAnsi="宋体"/>
          <w:b/>
          <w:sz w:val="28"/>
          <w:szCs w:val="28"/>
        </w:rPr>
        <w:t xml:space="preserve">第二部分 </w:t>
      </w:r>
      <w:r>
        <w:rPr>
          <w:rFonts w:hint="eastAsia" w:ascii="宋体" w:hAnsi="宋体"/>
          <w:b/>
          <w:sz w:val="28"/>
          <w:szCs w:val="28"/>
          <w:lang w:eastAsia="zh-CN"/>
        </w:rPr>
        <w:t>磋商</w:t>
      </w:r>
      <w:r>
        <w:rPr>
          <w:rFonts w:hint="eastAsia" w:ascii="宋体" w:hAnsi="宋体"/>
          <w:b/>
          <w:sz w:val="28"/>
          <w:szCs w:val="28"/>
        </w:rPr>
        <w:t>事项说明</w:t>
      </w:r>
    </w:p>
    <w:p>
      <w:pPr>
        <w:spacing w:line="360" w:lineRule="exact"/>
        <w:ind w:firstLine="482" w:firstLineChars="200"/>
        <w:jc w:val="center"/>
        <w:rPr>
          <w:rFonts w:ascii="宋体" w:hAnsi="宋体"/>
          <w:b/>
          <w:sz w:val="24"/>
        </w:rPr>
      </w:pPr>
    </w:p>
    <w:p>
      <w:pPr>
        <w:spacing w:line="360" w:lineRule="exact"/>
        <w:ind w:firstLine="482" w:firstLineChars="200"/>
        <w:jc w:val="center"/>
        <w:rPr>
          <w:rFonts w:ascii="宋体" w:hAnsi="宋体"/>
          <w:b/>
          <w:sz w:val="24"/>
        </w:rPr>
      </w:pPr>
    </w:p>
    <w:p>
      <w:pPr>
        <w:spacing w:line="360" w:lineRule="exact"/>
        <w:rPr>
          <w:rFonts w:ascii="宋体" w:hAnsi="宋体"/>
          <w:b/>
          <w:sz w:val="24"/>
        </w:rPr>
      </w:pPr>
      <w:r>
        <w:rPr>
          <w:rFonts w:hint="eastAsia" w:ascii="宋体" w:hAnsi="宋体"/>
          <w:b/>
          <w:sz w:val="24"/>
        </w:rPr>
        <w:t>一、投标文件应包含以下内容</w:t>
      </w:r>
    </w:p>
    <w:p>
      <w:pPr>
        <w:spacing w:line="360" w:lineRule="exact"/>
        <w:ind w:firstLine="480" w:firstLineChars="200"/>
        <w:rPr>
          <w:rFonts w:ascii="宋体" w:hAnsi="宋体"/>
          <w:sz w:val="24"/>
        </w:rPr>
      </w:pPr>
      <w:r>
        <w:rPr>
          <w:rFonts w:hint="eastAsia" w:ascii="宋体" w:hAnsi="宋体"/>
          <w:sz w:val="24"/>
        </w:rPr>
        <w:t>投标单位应根据招标文件规定的格式要求向招标单位提交投标文件四份（A4幅面，一正三副，并注明正、副本），并按规定密封（并注明“正本”和“副本”）。</w:t>
      </w:r>
    </w:p>
    <w:p>
      <w:pPr>
        <w:spacing w:line="360" w:lineRule="exact"/>
        <w:ind w:firstLine="480" w:firstLineChars="200"/>
        <w:rPr>
          <w:rFonts w:ascii="宋体" w:hAnsi="宋体"/>
          <w:sz w:val="24"/>
        </w:rPr>
      </w:pPr>
      <w:r>
        <w:rPr>
          <w:rFonts w:hint="eastAsia" w:ascii="宋体" w:hAnsi="宋体"/>
          <w:sz w:val="24"/>
        </w:rPr>
        <w:t>1、投标函</w:t>
      </w:r>
    </w:p>
    <w:p>
      <w:pPr>
        <w:spacing w:line="360" w:lineRule="exact"/>
        <w:ind w:firstLine="480" w:firstLineChars="200"/>
        <w:rPr>
          <w:rFonts w:ascii="宋体" w:hAnsi="宋体"/>
          <w:sz w:val="24"/>
        </w:rPr>
      </w:pPr>
      <w:r>
        <w:rPr>
          <w:rFonts w:hint="eastAsia" w:ascii="宋体" w:hAnsi="宋体"/>
          <w:sz w:val="24"/>
        </w:rPr>
        <w:t>2、企业法人资格说明（复印件）</w:t>
      </w:r>
    </w:p>
    <w:p>
      <w:pPr>
        <w:spacing w:line="360" w:lineRule="exact"/>
        <w:ind w:firstLine="480" w:firstLineChars="200"/>
        <w:rPr>
          <w:rFonts w:ascii="宋体" w:hAnsi="宋体"/>
          <w:sz w:val="24"/>
        </w:rPr>
      </w:pPr>
      <w:r>
        <w:rPr>
          <w:rFonts w:hint="eastAsia" w:ascii="宋体" w:hAnsi="宋体"/>
          <w:sz w:val="24"/>
        </w:rPr>
        <w:t>3、企业法人授权委托书</w:t>
      </w:r>
    </w:p>
    <w:p>
      <w:pPr>
        <w:spacing w:line="360" w:lineRule="exact"/>
        <w:ind w:firstLine="480" w:firstLineChars="200"/>
        <w:rPr>
          <w:rFonts w:ascii="宋体" w:hAnsi="宋体"/>
          <w:sz w:val="24"/>
        </w:rPr>
      </w:pPr>
      <w:r>
        <w:rPr>
          <w:rFonts w:hint="eastAsia" w:ascii="宋体" w:hAnsi="宋体"/>
          <w:sz w:val="24"/>
        </w:rPr>
        <w:t>4、投标报价表</w:t>
      </w:r>
    </w:p>
    <w:p>
      <w:pPr>
        <w:spacing w:line="360" w:lineRule="exact"/>
        <w:ind w:firstLine="480" w:firstLineChars="200"/>
        <w:rPr>
          <w:rFonts w:ascii="宋体" w:hAnsi="宋体"/>
          <w:sz w:val="24"/>
        </w:rPr>
      </w:pPr>
      <w:r>
        <w:rPr>
          <w:rFonts w:hint="eastAsia" w:ascii="宋体" w:hAnsi="宋体"/>
          <w:sz w:val="24"/>
        </w:rPr>
        <w:t>5、售后服务承诺</w:t>
      </w:r>
    </w:p>
    <w:p>
      <w:pPr>
        <w:spacing w:line="360" w:lineRule="exact"/>
        <w:ind w:firstLine="480" w:firstLineChars="200"/>
        <w:rPr>
          <w:rFonts w:hint="eastAsia" w:ascii="宋体" w:hAnsi="宋体"/>
          <w:sz w:val="24"/>
        </w:rPr>
      </w:pPr>
      <w:r>
        <w:rPr>
          <w:rFonts w:hint="eastAsia" w:ascii="宋体" w:hAnsi="宋体"/>
          <w:sz w:val="24"/>
        </w:rPr>
        <w:t>6、公司简介</w:t>
      </w:r>
    </w:p>
    <w:p>
      <w:pPr>
        <w:spacing w:line="360" w:lineRule="exact"/>
        <w:ind w:firstLine="480" w:firstLineChars="200"/>
        <w:rPr>
          <w:rFonts w:hint="eastAsia" w:ascii="宋体" w:hAnsi="宋体" w:eastAsia="宋体"/>
          <w:sz w:val="24"/>
          <w:lang w:val="en-US" w:eastAsia="zh-CN"/>
        </w:rPr>
      </w:pPr>
      <w:r>
        <w:rPr>
          <w:rFonts w:hint="eastAsia" w:ascii="宋体" w:hAnsi="宋体"/>
          <w:sz w:val="24"/>
        </w:rPr>
        <w:t>7、</w:t>
      </w:r>
      <w:r>
        <w:rPr>
          <w:rFonts w:hint="eastAsia" w:ascii="宋体" w:hAnsi="宋体"/>
          <w:sz w:val="24"/>
          <w:lang w:eastAsia="zh-CN"/>
        </w:rPr>
        <w:t>湖南省电子卖场资格证明</w:t>
      </w:r>
    </w:p>
    <w:p>
      <w:pPr>
        <w:spacing w:line="360" w:lineRule="exact"/>
        <w:ind w:firstLine="480" w:firstLineChars="200"/>
        <w:rPr>
          <w:rFonts w:ascii="宋体" w:hAnsi="宋体"/>
          <w:sz w:val="24"/>
        </w:rPr>
      </w:pPr>
      <w:r>
        <w:rPr>
          <w:rFonts w:hint="eastAsia" w:ascii="宋体" w:hAnsi="宋体"/>
          <w:sz w:val="24"/>
          <w:lang w:val="en-US" w:eastAsia="zh-CN"/>
        </w:rPr>
        <w:t>8</w:t>
      </w:r>
      <w:r>
        <w:rPr>
          <w:rFonts w:hint="eastAsia" w:ascii="宋体" w:hAnsi="宋体"/>
          <w:sz w:val="24"/>
        </w:rPr>
        <w:t>、其他需说明的事项</w:t>
      </w:r>
    </w:p>
    <w:p>
      <w:pPr>
        <w:spacing w:line="360" w:lineRule="exact"/>
        <w:ind w:firstLine="480" w:firstLineChars="200"/>
        <w:rPr>
          <w:rFonts w:ascii="宋体" w:hAnsi="宋体"/>
          <w:sz w:val="24"/>
        </w:rPr>
      </w:pPr>
      <w:r>
        <w:rPr>
          <w:rFonts w:hint="eastAsia" w:ascii="宋体" w:hAnsi="宋体"/>
          <w:sz w:val="24"/>
        </w:rPr>
        <w:t>投标标书文本关键处应由对投标单位有法律约束力的代表签字和盖章。标函上应注明项目名称、投标单位的全称、地址和联系电话。投标人必须提供投标资格文件与应具备的条件；投标人的法定地址、注册地点、企业法人和营业执照。</w:t>
      </w:r>
    </w:p>
    <w:p>
      <w:pPr>
        <w:spacing w:line="360" w:lineRule="exact"/>
        <w:rPr>
          <w:rFonts w:ascii="宋体" w:hAnsi="宋体"/>
          <w:b/>
          <w:sz w:val="24"/>
        </w:rPr>
      </w:pPr>
      <w:r>
        <w:rPr>
          <w:rFonts w:hint="eastAsia" w:ascii="宋体" w:hAnsi="宋体"/>
          <w:b/>
          <w:sz w:val="24"/>
        </w:rPr>
        <w:t>二、报价</w:t>
      </w:r>
    </w:p>
    <w:p>
      <w:pPr>
        <w:spacing w:line="360" w:lineRule="exact"/>
        <w:ind w:firstLine="482" w:firstLineChars="200"/>
        <w:rPr>
          <w:rFonts w:ascii="宋体" w:hAnsi="宋体"/>
          <w:b/>
          <w:bCs/>
          <w:color w:val="auto"/>
          <w:sz w:val="24"/>
        </w:rPr>
      </w:pPr>
      <w:r>
        <w:rPr>
          <w:rFonts w:hint="eastAsia" w:ascii="宋体" w:hAnsi="宋体"/>
          <w:b/>
          <w:bCs/>
          <w:color w:val="auto"/>
          <w:sz w:val="24"/>
        </w:rPr>
        <w:t>本投标报价上限值：</w:t>
      </w:r>
      <w:r>
        <w:rPr>
          <w:rFonts w:hint="eastAsia" w:ascii="宋体" w:hAnsi="宋体"/>
          <w:b/>
          <w:bCs/>
          <w:color w:val="auto"/>
          <w:sz w:val="24"/>
          <w:lang w:val="en-US" w:eastAsia="zh-CN"/>
        </w:rPr>
        <w:t>14.5</w:t>
      </w:r>
      <w:r>
        <w:rPr>
          <w:rFonts w:hint="eastAsia" w:ascii="宋体" w:hAnsi="宋体"/>
          <w:b/>
          <w:bCs/>
          <w:color w:val="auto"/>
          <w:sz w:val="24"/>
        </w:rPr>
        <w:t>万元。</w:t>
      </w:r>
    </w:p>
    <w:p>
      <w:pPr>
        <w:spacing w:line="360" w:lineRule="exact"/>
        <w:ind w:firstLine="480" w:firstLineChars="200"/>
        <w:rPr>
          <w:rFonts w:ascii="宋体" w:hAnsi="宋体"/>
          <w:sz w:val="24"/>
        </w:rPr>
      </w:pPr>
      <w:r>
        <w:rPr>
          <w:rFonts w:hint="eastAsia" w:ascii="宋体" w:hAnsi="宋体"/>
          <w:sz w:val="24"/>
        </w:rPr>
        <w:t>所有报价应以人民币为单位，投标函中的投标报价为第一次报价，谈判后采购双方都能接受的情况下，以最终报价为准。</w:t>
      </w:r>
    </w:p>
    <w:p>
      <w:pPr>
        <w:spacing w:line="360" w:lineRule="exact"/>
        <w:ind w:firstLine="480" w:firstLineChars="200"/>
        <w:rPr>
          <w:rFonts w:ascii="宋体" w:hAnsi="宋体"/>
          <w:sz w:val="24"/>
        </w:rPr>
      </w:pPr>
      <w:r>
        <w:rPr>
          <w:rFonts w:hint="eastAsia" w:ascii="宋体" w:hAnsi="宋体"/>
          <w:sz w:val="24"/>
        </w:rPr>
        <w:t>1、投标报价应按照谈判文件附件的“投标函”格式填报，投标人应在报价表中标明每一个项目单位和总价，当单价与总价有出入时，以单价为准；</w:t>
      </w:r>
    </w:p>
    <w:p>
      <w:pPr>
        <w:spacing w:line="360" w:lineRule="exact"/>
        <w:ind w:firstLine="480" w:firstLineChars="200"/>
        <w:rPr>
          <w:rFonts w:ascii="宋体" w:hAnsi="宋体"/>
          <w:sz w:val="24"/>
        </w:rPr>
      </w:pPr>
      <w:r>
        <w:rPr>
          <w:rFonts w:hint="eastAsia" w:ascii="宋体" w:hAnsi="宋体"/>
          <w:sz w:val="24"/>
        </w:rPr>
        <w:t>2、价必须包括货物（包括所需的货物配置、备品备件、专用工具等）运输安装调式、维护、人工、代理服务费、税费及其相关工作范围内的所有费用；</w:t>
      </w:r>
    </w:p>
    <w:p>
      <w:pPr>
        <w:spacing w:line="360" w:lineRule="exact"/>
        <w:ind w:firstLine="480" w:firstLineChars="200"/>
        <w:rPr>
          <w:rFonts w:ascii="宋体" w:hAnsi="宋体"/>
          <w:sz w:val="24"/>
        </w:rPr>
      </w:pPr>
      <w:r>
        <w:rPr>
          <w:rFonts w:hint="eastAsia" w:ascii="宋体" w:hAnsi="宋体"/>
          <w:sz w:val="24"/>
        </w:rPr>
        <w:t>3、报价应是含税报价，并且投标人所报价在合同执行过程中是固定不变的，不得以任何理由予以变更，采购方不承担价格波动所产生的任何责任；</w:t>
      </w:r>
    </w:p>
    <w:p>
      <w:pPr>
        <w:spacing w:line="360" w:lineRule="exact"/>
        <w:ind w:firstLine="480" w:firstLineChars="200"/>
        <w:rPr>
          <w:rFonts w:ascii="宋体" w:hAnsi="宋体"/>
          <w:sz w:val="24"/>
        </w:rPr>
      </w:pPr>
      <w:r>
        <w:rPr>
          <w:rFonts w:hint="eastAsia" w:ascii="宋体" w:hAnsi="宋体"/>
          <w:sz w:val="24"/>
        </w:rPr>
        <w:t>4、最终成交报价总额应用阿拉伯数字和大写数字两种表示，阿拉伯数字与大写数字有不同的，以大写数字为准；</w:t>
      </w:r>
    </w:p>
    <w:p>
      <w:pPr>
        <w:spacing w:line="360" w:lineRule="exact"/>
        <w:ind w:firstLine="480" w:firstLineChars="200"/>
        <w:rPr>
          <w:rFonts w:ascii="宋体" w:hAnsi="宋体"/>
          <w:sz w:val="24"/>
        </w:rPr>
      </w:pPr>
      <w:r>
        <w:rPr>
          <w:rFonts w:hint="eastAsia" w:ascii="宋体" w:hAnsi="宋体"/>
          <w:sz w:val="24"/>
        </w:rPr>
        <w:t>5、除谈判文件另有规定的，计量单位为我国法定计量单位；</w:t>
      </w:r>
    </w:p>
    <w:p>
      <w:pPr>
        <w:spacing w:line="360" w:lineRule="exact"/>
        <w:ind w:firstLine="480" w:firstLineChars="200"/>
        <w:rPr>
          <w:rFonts w:ascii="宋体" w:hAnsi="宋体"/>
          <w:sz w:val="24"/>
        </w:rPr>
      </w:pPr>
      <w:r>
        <w:rPr>
          <w:rFonts w:hint="eastAsia" w:ascii="宋体" w:hAnsi="宋体"/>
          <w:sz w:val="24"/>
        </w:rPr>
        <w:t>6、投标人提交的投标书以及投标人与买方就有关投标的所有来函电均应使用中文。</w:t>
      </w:r>
    </w:p>
    <w:p>
      <w:pPr>
        <w:spacing w:line="360" w:lineRule="exact"/>
        <w:rPr>
          <w:rFonts w:ascii="宋体" w:hAnsi="宋体"/>
          <w:b/>
          <w:sz w:val="24"/>
        </w:rPr>
      </w:pPr>
      <w:r>
        <w:rPr>
          <w:rFonts w:hint="eastAsia" w:ascii="宋体" w:hAnsi="宋体"/>
          <w:b/>
          <w:sz w:val="24"/>
        </w:rPr>
        <w:t>三、招标文件和投标文件的澄清程序</w:t>
      </w:r>
    </w:p>
    <w:p>
      <w:pPr>
        <w:spacing w:line="360" w:lineRule="exact"/>
        <w:ind w:firstLine="480" w:firstLineChars="200"/>
        <w:rPr>
          <w:rFonts w:ascii="宋体" w:hAnsi="宋体"/>
          <w:sz w:val="24"/>
        </w:rPr>
      </w:pPr>
      <w:r>
        <w:rPr>
          <w:rFonts w:hint="eastAsia" w:ascii="宋体" w:hAnsi="宋体"/>
          <w:sz w:val="24"/>
        </w:rPr>
        <w:t>1、投标人对于招标文件中技术要求方面的质疑，由招标方负责澄清；</w:t>
      </w:r>
    </w:p>
    <w:p>
      <w:pPr>
        <w:spacing w:line="360" w:lineRule="exact"/>
        <w:ind w:firstLine="480" w:firstLineChars="200"/>
        <w:rPr>
          <w:rFonts w:ascii="宋体" w:hAnsi="宋体"/>
          <w:sz w:val="24"/>
        </w:rPr>
      </w:pPr>
      <w:r>
        <w:rPr>
          <w:rFonts w:hint="eastAsia" w:ascii="宋体" w:hAnsi="宋体"/>
          <w:sz w:val="24"/>
        </w:rPr>
        <w:t>2、招标人认为的投标文件中无法判定的内容，投标人予以澄清；</w:t>
      </w:r>
    </w:p>
    <w:p>
      <w:pPr>
        <w:spacing w:line="360" w:lineRule="exact"/>
        <w:rPr>
          <w:rFonts w:ascii="宋体" w:hAnsi="宋体"/>
          <w:b/>
          <w:sz w:val="24"/>
        </w:rPr>
      </w:pPr>
      <w:r>
        <w:rPr>
          <w:rFonts w:hint="eastAsia" w:ascii="宋体" w:hAnsi="宋体"/>
          <w:b/>
          <w:sz w:val="24"/>
        </w:rPr>
        <w:t>四、谈判时间、地点：</w:t>
      </w:r>
    </w:p>
    <w:p>
      <w:pPr>
        <w:spacing w:line="360" w:lineRule="exact"/>
        <w:ind w:firstLine="480" w:firstLineChars="200"/>
        <w:rPr>
          <w:rFonts w:hint="eastAsia" w:ascii="宋体" w:hAnsi="宋体" w:eastAsia="宋体"/>
          <w:sz w:val="24"/>
          <w:lang w:eastAsia="zh-CN"/>
        </w:rPr>
      </w:pPr>
      <w:r>
        <w:rPr>
          <w:rFonts w:hint="eastAsia" w:ascii="宋体" w:hAnsi="宋体"/>
          <w:sz w:val="24"/>
        </w:rPr>
        <w:t>1、时间：</w:t>
      </w:r>
      <w:r>
        <w:rPr>
          <w:rFonts w:hint="eastAsia" w:ascii="宋体" w:hAnsi="宋体" w:cs="宋体"/>
          <w:kern w:val="0"/>
          <w:sz w:val="24"/>
          <w:lang w:eastAsia="zh-CN"/>
        </w:rPr>
        <w:t>2021年</w:t>
      </w:r>
      <w:r>
        <w:rPr>
          <w:rFonts w:hint="eastAsia" w:ascii="宋体" w:hAnsi="宋体" w:cs="宋体"/>
          <w:kern w:val="0"/>
          <w:sz w:val="24"/>
          <w:lang w:val="en-US" w:eastAsia="zh-CN"/>
        </w:rPr>
        <w:t>11</w:t>
      </w:r>
      <w:r>
        <w:rPr>
          <w:rFonts w:hint="eastAsia" w:ascii="宋体" w:hAnsi="宋体" w:cs="宋体"/>
          <w:kern w:val="0"/>
          <w:sz w:val="24"/>
          <w:lang w:eastAsia="zh-CN"/>
        </w:rPr>
        <w:t>月</w:t>
      </w:r>
      <w:r>
        <w:rPr>
          <w:rFonts w:hint="eastAsia" w:ascii="宋体" w:hAnsi="宋体" w:cs="宋体"/>
          <w:kern w:val="0"/>
          <w:sz w:val="24"/>
          <w:lang w:val="en-US" w:eastAsia="zh-CN"/>
        </w:rPr>
        <w:t>17</w:t>
      </w:r>
      <w:r>
        <w:rPr>
          <w:rFonts w:hint="eastAsia" w:ascii="宋体" w:hAnsi="宋体" w:cs="宋体"/>
          <w:kern w:val="0"/>
          <w:sz w:val="24"/>
          <w:lang w:eastAsia="zh-CN"/>
        </w:rPr>
        <w:t>日上午</w:t>
      </w:r>
      <w:r>
        <w:rPr>
          <w:rFonts w:hint="eastAsia" w:ascii="宋体" w:hAnsi="宋体" w:cs="宋体"/>
          <w:kern w:val="0"/>
          <w:sz w:val="24"/>
          <w:lang w:val="en-US" w:eastAsia="zh-CN"/>
        </w:rPr>
        <w:t>9</w:t>
      </w:r>
      <w:r>
        <w:rPr>
          <w:rFonts w:hint="eastAsia" w:ascii="宋体" w:hAnsi="宋体" w:cs="宋体"/>
          <w:kern w:val="0"/>
          <w:sz w:val="24"/>
          <w:lang w:eastAsia="zh-CN"/>
        </w:rPr>
        <w:t>:</w:t>
      </w:r>
      <w:r>
        <w:rPr>
          <w:rFonts w:hint="eastAsia" w:ascii="宋体" w:hAnsi="宋体" w:cs="宋体"/>
          <w:kern w:val="0"/>
          <w:sz w:val="24"/>
          <w:lang w:val="en-US" w:eastAsia="zh-CN"/>
        </w:rPr>
        <w:t>3</w:t>
      </w:r>
      <w:r>
        <w:rPr>
          <w:rFonts w:hint="eastAsia" w:ascii="宋体" w:hAnsi="宋体" w:cs="宋体"/>
          <w:kern w:val="0"/>
          <w:sz w:val="24"/>
          <w:lang w:eastAsia="zh-CN"/>
        </w:rPr>
        <w:t>0</w:t>
      </w:r>
    </w:p>
    <w:p>
      <w:pPr>
        <w:spacing w:line="360" w:lineRule="exact"/>
        <w:ind w:firstLine="480" w:firstLineChars="200"/>
        <w:rPr>
          <w:rFonts w:ascii="宋体" w:hAnsi="宋体"/>
          <w:sz w:val="24"/>
        </w:rPr>
      </w:pPr>
      <w:r>
        <w:rPr>
          <w:rFonts w:hint="eastAsia" w:ascii="宋体" w:hAnsi="宋体"/>
          <w:sz w:val="24"/>
        </w:rPr>
        <w:t>2、地点：湖南铁路科技职业技术学院 谈判会议室（行政楼401）</w:t>
      </w:r>
    </w:p>
    <w:p>
      <w:pPr>
        <w:spacing w:line="360" w:lineRule="exact"/>
        <w:rPr>
          <w:rFonts w:ascii="宋体" w:hAnsi="宋体"/>
          <w:b/>
          <w:sz w:val="24"/>
        </w:rPr>
      </w:pPr>
      <w:r>
        <w:rPr>
          <w:rFonts w:hint="eastAsia" w:ascii="宋体" w:hAnsi="宋体"/>
          <w:b/>
          <w:sz w:val="24"/>
        </w:rPr>
        <w:t>五、谈判双方：</w:t>
      </w:r>
    </w:p>
    <w:p>
      <w:pPr>
        <w:spacing w:line="360" w:lineRule="exact"/>
        <w:ind w:firstLine="480" w:firstLineChars="200"/>
        <w:rPr>
          <w:rFonts w:ascii="宋体" w:hAnsi="宋体"/>
          <w:sz w:val="24"/>
        </w:rPr>
      </w:pPr>
      <w:r>
        <w:rPr>
          <w:rFonts w:hint="eastAsia" w:ascii="宋体" w:hAnsi="宋体"/>
          <w:sz w:val="24"/>
        </w:rPr>
        <w:t>1、投标供应商</w:t>
      </w:r>
    </w:p>
    <w:p>
      <w:pPr>
        <w:spacing w:line="360" w:lineRule="exact"/>
        <w:ind w:firstLine="480" w:firstLineChars="200"/>
        <w:rPr>
          <w:rFonts w:ascii="宋体" w:hAnsi="宋体"/>
          <w:sz w:val="24"/>
        </w:rPr>
      </w:pPr>
      <w:r>
        <w:rPr>
          <w:rFonts w:hint="eastAsia" w:ascii="宋体" w:hAnsi="宋体"/>
          <w:sz w:val="24"/>
        </w:rPr>
        <w:t>2、由招标单位有关人员组成的谈判小组</w:t>
      </w:r>
    </w:p>
    <w:p>
      <w:pPr>
        <w:spacing w:line="360" w:lineRule="exact"/>
        <w:rPr>
          <w:rFonts w:ascii="宋体" w:hAnsi="宋体"/>
          <w:b/>
          <w:sz w:val="24"/>
        </w:rPr>
      </w:pPr>
      <w:r>
        <w:rPr>
          <w:rFonts w:hint="eastAsia" w:ascii="宋体" w:hAnsi="宋体"/>
          <w:b/>
          <w:sz w:val="24"/>
        </w:rPr>
        <w:t>六、谈判程序：</w:t>
      </w:r>
    </w:p>
    <w:p>
      <w:pPr>
        <w:spacing w:line="360" w:lineRule="exact"/>
        <w:ind w:firstLine="480" w:firstLineChars="200"/>
        <w:rPr>
          <w:rFonts w:ascii="宋体" w:hAnsi="宋体"/>
          <w:sz w:val="24"/>
        </w:rPr>
      </w:pPr>
      <w:r>
        <w:rPr>
          <w:rFonts w:hint="eastAsia" w:ascii="宋体" w:hAnsi="宋体"/>
          <w:sz w:val="24"/>
        </w:rPr>
        <w:t>1、参加谈判的人员应签到以证明其出席；</w:t>
      </w:r>
    </w:p>
    <w:p>
      <w:pPr>
        <w:spacing w:line="360" w:lineRule="exact"/>
        <w:ind w:firstLine="480" w:firstLineChars="200"/>
        <w:rPr>
          <w:rFonts w:ascii="宋体" w:hAnsi="宋体"/>
          <w:sz w:val="24"/>
        </w:rPr>
      </w:pPr>
      <w:r>
        <w:rPr>
          <w:rFonts w:hint="eastAsia" w:ascii="宋体" w:hAnsi="宋体"/>
          <w:sz w:val="24"/>
        </w:rPr>
        <w:t>2、各供应商在谈判会议开始前递交投标文件，投标文件必须密封及加盖公章；</w:t>
      </w:r>
    </w:p>
    <w:p>
      <w:pPr>
        <w:spacing w:line="360" w:lineRule="exact"/>
        <w:ind w:firstLine="480" w:firstLineChars="200"/>
        <w:rPr>
          <w:rFonts w:ascii="宋体" w:hAnsi="宋体"/>
          <w:sz w:val="24"/>
        </w:rPr>
      </w:pPr>
      <w:r>
        <w:rPr>
          <w:rFonts w:hint="eastAsia" w:ascii="宋体" w:hAnsi="宋体"/>
          <w:sz w:val="24"/>
        </w:rPr>
        <w:t>3、谈判小组将按抽签顺序与各供应商分别进行谈判及要求供应商对投标文件有关事项作出解释或澄清；</w:t>
      </w:r>
    </w:p>
    <w:p>
      <w:pPr>
        <w:spacing w:line="360" w:lineRule="exact"/>
        <w:ind w:firstLine="480" w:firstLineChars="200"/>
        <w:rPr>
          <w:rFonts w:ascii="宋体" w:hAnsi="宋体"/>
          <w:sz w:val="24"/>
        </w:rPr>
      </w:pPr>
      <w:r>
        <w:rPr>
          <w:rFonts w:hint="eastAsia" w:ascii="宋体" w:hAnsi="宋体"/>
          <w:sz w:val="24"/>
        </w:rPr>
        <w:t>4、询标结束后，供应商在规定的时间内进行最后报价；</w:t>
      </w:r>
    </w:p>
    <w:p>
      <w:pPr>
        <w:spacing w:line="360" w:lineRule="exact"/>
        <w:ind w:firstLine="480" w:firstLineChars="200"/>
        <w:rPr>
          <w:rFonts w:ascii="宋体" w:hAnsi="宋体"/>
          <w:sz w:val="24"/>
        </w:rPr>
      </w:pPr>
      <w:r>
        <w:rPr>
          <w:rFonts w:hint="eastAsia" w:ascii="宋体" w:hAnsi="宋体"/>
          <w:sz w:val="24"/>
        </w:rPr>
        <w:t>5、宣布谈判结果并确定成交候选供应商。</w:t>
      </w:r>
    </w:p>
    <w:p>
      <w:pPr>
        <w:spacing w:line="360" w:lineRule="exact"/>
        <w:rPr>
          <w:rFonts w:ascii="宋体" w:hAnsi="宋体"/>
          <w:b/>
          <w:sz w:val="24"/>
        </w:rPr>
      </w:pPr>
      <w:r>
        <w:rPr>
          <w:rFonts w:hint="eastAsia" w:ascii="宋体" w:hAnsi="宋体"/>
          <w:b/>
          <w:sz w:val="24"/>
        </w:rPr>
        <w:t>七、供应商有下列情形之一的，中标、成交无效；</w:t>
      </w:r>
    </w:p>
    <w:p>
      <w:pPr>
        <w:spacing w:line="360" w:lineRule="exact"/>
        <w:ind w:firstLine="480" w:firstLineChars="200"/>
        <w:rPr>
          <w:rFonts w:ascii="宋体" w:hAnsi="宋体"/>
          <w:sz w:val="24"/>
        </w:rPr>
      </w:pPr>
      <w:r>
        <w:rPr>
          <w:rFonts w:hint="eastAsia" w:ascii="宋体" w:hAnsi="宋体"/>
          <w:sz w:val="24"/>
        </w:rPr>
        <w:t>1、提供虚假材料谋取中标、成交的；</w:t>
      </w:r>
    </w:p>
    <w:p>
      <w:pPr>
        <w:spacing w:line="360" w:lineRule="exact"/>
        <w:ind w:firstLine="480" w:firstLineChars="200"/>
        <w:rPr>
          <w:rFonts w:ascii="宋体" w:hAnsi="宋体"/>
          <w:sz w:val="24"/>
        </w:rPr>
      </w:pPr>
      <w:r>
        <w:rPr>
          <w:rFonts w:hint="eastAsia" w:ascii="宋体" w:hAnsi="宋体"/>
          <w:sz w:val="24"/>
        </w:rPr>
        <w:t>2、采取不正当手段底毁、排挤其他供应商的；</w:t>
      </w:r>
    </w:p>
    <w:p>
      <w:pPr>
        <w:spacing w:line="360" w:lineRule="exact"/>
        <w:ind w:firstLine="480" w:firstLineChars="200"/>
        <w:rPr>
          <w:rFonts w:ascii="宋体" w:hAnsi="宋体"/>
          <w:sz w:val="24"/>
        </w:rPr>
      </w:pPr>
      <w:r>
        <w:rPr>
          <w:rFonts w:hint="eastAsia" w:ascii="宋体" w:hAnsi="宋体"/>
          <w:sz w:val="24"/>
        </w:rPr>
        <w:t>3、与采购人、其他供应商恶意窜通的；</w:t>
      </w:r>
    </w:p>
    <w:p>
      <w:pPr>
        <w:spacing w:line="360" w:lineRule="exact"/>
        <w:ind w:firstLine="480" w:firstLineChars="200"/>
        <w:rPr>
          <w:rFonts w:ascii="宋体" w:hAnsi="宋体"/>
          <w:sz w:val="24"/>
        </w:rPr>
      </w:pPr>
      <w:r>
        <w:rPr>
          <w:rFonts w:hint="eastAsia" w:ascii="宋体" w:hAnsi="宋体"/>
          <w:sz w:val="24"/>
        </w:rPr>
        <w:t>4、向采购人行贿或者提供其他不正当利益的。</w:t>
      </w:r>
    </w:p>
    <w:p>
      <w:pPr>
        <w:spacing w:line="360" w:lineRule="exact"/>
        <w:rPr>
          <w:rFonts w:ascii="宋体" w:hAnsi="宋体"/>
          <w:b/>
          <w:sz w:val="24"/>
        </w:rPr>
      </w:pPr>
      <w:r>
        <w:rPr>
          <w:rFonts w:hint="eastAsia" w:ascii="宋体" w:hAnsi="宋体"/>
          <w:b/>
          <w:sz w:val="24"/>
        </w:rPr>
        <w:t>八、投标文件属下列情形之一的，按无效投标处理；</w:t>
      </w:r>
    </w:p>
    <w:p>
      <w:pPr>
        <w:spacing w:line="360" w:lineRule="exact"/>
        <w:ind w:firstLine="480" w:firstLineChars="200"/>
        <w:rPr>
          <w:rFonts w:ascii="宋体" w:hAnsi="宋体"/>
          <w:sz w:val="24"/>
        </w:rPr>
      </w:pPr>
      <w:r>
        <w:rPr>
          <w:rFonts w:hint="eastAsia" w:ascii="宋体" w:hAnsi="宋体"/>
          <w:sz w:val="24"/>
        </w:rPr>
        <w:t>1、投标文件未在规定的时间内送达的；</w:t>
      </w:r>
    </w:p>
    <w:p>
      <w:pPr>
        <w:spacing w:line="360" w:lineRule="exact"/>
        <w:ind w:firstLine="480" w:firstLineChars="200"/>
        <w:rPr>
          <w:rFonts w:ascii="宋体" w:hAnsi="宋体"/>
          <w:sz w:val="24"/>
        </w:rPr>
      </w:pPr>
      <w:r>
        <w:rPr>
          <w:rFonts w:hint="eastAsia" w:ascii="宋体" w:hAnsi="宋体"/>
          <w:sz w:val="24"/>
        </w:rPr>
        <w:t>2、未按照谈判文件规定要求密封的、签署、盖章的；</w:t>
      </w:r>
    </w:p>
    <w:p>
      <w:pPr>
        <w:spacing w:line="360" w:lineRule="exact"/>
        <w:ind w:firstLine="480" w:firstLineChars="200"/>
        <w:rPr>
          <w:rFonts w:ascii="宋体" w:hAnsi="宋体"/>
          <w:sz w:val="24"/>
        </w:rPr>
      </w:pPr>
      <w:r>
        <w:rPr>
          <w:rFonts w:hint="eastAsia" w:ascii="宋体" w:hAnsi="宋体"/>
          <w:sz w:val="24"/>
        </w:rPr>
        <w:t>3、不具备谈判文件中规定的其他实质性要求的。</w:t>
      </w:r>
    </w:p>
    <w:p>
      <w:pPr>
        <w:spacing w:line="360" w:lineRule="exact"/>
        <w:rPr>
          <w:rFonts w:ascii="宋体" w:hAnsi="宋体"/>
          <w:b/>
          <w:sz w:val="24"/>
        </w:rPr>
      </w:pPr>
      <w:r>
        <w:rPr>
          <w:rFonts w:hint="eastAsia" w:ascii="宋体" w:hAnsi="宋体"/>
          <w:b/>
          <w:sz w:val="24"/>
        </w:rPr>
        <w:t>九、谈判工作的基本原则</w:t>
      </w:r>
    </w:p>
    <w:p>
      <w:pPr>
        <w:spacing w:line="360" w:lineRule="exact"/>
        <w:ind w:firstLine="480" w:firstLineChars="200"/>
        <w:rPr>
          <w:rFonts w:ascii="宋体" w:hAnsi="宋体"/>
          <w:sz w:val="24"/>
        </w:rPr>
      </w:pPr>
      <w:r>
        <w:rPr>
          <w:rFonts w:hint="eastAsia" w:ascii="宋体" w:hAnsi="宋体"/>
          <w:sz w:val="24"/>
        </w:rPr>
        <w:t>1、遵循国家法律、法规；</w:t>
      </w:r>
    </w:p>
    <w:p>
      <w:pPr>
        <w:spacing w:line="360" w:lineRule="exact"/>
        <w:ind w:firstLine="480" w:firstLineChars="200"/>
        <w:rPr>
          <w:rFonts w:ascii="宋体" w:hAnsi="宋体"/>
          <w:sz w:val="24"/>
        </w:rPr>
      </w:pPr>
      <w:r>
        <w:rPr>
          <w:rFonts w:hint="eastAsia" w:ascii="宋体" w:hAnsi="宋体"/>
          <w:sz w:val="24"/>
        </w:rPr>
        <w:t>2、保护采购方的合法利益；</w:t>
      </w:r>
    </w:p>
    <w:p>
      <w:pPr>
        <w:spacing w:line="360" w:lineRule="exact"/>
        <w:ind w:firstLine="480" w:firstLineChars="200"/>
        <w:rPr>
          <w:rFonts w:ascii="宋体" w:hAnsi="宋体"/>
          <w:sz w:val="24"/>
        </w:rPr>
      </w:pPr>
      <w:r>
        <w:rPr>
          <w:rFonts w:hint="eastAsia" w:ascii="宋体" w:hAnsi="宋体"/>
          <w:sz w:val="24"/>
        </w:rPr>
        <w:t>3、客观、公正对待所有投标人，坚持实事求是、公平竞争的原则；</w:t>
      </w:r>
    </w:p>
    <w:p>
      <w:pPr>
        <w:spacing w:line="360" w:lineRule="exact"/>
        <w:ind w:firstLine="480" w:firstLineChars="200"/>
        <w:rPr>
          <w:rFonts w:hint="eastAsia" w:ascii="宋体" w:hAnsi="宋体"/>
          <w:sz w:val="24"/>
        </w:rPr>
      </w:pPr>
      <w:r>
        <w:rPr>
          <w:rFonts w:hint="eastAsia" w:ascii="宋体" w:hAnsi="宋体"/>
          <w:sz w:val="24"/>
        </w:rPr>
        <w:t>4、以谈判文件作为评定标准的依据，择优定标。</w:t>
      </w:r>
    </w:p>
    <w:p>
      <w:pPr>
        <w:spacing w:line="360" w:lineRule="exact"/>
        <w:rPr>
          <w:rFonts w:ascii="宋体" w:hAnsi="宋体"/>
          <w:b/>
          <w:sz w:val="24"/>
        </w:rPr>
      </w:pPr>
      <w:r>
        <w:rPr>
          <w:rFonts w:hint="eastAsia" w:ascii="宋体" w:hAnsi="宋体"/>
          <w:b/>
          <w:sz w:val="24"/>
        </w:rPr>
        <w:t>十、谈判过程中的保密原则</w:t>
      </w:r>
    </w:p>
    <w:p>
      <w:pPr>
        <w:spacing w:line="360" w:lineRule="exact"/>
        <w:ind w:firstLine="480" w:firstLineChars="200"/>
        <w:rPr>
          <w:rFonts w:ascii="宋体" w:hAnsi="宋体"/>
          <w:sz w:val="24"/>
        </w:rPr>
      </w:pPr>
      <w:r>
        <w:rPr>
          <w:rFonts w:hint="eastAsia" w:ascii="宋体" w:hAnsi="宋体"/>
          <w:sz w:val="24"/>
        </w:rPr>
        <w:t>1、开标后，直到授予中标人合同止，凡涉及审查、评估和比较投标文件以及定标意见等，均不得向投标人及与谈判无关的人员透露；</w:t>
      </w:r>
    </w:p>
    <w:p>
      <w:pPr>
        <w:spacing w:line="360" w:lineRule="exact"/>
        <w:ind w:firstLine="480" w:firstLineChars="200"/>
        <w:rPr>
          <w:rFonts w:ascii="宋体" w:hAnsi="宋体"/>
          <w:sz w:val="24"/>
        </w:rPr>
      </w:pPr>
      <w:r>
        <w:rPr>
          <w:rFonts w:hint="eastAsia" w:ascii="宋体" w:hAnsi="宋体"/>
          <w:sz w:val="24"/>
        </w:rPr>
        <w:t>2、在评标期间，投标方企图影响谈判小组的任何活动，将导致投标被拒绝，并承担相对的法律责任。</w:t>
      </w:r>
    </w:p>
    <w:p>
      <w:pPr>
        <w:widowControl/>
        <w:spacing w:line="320" w:lineRule="exact"/>
        <w:jc w:val="left"/>
        <w:rPr>
          <w:rFonts w:hint="eastAsia" w:ascii="宋体" w:hAnsi="宋体" w:eastAsia="宋体" w:cs="宋体"/>
          <w:b/>
          <w:kern w:val="0"/>
          <w:sz w:val="20"/>
          <w:szCs w:val="20"/>
          <w:lang w:eastAsia="zh-CN"/>
        </w:rPr>
      </w:pPr>
      <w:r>
        <w:rPr>
          <w:rFonts w:hint="eastAsia" w:ascii="宋体" w:hAnsi="宋体"/>
          <w:b/>
          <w:sz w:val="24"/>
        </w:rPr>
        <w:t>十一、</w:t>
      </w:r>
      <w:r>
        <w:rPr>
          <w:rFonts w:ascii="宋体" w:hAnsi="宋体" w:cs="宋体"/>
          <w:b/>
          <w:kern w:val="0"/>
          <w:sz w:val="24"/>
        </w:rPr>
        <w:t>开标和评标</w:t>
      </w:r>
      <w:r>
        <w:rPr>
          <w:rFonts w:hint="eastAsia" w:ascii="宋体" w:hAnsi="宋体" w:cs="宋体"/>
          <w:b/>
          <w:kern w:val="0"/>
          <w:sz w:val="24"/>
          <w:lang w:eastAsia="zh-CN"/>
        </w:rPr>
        <w:t>办法</w:t>
      </w:r>
    </w:p>
    <w:p>
      <w:pPr>
        <w:spacing w:line="360" w:lineRule="exact"/>
        <w:ind w:firstLine="480" w:firstLineChars="200"/>
        <w:rPr>
          <w:rFonts w:hint="eastAsia" w:ascii="宋体" w:hAnsi="宋体" w:cs="Times New Roman"/>
          <w:sz w:val="24"/>
        </w:rPr>
      </w:pPr>
      <w:bookmarkStart w:id="0" w:name="_Toc25904"/>
      <w:r>
        <w:rPr>
          <w:rFonts w:hint="eastAsia" w:ascii="宋体" w:hAnsi="宋体" w:cs="Times New Roman"/>
          <w:sz w:val="24"/>
        </w:rPr>
        <w:t>1.磋商小组</w:t>
      </w:r>
      <w:bookmarkEnd w:id="0"/>
    </w:p>
    <w:p>
      <w:pPr>
        <w:spacing w:line="360" w:lineRule="exact"/>
        <w:ind w:firstLine="480" w:firstLineChars="200"/>
        <w:rPr>
          <w:rFonts w:hint="eastAsia" w:ascii="宋体" w:hAnsi="宋体" w:cs="Times New Roman"/>
          <w:sz w:val="24"/>
        </w:rPr>
      </w:pPr>
      <w:r>
        <w:rPr>
          <w:rFonts w:hint="eastAsia" w:ascii="宋体" w:hAnsi="宋体" w:cs="Times New Roman"/>
          <w:sz w:val="24"/>
        </w:rPr>
        <w:t>1.1评审由依法组成的磋商小组负责。</w:t>
      </w:r>
    </w:p>
    <w:p>
      <w:pPr>
        <w:spacing w:line="360" w:lineRule="exact"/>
        <w:ind w:firstLine="480" w:firstLineChars="200"/>
        <w:rPr>
          <w:rFonts w:hint="eastAsia" w:ascii="宋体" w:hAnsi="宋体" w:cs="Times New Roman"/>
          <w:sz w:val="24"/>
        </w:rPr>
      </w:pPr>
      <w:bookmarkStart w:id="1" w:name="_Toc8739"/>
      <w:r>
        <w:rPr>
          <w:rFonts w:hint="eastAsia" w:ascii="宋体" w:hAnsi="宋体" w:cs="Times New Roman"/>
          <w:sz w:val="24"/>
        </w:rPr>
        <w:t>2.评审方法</w:t>
      </w:r>
      <w:bookmarkEnd w:id="1"/>
    </w:p>
    <w:p>
      <w:pPr>
        <w:spacing w:line="360" w:lineRule="exact"/>
        <w:ind w:firstLine="480" w:firstLineChars="200"/>
        <w:rPr>
          <w:rFonts w:hint="eastAsia" w:ascii="宋体" w:hAnsi="宋体" w:cs="Times New Roman"/>
          <w:sz w:val="24"/>
        </w:rPr>
      </w:pPr>
      <w:r>
        <w:rPr>
          <w:rFonts w:hint="eastAsia" w:ascii="宋体" w:hAnsi="宋体" w:cs="Times New Roman"/>
          <w:sz w:val="24"/>
        </w:rPr>
        <w:t>2.1评审方法：综合评分法，即响应文件能够最大限度的满足磋商文件规定的各项综合评价标准且经评审得分最高的供应商为成交供应商的评标方法。</w:t>
      </w:r>
    </w:p>
    <w:p>
      <w:pPr>
        <w:spacing w:line="360" w:lineRule="exact"/>
        <w:ind w:firstLine="480" w:firstLineChars="200"/>
        <w:rPr>
          <w:rFonts w:hint="eastAsia" w:ascii="宋体" w:hAnsi="宋体" w:cs="Times New Roman"/>
          <w:sz w:val="24"/>
        </w:rPr>
      </w:pPr>
      <w:r>
        <w:rPr>
          <w:rFonts w:hint="eastAsia" w:ascii="宋体" w:hAnsi="宋体" w:cs="Times New Roman"/>
          <w:sz w:val="24"/>
        </w:rPr>
        <w:t>2.2本采购项目的评审因素和标准见磋商文件</w:t>
      </w:r>
      <w:r>
        <w:rPr>
          <w:rFonts w:hint="eastAsia" w:ascii="宋体" w:hAnsi="宋体" w:cs="Times New Roman"/>
          <w:sz w:val="24"/>
          <w:lang w:eastAsia="zh-CN"/>
        </w:rPr>
        <w:t>第三部分</w:t>
      </w:r>
      <w:r>
        <w:rPr>
          <w:rFonts w:hint="eastAsia" w:ascii="宋体" w:hAnsi="宋体" w:cs="Times New Roman"/>
          <w:sz w:val="24"/>
        </w:rPr>
        <w:t>，不得对响应文件优于磋商文件要求的评审因素给予加分。</w:t>
      </w:r>
    </w:p>
    <w:p>
      <w:pPr>
        <w:spacing w:line="360" w:lineRule="exact"/>
        <w:ind w:firstLine="480" w:firstLineChars="200"/>
        <w:rPr>
          <w:rFonts w:hint="eastAsia" w:ascii="宋体" w:hAnsi="宋体" w:cs="Times New Roman"/>
          <w:sz w:val="24"/>
        </w:rPr>
      </w:pPr>
      <w:r>
        <w:rPr>
          <w:rFonts w:hint="eastAsia" w:ascii="宋体" w:hAnsi="宋体" w:cs="Times New Roman"/>
          <w:sz w:val="24"/>
        </w:rPr>
        <w:t>评审因素：价格、技术、信誉、服务以及相应的比重或者权值等，但不包括第</w:t>
      </w:r>
      <w:r>
        <w:rPr>
          <w:rFonts w:hint="eastAsia" w:ascii="宋体" w:hAnsi="宋体" w:cs="Times New Roman"/>
          <w:sz w:val="24"/>
          <w:lang w:eastAsia="zh-CN"/>
        </w:rPr>
        <w:t>一部分</w:t>
      </w:r>
      <w:r>
        <w:rPr>
          <w:rFonts w:hint="eastAsia" w:ascii="宋体" w:hAnsi="宋体" w:cs="Times New Roman"/>
          <w:sz w:val="24"/>
        </w:rPr>
        <w:t>“磋商须知”第</w:t>
      </w:r>
      <w:r>
        <w:rPr>
          <w:rFonts w:hint="eastAsia" w:ascii="宋体" w:hAnsi="宋体" w:cs="Times New Roman"/>
          <w:sz w:val="24"/>
          <w:lang w:val="en-US" w:eastAsia="zh-CN"/>
        </w:rPr>
        <w:t>5</w:t>
      </w:r>
      <w:r>
        <w:rPr>
          <w:rFonts w:hint="eastAsia" w:ascii="宋体" w:hAnsi="宋体" w:cs="Times New Roman"/>
          <w:sz w:val="24"/>
          <w:lang w:val="zh-CN"/>
        </w:rPr>
        <w:t>款</w:t>
      </w:r>
      <w:r>
        <w:rPr>
          <w:rFonts w:hint="eastAsia" w:ascii="宋体" w:hAnsi="宋体" w:cs="Times New Roman"/>
          <w:sz w:val="24"/>
        </w:rPr>
        <w:t>规定的供应商资格条件。</w:t>
      </w:r>
    </w:p>
    <w:p>
      <w:pPr>
        <w:spacing w:line="360" w:lineRule="exact"/>
        <w:ind w:firstLine="480" w:firstLineChars="200"/>
        <w:rPr>
          <w:rFonts w:hint="eastAsia" w:ascii="宋体" w:hAnsi="宋体" w:cs="Times New Roman"/>
          <w:sz w:val="24"/>
        </w:rPr>
      </w:pPr>
      <w:r>
        <w:rPr>
          <w:rFonts w:hint="eastAsia" w:ascii="宋体" w:hAnsi="宋体" w:cs="Times New Roman"/>
          <w:sz w:val="24"/>
        </w:rPr>
        <w:t>2.3权值的取值范围见下表。</w:t>
      </w:r>
    </w:p>
    <w:tbl>
      <w:tblPr>
        <w:tblStyle w:val="10"/>
        <w:tblW w:w="8820" w:type="dxa"/>
        <w:tblInd w:w="108"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758"/>
        <w:gridCol w:w="3778"/>
        <w:gridCol w:w="428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758" w:type="dxa"/>
            <w:noWrap w:val="0"/>
            <w:vAlign w:val="center"/>
          </w:tcPr>
          <w:p>
            <w:pPr>
              <w:spacing w:line="360" w:lineRule="exact"/>
              <w:rPr>
                <w:rFonts w:hint="eastAsia" w:ascii="宋体" w:hAnsi="宋体" w:cs="Times New Roman"/>
                <w:sz w:val="24"/>
              </w:rPr>
            </w:pPr>
            <w:r>
              <w:rPr>
                <w:rFonts w:hint="eastAsia" w:ascii="宋体" w:hAnsi="宋体" w:cs="Times New Roman"/>
                <w:sz w:val="24"/>
              </w:rPr>
              <w:t>序号</w:t>
            </w:r>
          </w:p>
        </w:tc>
        <w:tc>
          <w:tcPr>
            <w:tcW w:w="3778" w:type="dxa"/>
            <w:noWrap w:val="0"/>
            <w:vAlign w:val="center"/>
          </w:tcPr>
          <w:p>
            <w:pPr>
              <w:spacing w:line="360" w:lineRule="exact"/>
              <w:ind w:firstLine="480" w:firstLineChars="200"/>
              <w:rPr>
                <w:rFonts w:hint="eastAsia" w:ascii="宋体" w:hAnsi="宋体" w:cs="Times New Roman"/>
                <w:sz w:val="24"/>
              </w:rPr>
            </w:pPr>
            <w:r>
              <w:rPr>
                <w:rFonts w:hint="eastAsia" w:ascii="宋体" w:hAnsi="宋体" w:cs="Times New Roman"/>
                <w:sz w:val="24"/>
              </w:rPr>
              <w:t>项     目</w:t>
            </w:r>
          </w:p>
        </w:tc>
        <w:tc>
          <w:tcPr>
            <w:tcW w:w="4284" w:type="dxa"/>
            <w:noWrap w:val="0"/>
            <w:vAlign w:val="center"/>
          </w:tcPr>
          <w:p>
            <w:pPr>
              <w:spacing w:line="360" w:lineRule="exact"/>
              <w:ind w:firstLine="480" w:firstLineChars="200"/>
              <w:rPr>
                <w:rFonts w:hint="eastAsia" w:ascii="宋体" w:hAnsi="宋体" w:cs="Times New Roman"/>
                <w:sz w:val="24"/>
              </w:rPr>
            </w:pPr>
            <w:r>
              <w:rPr>
                <w:rFonts w:hint="eastAsia" w:ascii="宋体" w:hAnsi="宋体" w:cs="Times New Roman"/>
                <w:sz w:val="24"/>
              </w:rPr>
              <w:t>权值的取值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09" w:hRule="atLeast"/>
        </w:trPr>
        <w:tc>
          <w:tcPr>
            <w:tcW w:w="758" w:type="dxa"/>
            <w:noWrap w:val="0"/>
            <w:vAlign w:val="center"/>
          </w:tcPr>
          <w:p>
            <w:pPr>
              <w:spacing w:line="360" w:lineRule="exact"/>
              <w:ind w:firstLine="240" w:firstLineChars="100"/>
              <w:jc w:val="both"/>
              <w:rPr>
                <w:rFonts w:hint="eastAsia" w:ascii="宋体" w:hAnsi="宋体" w:cs="Times New Roman"/>
                <w:sz w:val="24"/>
              </w:rPr>
            </w:pPr>
            <w:r>
              <w:rPr>
                <w:rFonts w:hint="eastAsia" w:ascii="宋体" w:hAnsi="宋体" w:cs="Times New Roman"/>
                <w:sz w:val="24"/>
              </w:rPr>
              <w:t>1</w:t>
            </w:r>
          </w:p>
        </w:tc>
        <w:tc>
          <w:tcPr>
            <w:tcW w:w="3778" w:type="dxa"/>
            <w:noWrap w:val="0"/>
            <w:vAlign w:val="center"/>
          </w:tcPr>
          <w:p>
            <w:pPr>
              <w:spacing w:line="360" w:lineRule="exact"/>
              <w:ind w:firstLine="480" w:firstLineChars="200"/>
              <w:rPr>
                <w:rFonts w:hint="eastAsia" w:ascii="宋体" w:hAnsi="宋体" w:cs="Times New Roman"/>
                <w:sz w:val="24"/>
              </w:rPr>
            </w:pPr>
            <w:r>
              <w:rPr>
                <w:rFonts w:hint="eastAsia" w:ascii="宋体" w:hAnsi="宋体" w:cs="Times New Roman"/>
                <w:sz w:val="24"/>
              </w:rPr>
              <w:t>报价部分</w:t>
            </w:r>
          </w:p>
        </w:tc>
        <w:tc>
          <w:tcPr>
            <w:tcW w:w="4284" w:type="dxa"/>
            <w:vMerge w:val="restart"/>
            <w:noWrap w:val="0"/>
            <w:vAlign w:val="center"/>
          </w:tcPr>
          <w:p>
            <w:pPr>
              <w:spacing w:line="360" w:lineRule="exact"/>
              <w:ind w:firstLine="720" w:firstLineChars="300"/>
              <w:rPr>
                <w:rFonts w:hint="eastAsia" w:ascii="宋体" w:hAnsi="宋体" w:cs="Times New Roman"/>
                <w:sz w:val="24"/>
              </w:rPr>
            </w:pPr>
            <w:r>
              <w:rPr>
                <w:rFonts w:hint="eastAsia" w:ascii="宋体" w:hAnsi="宋体" w:cs="Times New Roman"/>
                <w:sz w:val="24"/>
              </w:rPr>
              <w:t>具体权值见评分细则</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10" w:hRule="atLeast"/>
        </w:trPr>
        <w:tc>
          <w:tcPr>
            <w:tcW w:w="758" w:type="dxa"/>
            <w:tcBorders>
              <w:bottom w:val="single" w:color="auto" w:sz="4" w:space="0"/>
            </w:tcBorders>
            <w:noWrap w:val="0"/>
            <w:vAlign w:val="center"/>
          </w:tcPr>
          <w:p>
            <w:pPr>
              <w:spacing w:line="360" w:lineRule="exact"/>
              <w:ind w:firstLine="240" w:firstLineChars="100"/>
              <w:jc w:val="both"/>
              <w:rPr>
                <w:rFonts w:hint="eastAsia" w:ascii="宋体" w:hAnsi="宋体" w:cs="Times New Roman"/>
                <w:sz w:val="24"/>
              </w:rPr>
            </w:pPr>
            <w:r>
              <w:rPr>
                <w:rFonts w:hint="eastAsia" w:ascii="宋体" w:hAnsi="宋体" w:cs="Times New Roman"/>
                <w:sz w:val="24"/>
              </w:rPr>
              <w:t>2</w:t>
            </w:r>
          </w:p>
        </w:tc>
        <w:tc>
          <w:tcPr>
            <w:tcW w:w="3778" w:type="dxa"/>
            <w:tcBorders>
              <w:bottom w:val="single" w:color="auto" w:sz="4" w:space="0"/>
            </w:tcBorders>
            <w:noWrap w:val="0"/>
            <w:vAlign w:val="center"/>
          </w:tcPr>
          <w:p>
            <w:pPr>
              <w:spacing w:line="360" w:lineRule="exact"/>
              <w:ind w:firstLine="480" w:firstLineChars="200"/>
              <w:rPr>
                <w:rFonts w:hint="eastAsia" w:ascii="宋体" w:hAnsi="宋体" w:cs="Times New Roman"/>
                <w:sz w:val="24"/>
              </w:rPr>
            </w:pPr>
            <w:r>
              <w:rPr>
                <w:rFonts w:hint="eastAsia" w:ascii="宋体" w:hAnsi="宋体" w:cs="Times New Roman"/>
                <w:sz w:val="24"/>
              </w:rPr>
              <w:t>技术部分</w:t>
            </w:r>
          </w:p>
        </w:tc>
        <w:tc>
          <w:tcPr>
            <w:tcW w:w="4284" w:type="dxa"/>
            <w:vMerge w:val="continue"/>
            <w:noWrap w:val="0"/>
            <w:vAlign w:val="center"/>
          </w:tcPr>
          <w:p>
            <w:pPr>
              <w:spacing w:line="360" w:lineRule="exact"/>
              <w:ind w:firstLine="480" w:firstLineChars="200"/>
              <w:rPr>
                <w:rFonts w:hint="eastAsia" w:ascii="宋体" w:hAnsi="宋体"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758" w:type="dxa"/>
            <w:tcBorders>
              <w:top w:val="single" w:color="auto" w:sz="4" w:space="0"/>
            </w:tcBorders>
            <w:noWrap w:val="0"/>
            <w:vAlign w:val="center"/>
          </w:tcPr>
          <w:p>
            <w:pPr>
              <w:spacing w:line="360" w:lineRule="exact"/>
              <w:ind w:firstLine="240" w:firstLineChars="100"/>
              <w:jc w:val="both"/>
              <w:rPr>
                <w:rFonts w:hint="eastAsia" w:ascii="宋体" w:hAnsi="宋体" w:cs="Times New Roman"/>
                <w:sz w:val="24"/>
              </w:rPr>
            </w:pPr>
            <w:r>
              <w:rPr>
                <w:rFonts w:hint="eastAsia" w:ascii="宋体" w:hAnsi="宋体" w:cs="Times New Roman"/>
                <w:sz w:val="24"/>
              </w:rPr>
              <w:t>3</w:t>
            </w:r>
          </w:p>
        </w:tc>
        <w:tc>
          <w:tcPr>
            <w:tcW w:w="3778" w:type="dxa"/>
            <w:tcBorders>
              <w:top w:val="single" w:color="auto" w:sz="4" w:space="0"/>
            </w:tcBorders>
            <w:noWrap w:val="0"/>
            <w:vAlign w:val="center"/>
          </w:tcPr>
          <w:p>
            <w:pPr>
              <w:spacing w:line="360" w:lineRule="exact"/>
              <w:ind w:firstLine="480" w:firstLineChars="200"/>
              <w:rPr>
                <w:rFonts w:hint="eastAsia" w:ascii="宋体" w:hAnsi="宋体" w:cs="Times New Roman"/>
                <w:sz w:val="24"/>
              </w:rPr>
            </w:pPr>
            <w:r>
              <w:rPr>
                <w:rFonts w:hint="eastAsia" w:ascii="宋体" w:hAnsi="宋体" w:cs="Times New Roman"/>
                <w:sz w:val="24"/>
              </w:rPr>
              <w:t>商务部分</w:t>
            </w:r>
          </w:p>
        </w:tc>
        <w:tc>
          <w:tcPr>
            <w:tcW w:w="4284" w:type="dxa"/>
            <w:vMerge w:val="continue"/>
            <w:noWrap w:val="0"/>
            <w:vAlign w:val="center"/>
          </w:tcPr>
          <w:p>
            <w:pPr>
              <w:spacing w:line="360" w:lineRule="exact"/>
              <w:ind w:firstLine="480" w:firstLineChars="200"/>
              <w:rPr>
                <w:rFonts w:hint="eastAsia" w:ascii="宋体" w:hAnsi="宋体" w:cs="Times New Roman"/>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0" w:hRule="atLeast"/>
        </w:trPr>
        <w:tc>
          <w:tcPr>
            <w:tcW w:w="4536" w:type="dxa"/>
            <w:gridSpan w:val="2"/>
            <w:noWrap w:val="0"/>
            <w:vAlign w:val="center"/>
          </w:tcPr>
          <w:p>
            <w:pPr>
              <w:spacing w:line="360" w:lineRule="exact"/>
              <w:ind w:firstLine="480" w:firstLineChars="200"/>
              <w:rPr>
                <w:rFonts w:hint="eastAsia" w:ascii="宋体" w:hAnsi="宋体" w:cs="Times New Roman"/>
                <w:sz w:val="24"/>
              </w:rPr>
            </w:pPr>
            <w:r>
              <w:rPr>
                <w:rFonts w:hint="eastAsia" w:ascii="宋体" w:hAnsi="宋体" w:cs="Times New Roman"/>
                <w:sz w:val="24"/>
              </w:rPr>
              <w:t>∑(1+2+3)=1</w:t>
            </w:r>
          </w:p>
        </w:tc>
        <w:tc>
          <w:tcPr>
            <w:tcW w:w="4284" w:type="dxa"/>
            <w:noWrap w:val="0"/>
            <w:vAlign w:val="center"/>
          </w:tcPr>
          <w:p>
            <w:pPr>
              <w:spacing w:line="360" w:lineRule="exact"/>
              <w:ind w:firstLine="1920" w:firstLineChars="800"/>
              <w:rPr>
                <w:rFonts w:hint="eastAsia" w:ascii="宋体" w:hAnsi="宋体" w:cs="Times New Roman"/>
                <w:sz w:val="24"/>
              </w:rPr>
            </w:pPr>
            <w:r>
              <w:rPr>
                <w:rFonts w:hint="eastAsia" w:ascii="宋体" w:hAnsi="宋体" w:cs="Times New Roman"/>
                <w:sz w:val="24"/>
              </w:rPr>
              <w:t>1</w:t>
            </w:r>
          </w:p>
        </w:tc>
      </w:tr>
    </w:tbl>
    <w:p>
      <w:pPr>
        <w:spacing w:line="360" w:lineRule="exact"/>
        <w:ind w:firstLine="480" w:firstLineChars="200"/>
        <w:rPr>
          <w:rFonts w:hint="eastAsia" w:ascii="宋体" w:hAnsi="宋体" w:cs="Times New Roman"/>
          <w:sz w:val="24"/>
        </w:rPr>
      </w:pPr>
      <w:bookmarkStart w:id="2" w:name="_Toc30964"/>
      <w:r>
        <w:rPr>
          <w:rFonts w:hint="eastAsia" w:ascii="宋体" w:hAnsi="宋体" w:cs="Times New Roman"/>
          <w:sz w:val="24"/>
        </w:rPr>
        <w:t>3.比较与评价</w:t>
      </w:r>
      <w:bookmarkEnd w:id="2"/>
    </w:p>
    <w:p>
      <w:pPr>
        <w:spacing w:line="360" w:lineRule="exact"/>
        <w:ind w:firstLine="480" w:firstLineChars="200"/>
        <w:rPr>
          <w:rFonts w:hint="eastAsia" w:ascii="宋体" w:hAnsi="宋体" w:cs="Times New Roman"/>
          <w:sz w:val="24"/>
        </w:rPr>
      </w:pPr>
      <w:r>
        <w:rPr>
          <w:rFonts w:hint="eastAsia" w:ascii="宋体" w:hAnsi="宋体" w:cs="Times New Roman"/>
          <w:sz w:val="24"/>
        </w:rPr>
        <w:t>3.1磋商小组应按照磋商文件中规定的评审方法、标准和评标因素，对资格性检查和符合性检查合格的响应文件进行评估，综合比较与评价。本次磋商文件中所提及的投标人/供应商包含投标人/供应商的母公司及相关分、子公司。</w:t>
      </w:r>
    </w:p>
    <w:p>
      <w:pPr>
        <w:spacing w:line="360" w:lineRule="exact"/>
        <w:ind w:firstLine="480" w:firstLineChars="200"/>
        <w:rPr>
          <w:rFonts w:hint="eastAsia" w:ascii="宋体" w:hAnsi="宋体" w:cs="Times New Roman"/>
          <w:sz w:val="24"/>
        </w:rPr>
      </w:pPr>
      <w:r>
        <w:rPr>
          <w:rFonts w:hint="eastAsia" w:ascii="宋体" w:hAnsi="宋体" w:cs="Times New Roman"/>
          <w:sz w:val="24"/>
        </w:rPr>
        <w:t>3.2最终报价评价。磋商小组以最终报价为基础，依次对最终报价进行算术修正和政府采购政策优惠价格扣除计算。</w:t>
      </w:r>
    </w:p>
    <w:p>
      <w:pPr>
        <w:spacing w:line="360" w:lineRule="exact"/>
        <w:ind w:firstLine="480" w:firstLineChars="200"/>
        <w:rPr>
          <w:rFonts w:hint="eastAsia" w:ascii="宋体" w:hAnsi="宋体" w:cs="Times New Roman"/>
          <w:sz w:val="24"/>
        </w:rPr>
      </w:pPr>
      <w:r>
        <w:rPr>
          <w:rFonts w:hint="eastAsia" w:ascii="宋体" w:hAnsi="宋体" w:cs="Times New Roman"/>
          <w:sz w:val="24"/>
        </w:rPr>
        <w:t>3.3价格分采用低价优先法计算，即满足磋商文件要求且最终报价最低的价格为评审基准价，其价格分为满分，其他有效供应商的价格分按照下列公式计算：</w:t>
      </w:r>
    </w:p>
    <w:p>
      <w:pPr>
        <w:spacing w:line="360" w:lineRule="exact"/>
        <w:ind w:firstLine="480" w:firstLineChars="200"/>
        <w:rPr>
          <w:rFonts w:hint="eastAsia" w:ascii="宋体" w:hAnsi="宋体" w:cs="Times New Roman"/>
          <w:sz w:val="24"/>
        </w:rPr>
      </w:pPr>
      <w:r>
        <w:rPr>
          <w:rFonts w:hint="eastAsia" w:ascii="宋体" w:hAnsi="宋体" w:cs="Times New Roman"/>
          <w:sz w:val="24"/>
        </w:rPr>
        <w:t>最终报价得分=(评审基准价／最终报价)×价格权值×100</w:t>
      </w:r>
    </w:p>
    <w:p>
      <w:pPr>
        <w:spacing w:line="360" w:lineRule="exact"/>
        <w:ind w:firstLine="480" w:firstLineChars="200"/>
        <w:rPr>
          <w:rFonts w:hint="eastAsia" w:ascii="宋体" w:hAnsi="宋体" w:cs="Times New Roman"/>
          <w:sz w:val="24"/>
        </w:rPr>
      </w:pPr>
      <w:r>
        <w:rPr>
          <w:rFonts w:hint="eastAsia" w:ascii="宋体" w:hAnsi="宋体" w:cs="Times New Roman"/>
          <w:sz w:val="24"/>
        </w:rPr>
        <w:t>本项所称最终报价为按本章第3.2</w:t>
      </w:r>
      <w:r>
        <w:rPr>
          <w:rFonts w:hint="eastAsia" w:ascii="宋体" w:hAnsi="宋体" w:cs="Times New Roman"/>
          <w:sz w:val="24"/>
          <w:lang w:val="zh-CN"/>
        </w:rPr>
        <w:t>款</w:t>
      </w:r>
      <w:r>
        <w:rPr>
          <w:rFonts w:hint="eastAsia" w:ascii="宋体" w:hAnsi="宋体" w:cs="Times New Roman"/>
          <w:sz w:val="24"/>
        </w:rPr>
        <w:t>规定价值扣除后的最终报价。</w:t>
      </w:r>
    </w:p>
    <w:p>
      <w:pPr>
        <w:spacing w:line="360" w:lineRule="exact"/>
        <w:ind w:firstLine="480" w:firstLineChars="200"/>
        <w:rPr>
          <w:rFonts w:hint="eastAsia" w:ascii="宋体" w:hAnsi="宋体" w:cs="Times New Roman"/>
          <w:sz w:val="24"/>
        </w:rPr>
      </w:pPr>
      <w:r>
        <w:rPr>
          <w:rFonts w:hint="eastAsia" w:ascii="宋体" w:hAnsi="宋体" w:cs="Times New Roman"/>
          <w:sz w:val="24"/>
        </w:rPr>
        <w:t>3.4涉及政府采购政策优惠的，按磋商文件附</w:t>
      </w:r>
      <w:r>
        <w:rPr>
          <w:rFonts w:hint="eastAsia" w:ascii="宋体" w:hAnsi="宋体" w:cs="Times New Roman"/>
          <w:sz w:val="24"/>
          <w:lang w:eastAsia="zh-CN"/>
        </w:rPr>
        <w:t>见</w:t>
      </w:r>
      <w:r>
        <w:rPr>
          <w:rFonts w:hint="eastAsia" w:ascii="宋体" w:hAnsi="宋体" w:cs="Times New Roman"/>
          <w:sz w:val="24"/>
        </w:rPr>
        <w:t>表规定调整供应商的技术、价格得分或总得分。</w:t>
      </w:r>
    </w:p>
    <w:p>
      <w:pPr>
        <w:spacing w:line="360" w:lineRule="exact"/>
        <w:ind w:firstLine="480" w:firstLineChars="200"/>
        <w:rPr>
          <w:rFonts w:hint="eastAsia" w:ascii="宋体" w:hAnsi="宋体" w:cs="Times New Roman"/>
          <w:sz w:val="24"/>
        </w:rPr>
      </w:pPr>
      <w:r>
        <w:rPr>
          <w:rFonts w:hint="eastAsia" w:ascii="宋体" w:hAnsi="宋体" w:cs="Times New Roman"/>
          <w:sz w:val="24"/>
        </w:rPr>
        <w:t>3.5涉及多处获得政府采购政策优惠的，涉及调整得分的，按本章第3.4</w:t>
      </w:r>
      <w:r>
        <w:rPr>
          <w:rFonts w:hint="eastAsia" w:ascii="宋体" w:hAnsi="宋体" w:cs="Times New Roman"/>
          <w:sz w:val="24"/>
          <w:lang w:val="zh-CN"/>
        </w:rPr>
        <w:t>款</w:t>
      </w:r>
      <w:r>
        <w:rPr>
          <w:rFonts w:hint="eastAsia" w:ascii="宋体" w:hAnsi="宋体" w:cs="Times New Roman"/>
          <w:sz w:val="24"/>
        </w:rPr>
        <w:t>规定调整得分；涉及调整价格的，按本章第3.2</w:t>
      </w:r>
      <w:r>
        <w:rPr>
          <w:rFonts w:hint="eastAsia" w:ascii="宋体" w:hAnsi="宋体" w:cs="Times New Roman"/>
          <w:sz w:val="24"/>
          <w:lang w:val="zh-CN"/>
        </w:rPr>
        <w:t>款</w:t>
      </w:r>
      <w:r>
        <w:rPr>
          <w:rFonts w:hint="eastAsia" w:ascii="宋体" w:hAnsi="宋体" w:cs="Times New Roman"/>
          <w:sz w:val="24"/>
        </w:rPr>
        <w:t>规定调整价格。综合调整见磋商文件前附表相关规定。</w:t>
      </w:r>
    </w:p>
    <w:p>
      <w:pPr>
        <w:spacing w:line="360" w:lineRule="exact"/>
        <w:ind w:firstLine="480" w:firstLineChars="200"/>
        <w:rPr>
          <w:rFonts w:hint="eastAsia" w:ascii="宋体" w:hAnsi="宋体" w:cs="Times New Roman"/>
          <w:sz w:val="24"/>
        </w:rPr>
      </w:pPr>
      <w:r>
        <w:rPr>
          <w:rFonts w:hint="eastAsia" w:ascii="宋体" w:hAnsi="宋体" w:cs="Times New Roman"/>
          <w:sz w:val="24"/>
        </w:rPr>
        <w:t>3.6评审时，磋商小组各成员应当独立对每个供应商的响应文件进行评价、评分，然后汇总每个供应商项评分因素的得分。</w:t>
      </w:r>
    </w:p>
    <w:p>
      <w:pPr>
        <w:spacing w:line="360" w:lineRule="exact"/>
        <w:ind w:firstLine="480" w:firstLineChars="200"/>
        <w:rPr>
          <w:rFonts w:hint="eastAsia" w:ascii="宋体" w:hAnsi="宋体" w:cs="Times New Roman"/>
          <w:sz w:val="24"/>
        </w:rPr>
      </w:pPr>
      <w:r>
        <w:rPr>
          <w:rFonts w:hint="eastAsia" w:ascii="宋体" w:hAnsi="宋体" w:cs="Times New Roman"/>
          <w:sz w:val="24"/>
        </w:rPr>
        <w:t>3.7评分细则</w:t>
      </w:r>
    </w:p>
    <w:tbl>
      <w:tblPr>
        <w:tblStyle w:val="10"/>
        <w:tblW w:w="944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9"/>
        <w:gridCol w:w="1103"/>
        <w:gridCol w:w="7100"/>
        <w:gridCol w:w="4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45" w:hRule="exact"/>
          <w:jc w:val="center"/>
        </w:trPr>
        <w:tc>
          <w:tcPr>
            <w:tcW w:w="839" w:type="dxa"/>
            <w:noWrap w:val="0"/>
            <w:vAlign w:val="center"/>
          </w:tcPr>
          <w:p>
            <w:pPr>
              <w:autoSpaceDN w:val="0"/>
              <w:jc w:val="center"/>
              <w:textAlignment w:val="center"/>
              <w:rPr>
                <w:rFonts w:ascii="宋体" w:hAnsi="宋体"/>
                <w:bCs/>
                <w:color w:val="auto"/>
                <w:szCs w:val="21"/>
                <w:highlight w:val="none"/>
              </w:rPr>
            </w:pPr>
          </w:p>
        </w:tc>
        <w:tc>
          <w:tcPr>
            <w:tcW w:w="1103" w:type="dxa"/>
            <w:noWrap w:val="0"/>
            <w:vAlign w:val="center"/>
          </w:tcPr>
          <w:p>
            <w:pPr>
              <w:autoSpaceDN w:val="0"/>
              <w:jc w:val="center"/>
              <w:textAlignment w:val="center"/>
              <w:rPr>
                <w:rFonts w:ascii="宋体" w:hAnsi="宋体"/>
                <w:bCs/>
                <w:color w:val="auto"/>
                <w:szCs w:val="21"/>
                <w:highlight w:val="none"/>
              </w:rPr>
            </w:pPr>
            <w:r>
              <w:rPr>
                <w:rFonts w:hint="eastAsia" w:ascii="宋体" w:hAnsi="宋体"/>
                <w:bCs/>
                <w:color w:val="auto"/>
                <w:szCs w:val="21"/>
                <w:highlight w:val="none"/>
              </w:rPr>
              <w:t>项目内容</w:t>
            </w:r>
          </w:p>
        </w:tc>
        <w:tc>
          <w:tcPr>
            <w:tcW w:w="7100" w:type="dxa"/>
            <w:noWrap w:val="0"/>
            <w:vAlign w:val="center"/>
          </w:tcPr>
          <w:p>
            <w:pPr>
              <w:autoSpaceDN w:val="0"/>
              <w:jc w:val="center"/>
              <w:textAlignment w:val="center"/>
              <w:rPr>
                <w:rFonts w:ascii="宋体" w:hAnsi="宋体"/>
                <w:bCs/>
                <w:color w:val="auto"/>
                <w:szCs w:val="21"/>
                <w:highlight w:val="none"/>
              </w:rPr>
            </w:pPr>
            <w:r>
              <w:rPr>
                <w:rFonts w:hint="eastAsia" w:ascii="宋体" w:hAnsi="宋体"/>
                <w:bCs/>
                <w:color w:val="auto"/>
                <w:szCs w:val="21"/>
                <w:highlight w:val="none"/>
              </w:rPr>
              <w:t>评</w:t>
            </w:r>
            <w:r>
              <w:rPr>
                <w:rFonts w:ascii="宋体" w:hAnsi="宋体"/>
                <w:bCs/>
                <w:color w:val="auto"/>
                <w:szCs w:val="21"/>
                <w:highlight w:val="none"/>
              </w:rPr>
              <w:t xml:space="preserve"> </w:t>
            </w:r>
            <w:r>
              <w:rPr>
                <w:rFonts w:hint="eastAsia" w:ascii="宋体" w:hAnsi="宋体"/>
                <w:bCs/>
                <w:color w:val="auto"/>
                <w:szCs w:val="21"/>
                <w:highlight w:val="none"/>
              </w:rPr>
              <w:t>分</w:t>
            </w:r>
            <w:r>
              <w:rPr>
                <w:rFonts w:ascii="宋体" w:hAnsi="宋体"/>
                <w:bCs/>
                <w:color w:val="auto"/>
                <w:szCs w:val="21"/>
                <w:highlight w:val="none"/>
              </w:rPr>
              <w:t xml:space="preserve"> </w:t>
            </w:r>
            <w:r>
              <w:rPr>
                <w:rFonts w:hint="eastAsia" w:ascii="宋体" w:hAnsi="宋体"/>
                <w:bCs/>
                <w:color w:val="auto"/>
                <w:szCs w:val="21"/>
                <w:highlight w:val="none"/>
              </w:rPr>
              <w:t>标</w:t>
            </w:r>
            <w:r>
              <w:rPr>
                <w:rFonts w:ascii="宋体" w:hAnsi="宋体"/>
                <w:bCs/>
                <w:color w:val="auto"/>
                <w:szCs w:val="21"/>
                <w:highlight w:val="none"/>
              </w:rPr>
              <w:t xml:space="preserve"> </w:t>
            </w:r>
            <w:r>
              <w:rPr>
                <w:rFonts w:hint="eastAsia" w:ascii="宋体" w:hAnsi="宋体"/>
                <w:bCs/>
                <w:color w:val="auto"/>
                <w:szCs w:val="21"/>
                <w:highlight w:val="none"/>
              </w:rPr>
              <w:t>准</w:t>
            </w:r>
          </w:p>
        </w:tc>
        <w:tc>
          <w:tcPr>
            <w:tcW w:w="405" w:type="dxa"/>
            <w:noWrap w:val="0"/>
            <w:vAlign w:val="center"/>
          </w:tcPr>
          <w:p>
            <w:pPr>
              <w:autoSpaceDN w:val="0"/>
              <w:jc w:val="center"/>
              <w:textAlignment w:val="center"/>
              <w:rPr>
                <w:rFonts w:ascii="宋体" w:hAnsi="宋体"/>
                <w:bCs/>
                <w:color w:val="auto"/>
                <w:szCs w:val="21"/>
                <w:highlight w:val="none"/>
              </w:rPr>
            </w:pPr>
            <w:r>
              <w:rPr>
                <w:rFonts w:hint="eastAsia" w:ascii="宋体" w:hAnsi="宋体"/>
                <w:bCs/>
                <w:color w:val="auto"/>
                <w:szCs w:val="21"/>
                <w:highlight w:val="none"/>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41" w:hRule="exact"/>
          <w:jc w:val="center"/>
        </w:trPr>
        <w:tc>
          <w:tcPr>
            <w:tcW w:w="839" w:type="dxa"/>
            <w:noWrap w:val="0"/>
            <w:vAlign w:val="center"/>
          </w:tcPr>
          <w:p>
            <w:pPr>
              <w:autoSpaceDN w:val="0"/>
              <w:textAlignment w:val="center"/>
              <w:rPr>
                <w:rFonts w:hint="eastAsia" w:ascii="宋体" w:hAnsi="宋体"/>
                <w:bCs/>
                <w:color w:val="auto"/>
                <w:szCs w:val="21"/>
                <w:highlight w:val="none"/>
              </w:rPr>
            </w:pPr>
            <w:r>
              <w:rPr>
                <w:rFonts w:hint="eastAsia" w:ascii="宋体" w:hAnsi="宋体"/>
                <w:bCs/>
                <w:color w:val="auto"/>
                <w:szCs w:val="21"/>
                <w:highlight w:val="none"/>
              </w:rPr>
              <w:t>报价</w:t>
            </w:r>
          </w:p>
          <w:p>
            <w:pPr>
              <w:autoSpaceDN w:val="0"/>
              <w:textAlignment w:val="center"/>
              <w:rPr>
                <w:rFonts w:ascii="宋体" w:hAnsi="宋体"/>
                <w:bCs/>
                <w:color w:val="auto"/>
                <w:szCs w:val="21"/>
                <w:highlight w:val="none"/>
              </w:rPr>
            </w:pPr>
            <w:r>
              <w:rPr>
                <w:rFonts w:hint="eastAsia" w:ascii="宋体" w:hAnsi="宋体"/>
                <w:bCs/>
                <w:color w:val="auto"/>
                <w:szCs w:val="21"/>
                <w:highlight w:val="none"/>
              </w:rPr>
              <w:t>30分</w:t>
            </w:r>
          </w:p>
        </w:tc>
        <w:tc>
          <w:tcPr>
            <w:tcW w:w="8203" w:type="dxa"/>
            <w:gridSpan w:val="2"/>
            <w:tcBorders>
              <w:bottom w:val="single" w:color="auto" w:sz="4" w:space="0"/>
            </w:tcBorders>
            <w:noWrap w:val="0"/>
            <w:vAlign w:val="center"/>
          </w:tcPr>
          <w:p>
            <w:pPr>
              <w:autoSpaceDN w:val="0"/>
              <w:textAlignment w:val="center"/>
              <w:rPr>
                <w:rFonts w:ascii="宋体" w:hAnsi="宋体"/>
                <w:bCs/>
                <w:color w:val="auto"/>
                <w:szCs w:val="21"/>
                <w:highlight w:val="none"/>
              </w:rPr>
            </w:pPr>
            <w:r>
              <w:rPr>
                <w:rFonts w:hint="eastAsia" w:ascii="宋体" w:hAnsi="宋体"/>
                <w:bCs/>
                <w:color w:val="auto"/>
                <w:szCs w:val="21"/>
                <w:highlight w:val="none"/>
              </w:rPr>
              <w:t>以经评委会一致认定满足招标文件要求且投标价格最低的投标报价为评标基准价，其价格得分计30分。其他投标人的价格得分统一按公式计算：报价得分＝评标基准价÷投标报价×</w:t>
            </w:r>
            <w:r>
              <w:rPr>
                <w:rFonts w:ascii="宋体" w:hAnsi="宋体"/>
                <w:bCs/>
                <w:color w:val="auto"/>
                <w:szCs w:val="21"/>
                <w:highlight w:val="none"/>
              </w:rPr>
              <w:t>100</w:t>
            </w:r>
            <w:r>
              <w:rPr>
                <w:rFonts w:hint="eastAsia" w:ascii="宋体" w:hAnsi="宋体"/>
                <w:bCs/>
                <w:color w:val="auto"/>
                <w:szCs w:val="21"/>
                <w:highlight w:val="none"/>
              </w:rPr>
              <w:t>×投标报价权重。</w:t>
            </w:r>
          </w:p>
          <w:p>
            <w:pPr>
              <w:autoSpaceDN w:val="0"/>
              <w:textAlignment w:val="center"/>
              <w:rPr>
                <w:rFonts w:ascii="宋体" w:hAnsi="宋体"/>
                <w:bCs/>
                <w:color w:val="auto"/>
                <w:szCs w:val="21"/>
                <w:highlight w:val="none"/>
              </w:rPr>
            </w:pPr>
            <w:r>
              <w:rPr>
                <w:rFonts w:hint="eastAsia" w:ascii="宋体" w:hAnsi="宋体"/>
                <w:bCs/>
                <w:color w:val="auto"/>
                <w:szCs w:val="21"/>
                <w:highlight w:val="none"/>
              </w:rPr>
              <w:t>注：投标人投标报价或分项报价经评委会一致认定为明显不合理或低于成本价，有可能影响商品质量和不能诚信履约，评委会要求投标人在规定期限内提供书面说明，并提交相关证明材料，否则，评委会视为投标人为无效投标。</w:t>
            </w:r>
          </w:p>
        </w:tc>
        <w:tc>
          <w:tcPr>
            <w:tcW w:w="405" w:type="dxa"/>
            <w:tcBorders>
              <w:bottom w:val="single" w:color="auto" w:sz="4" w:space="0"/>
            </w:tcBorders>
            <w:noWrap w:val="0"/>
            <w:vAlign w:val="center"/>
          </w:tcPr>
          <w:p>
            <w:pPr>
              <w:autoSpaceDN w:val="0"/>
              <w:textAlignment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3" w:hRule="atLeast"/>
          <w:jc w:val="center"/>
        </w:trPr>
        <w:tc>
          <w:tcPr>
            <w:tcW w:w="839" w:type="dxa"/>
            <w:vMerge w:val="restart"/>
            <w:shd w:val="clear" w:color="auto" w:fill="auto"/>
            <w:noWrap w:val="0"/>
            <w:vAlign w:val="center"/>
          </w:tcPr>
          <w:p>
            <w:pPr>
              <w:autoSpaceDN w:val="0"/>
              <w:textAlignment w:val="center"/>
              <w:rPr>
                <w:rFonts w:hint="eastAsia" w:ascii="宋体" w:hAnsi="宋体"/>
                <w:bCs/>
                <w:color w:val="auto"/>
                <w:szCs w:val="21"/>
                <w:highlight w:val="none"/>
              </w:rPr>
            </w:pPr>
          </w:p>
          <w:p>
            <w:pPr>
              <w:autoSpaceDN w:val="0"/>
              <w:textAlignment w:val="center"/>
              <w:rPr>
                <w:rFonts w:hint="eastAsia" w:ascii="宋体" w:hAnsi="宋体"/>
                <w:bCs/>
                <w:color w:val="auto"/>
                <w:szCs w:val="21"/>
                <w:highlight w:val="none"/>
              </w:rPr>
            </w:pPr>
            <w:r>
              <w:rPr>
                <w:rFonts w:hint="eastAsia" w:ascii="宋体" w:hAnsi="宋体"/>
                <w:bCs/>
                <w:color w:val="auto"/>
                <w:szCs w:val="21"/>
                <w:highlight w:val="none"/>
              </w:rPr>
              <w:t>技术</w:t>
            </w:r>
          </w:p>
          <w:p>
            <w:pPr>
              <w:autoSpaceDN w:val="0"/>
              <w:textAlignment w:val="center"/>
              <w:rPr>
                <w:rFonts w:hint="eastAsia" w:ascii="宋体" w:hAnsi="宋体"/>
                <w:bCs/>
                <w:color w:val="auto"/>
                <w:szCs w:val="21"/>
                <w:highlight w:val="none"/>
              </w:rPr>
            </w:pPr>
            <w:r>
              <w:rPr>
                <w:rFonts w:hint="eastAsia" w:ascii="宋体" w:hAnsi="宋体"/>
                <w:bCs/>
                <w:color w:val="auto"/>
                <w:szCs w:val="21"/>
                <w:highlight w:val="none"/>
              </w:rPr>
              <w:t>部分</w:t>
            </w:r>
          </w:p>
          <w:p>
            <w:pPr>
              <w:autoSpaceDN w:val="0"/>
              <w:textAlignment w:val="center"/>
              <w:rPr>
                <w:rFonts w:ascii="宋体" w:hAnsi="宋体"/>
                <w:bCs/>
                <w:color w:val="auto"/>
                <w:szCs w:val="21"/>
                <w:highlight w:val="none"/>
              </w:rPr>
            </w:pPr>
            <w:r>
              <w:rPr>
                <w:rFonts w:hint="eastAsia" w:ascii="宋体" w:hAnsi="宋体"/>
                <w:bCs/>
                <w:color w:val="auto"/>
                <w:szCs w:val="21"/>
                <w:highlight w:val="none"/>
                <w:lang w:val="en-US" w:eastAsia="zh-CN"/>
              </w:rPr>
              <w:t>42</w:t>
            </w:r>
            <w:r>
              <w:rPr>
                <w:rFonts w:hint="eastAsia" w:ascii="宋体" w:hAnsi="宋体"/>
                <w:bCs/>
                <w:color w:val="auto"/>
                <w:szCs w:val="21"/>
                <w:highlight w:val="none"/>
              </w:rPr>
              <w:t>分</w:t>
            </w:r>
          </w:p>
        </w:tc>
        <w:tc>
          <w:tcPr>
            <w:tcW w:w="1103" w:type="dxa"/>
            <w:tcBorders>
              <w:right w:val="single" w:color="000000" w:sz="4" w:space="0"/>
            </w:tcBorders>
            <w:shd w:val="clear" w:color="auto" w:fill="FFFFFF"/>
            <w:noWrap w:val="0"/>
            <w:vAlign w:val="center"/>
          </w:tcPr>
          <w:p>
            <w:pPr>
              <w:autoSpaceDN w:val="0"/>
              <w:jc w:val="center"/>
              <w:textAlignment w:val="center"/>
              <w:rPr>
                <w:rFonts w:hint="eastAsia" w:ascii="宋体" w:hAnsi="宋体" w:eastAsia="宋体"/>
                <w:bCs/>
                <w:color w:val="auto"/>
                <w:szCs w:val="21"/>
                <w:highlight w:val="none"/>
                <w:lang w:eastAsia="zh-CN"/>
              </w:rPr>
            </w:pPr>
            <w:r>
              <w:rPr>
                <w:rFonts w:hint="eastAsia" w:ascii="宋体" w:hAnsi="宋体"/>
                <w:bCs/>
                <w:color w:val="auto"/>
                <w:szCs w:val="21"/>
                <w:highlight w:val="none"/>
              </w:rPr>
              <w:t>产品配置及技术参数</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15</w:t>
            </w:r>
            <w:r>
              <w:rPr>
                <w:rFonts w:hint="eastAsia" w:ascii="宋体" w:hAnsi="宋体"/>
                <w:bCs/>
                <w:color w:val="auto"/>
                <w:szCs w:val="21"/>
                <w:highlight w:val="none"/>
              </w:rPr>
              <w:t>分</w:t>
            </w:r>
            <w:r>
              <w:rPr>
                <w:rFonts w:hint="eastAsia" w:ascii="宋体" w:hAnsi="宋体"/>
                <w:bCs/>
                <w:color w:val="auto"/>
                <w:szCs w:val="21"/>
                <w:highlight w:val="none"/>
                <w:lang w:eastAsia="zh-CN"/>
              </w:rPr>
              <w:t>）</w:t>
            </w:r>
          </w:p>
        </w:tc>
        <w:tc>
          <w:tcPr>
            <w:tcW w:w="7100" w:type="dxa"/>
            <w:tcBorders>
              <w:left w:val="single" w:color="000000" w:sz="4" w:space="0"/>
            </w:tcBorders>
            <w:shd w:val="clear" w:color="auto" w:fill="FFFFFF"/>
            <w:noWrap w:val="0"/>
            <w:vAlign w:val="center"/>
          </w:tcPr>
          <w:p>
            <w:pPr>
              <w:autoSpaceDN w:val="0"/>
              <w:textAlignment w:val="center"/>
              <w:rPr>
                <w:rFonts w:ascii="宋体" w:hAnsi="宋体"/>
                <w:bCs/>
                <w:color w:val="auto"/>
                <w:szCs w:val="21"/>
                <w:highlight w:val="none"/>
              </w:rPr>
            </w:pPr>
            <w:r>
              <w:rPr>
                <w:rFonts w:hint="eastAsia" w:ascii="宋体" w:hAnsi="宋体"/>
                <w:bCs/>
                <w:color w:val="auto"/>
                <w:szCs w:val="21"/>
                <w:highlight w:val="none"/>
              </w:rPr>
              <w:t>根据投标人所投产品的技术指标、性能参数完全满足招标文件技术要求的，记</w:t>
            </w:r>
            <w:r>
              <w:rPr>
                <w:rFonts w:hint="eastAsia" w:ascii="宋体" w:hAnsi="宋体"/>
                <w:bCs/>
                <w:color w:val="auto"/>
                <w:szCs w:val="21"/>
                <w:highlight w:val="none"/>
                <w:lang w:val="en-US" w:eastAsia="zh-CN"/>
              </w:rPr>
              <w:t>15</w:t>
            </w:r>
            <w:r>
              <w:rPr>
                <w:rFonts w:hint="eastAsia" w:ascii="宋体" w:hAnsi="宋体"/>
                <w:bCs/>
                <w:color w:val="auto"/>
                <w:szCs w:val="21"/>
                <w:highlight w:val="none"/>
              </w:rPr>
              <w:t>分。招标文件技术要求“ ★”参数一项不满足视为无效响应文件；技术指标、性能参数不清，有负偏离的，每处扣</w:t>
            </w:r>
            <w:r>
              <w:rPr>
                <w:rFonts w:hint="eastAsia" w:ascii="宋体" w:hAnsi="宋体"/>
                <w:bCs/>
                <w:color w:val="auto"/>
                <w:szCs w:val="21"/>
                <w:highlight w:val="none"/>
                <w:lang w:val="en-US" w:eastAsia="zh-CN"/>
              </w:rPr>
              <w:t>1.5</w:t>
            </w:r>
            <w:r>
              <w:rPr>
                <w:rFonts w:hint="eastAsia" w:ascii="宋体" w:hAnsi="宋体"/>
                <w:bCs/>
                <w:color w:val="auto"/>
                <w:szCs w:val="21"/>
                <w:highlight w:val="none"/>
              </w:rPr>
              <w:t>分。</w:t>
            </w:r>
          </w:p>
        </w:tc>
        <w:tc>
          <w:tcPr>
            <w:tcW w:w="405" w:type="dxa"/>
            <w:shd w:val="clear" w:color="auto" w:fill="FFFFFF"/>
            <w:noWrap w:val="0"/>
            <w:vAlign w:val="center"/>
          </w:tcPr>
          <w:p>
            <w:pPr>
              <w:autoSpaceDN w:val="0"/>
              <w:textAlignment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6" w:hRule="atLeast"/>
          <w:jc w:val="center"/>
        </w:trPr>
        <w:tc>
          <w:tcPr>
            <w:tcW w:w="839" w:type="dxa"/>
            <w:vMerge w:val="continue"/>
            <w:noWrap w:val="0"/>
            <w:vAlign w:val="center"/>
          </w:tcPr>
          <w:p>
            <w:pPr>
              <w:autoSpaceDN w:val="0"/>
              <w:textAlignment w:val="center"/>
              <w:rPr>
                <w:rFonts w:hint="eastAsia" w:ascii="宋体" w:hAnsi="宋体"/>
                <w:bCs/>
                <w:color w:val="auto"/>
                <w:szCs w:val="21"/>
                <w:highlight w:val="none"/>
              </w:rPr>
            </w:pPr>
          </w:p>
        </w:tc>
        <w:tc>
          <w:tcPr>
            <w:tcW w:w="1103" w:type="dxa"/>
            <w:tcBorders>
              <w:right w:val="single" w:color="000000" w:sz="4" w:space="0"/>
            </w:tcBorders>
            <w:noWrap w:val="0"/>
            <w:vAlign w:val="center"/>
          </w:tcPr>
          <w:p>
            <w:pPr>
              <w:autoSpaceDN w:val="0"/>
              <w:jc w:val="center"/>
              <w:textAlignment w:val="center"/>
              <w:rPr>
                <w:rFonts w:hint="eastAsia" w:ascii="宋体" w:hAnsi="宋体" w:eastAsia="宋体"/>
                <w:bCs/>
                <w:color w:val="auto"/>
                <w:szCs w:val="21"/>
                <w:highlight w:val="none"/>
                <w:lang w:eastAsia="zh-CN"/>
              </w:rPr>
            </w:pPr>
            <w:r>
              <w:rPr>
                <w:rFonts w:hint="eastAsia" w:ascii="宋体" w:hAnsi="宋体"/>
                <w:bCs/>
                <w:color w:val="auto"/>
                <w:szCs w:val="21"/>
                <w:highlight w:val="none"/>
              </w:rPr>
              <w:t>实施方案</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12</w:t>
            </w:r>
            <w:r>
              <w:rPr>
                <w:rFonts w:hint="eastAsia" w:ascii="宋体" w:hAnsi="宋体"/>
                <w:bCs/>
                <w:color w:val="auto"/>
                <w:szCs w:val="21"/>
                <w:highlight w:val="none"/>
              </w:rPr>
              <w:t>分</w:t>
            </w:r>
            <w:r>
              <w:rPr>
                <w:rFonts w:hint="eastAsia" w:ascii="宋体" w:hAnsi="宋体"/>
                <w:bCs/>
                <w:color w:val="auto"/>
                <w:szCs w:val="21"/>
                <w:highlight w:val="none"/>
                <w:lang w:eastAsia="zh-CN"/>
              </w:rPr>
              <w:t>）</w:t>
            </w:r>
          </w:p>
        </w:tc>
        <w:tc>
          <w:tcPr>
            <w:tcW w:w="7100" w:type="dxa"/>
            <w:tcBorders>
              <w:left w:val="single" w:color="000000" w:sz="4" w:space="0"/>
            </w:tcBorders>
            <w:noWrap w:val="0"/>
            <w:vAlign w:val="center"/>
          </w:tcPr>
          <w:p>
            <w:pPr>
              <w:autoSpaceDN w:val="0"/>
              <w:textAlignment w:val="center"/>
              <w:rPr>
                <w:rFonts w:ascii="宋体" w:hAnsi="宋体"/>
                <w:bCs/>
                <w:color w:val="auto"/>
                <w:szCs w:val="21"/>
                <w:highlight w:val="none"/>
              </w:rPr>
            </w:pPr>
            <w:r>
              <w:rPr>
                <w:rFonts w:hint="eastAsia" w:ascii="宋体" w:hAnsi="宋体"/>
                <w:bCs/>
                <w:color w:val="auto"/>
                <w:szCs w:val="21"/>
                <w:highlight w:val="none"/>
              </w:rPr>
              <w:t>根据投标人对项目需求的理解情况：需求理解透彻，提供全面、完整的系统设计方案、安装实施方案，安装进度计划与保证措施等内容，阐述系统的功能、性能，提供完善的拓扑结构的关键功能操作界面，进行综合评优档计分，安装进度计划与供货保障预留的安装时间相匹配，人员设备配备完善，方案可操作性强，整体评价优秀的计</w:t>
            </w:r>
            <w:r>
              <w:rPr>
                <w:rFonts w:hint="eastAsia" w:ascii="宋体" w:hAnsi="宋体"/>
                <w:bCs/>
                <w:color w:val="auto"/>
                <w:szCs w:val="21"/>
                <w:highlight w:val="none"/>
                <w:lang w:val="en-US" w:eastAsia="zh-CN"/>
              </w:rPr>
              <w:t>12</w:t>
            </w:r>
            <w:r>
              <w:rPr>
                <w:rFonts w:hint="eastAsia" w:ascii="宋体" w:hAnsi="宋体"/>
                <w:bCs/>
                <w:color w:val="auto"/>
                <w:szCs w:val="21"/>
                <w:highlight w:val="none"/>
              </w:rPr>
              <w:t>分；整体方案内容完善，但可操作性不强，实施细节有缺漏或方案整体连贯性一般记</w:t>
            </w:r>
            <w:r>
              <w:rPr>
                <w:rFonts w:hint="eastAsia" w:ascii="宋体" w:hAnsi="宋体"/>
                <w:bCs/>
                <w:color w:val="auto"/>
                <w:szCs w:val="21"/>
                <w:highlight w:val="none"/>
                <w:lang w:val="en-US" w:eastAsia="zh-CN"/>
              </w:rPr>
              <w:t>9</w:t>
            </w:r>
            <w:r>
              <w:rPr>
                <w:rFonts w:hint="eastAsia" w:ascii="宋体" w:hAnsi="宋体"/>
                <w:bCs/>
                <w:color w:val="auto"/>
                <w:szCs w:val="21"/>
                <w:highlight w:val="none"/>
              </w:rPr>
              <w:t>分，整体方案内容较完善，但可操作性不强，实施细节有缺漏或方案整体连贯性较差一般记</w:t>
            </w:r>
            <w:r>
              <w:rPr>
                <w:rFonts w:hint="eastAsia" w:ascii="宋体" w:hAnsi="宋体"/>
                <w:bCs/>
                <w:color w:val="auto"/>
                <w:szCs w:val="21"/>
                <w:highlight w:val="none"/>
                <w:lang w:val="en-US" w:eastAsia="zh-CN"/>
              </w:rPr>
              <w:t>6</w:t>
            </w:r>
            <w:r>
              <w:rPr>
                <w:rFonts w:hint="eastAsia" w:ascii="宋体" w:hAnsi="宋体"/>
                <w:bCs/>
                <w:color w:val="auto"/>
                <w:szCs w:val="21"/>
                <w:highlight w:val="none"/>
              </w:rPr>
              <w:t>分，实用、合理、专业化程度差或方案内容有重大缺漏记</w:t>
            </w:r>
            <w:r>
              <w:rPr>
                <w:rFonts w:hint="eastAsia" w:ascii="宋体" w:hAnsi="宋体"/>
                <w:bCs/>
                <w:color w:val="auto"/>
                <w:szCs w:val="21"/>
                <w:highlight w:val="none"/>
                <w:lang w:val="en-US" w:eastAsia="zh-CN"/>
              </w:rPr>
              <w:t>3</w:t>
            </w:r>
            <w:r>
              <w:rPr>
                <w:rFonts w:hint="eastAsia" w:ascii="宋体" w:hAnsi="宋体"/>
                <w:bCs/>
                <w:color w:val="auto"/>
                <w:szCs w:val="21"/>
                <w:highlight w:val="none"/>
              </w:rPr>
              <w:t>分，未提供的不计分。</w:t>
            </w:r>
          </w:p>
        </w:tc>
        <w:tc>
          <w:tcPr>
            <w:tcW w:w="405" w:type="dxa"/>
            <w:noWrap w:val="0"/>
            <w:vAlign w:val="center"/>
          </w:tcPr>
          <w:p>
            <w:pPr>
              <w:autoSpaceDN w:val="0"/>
              <w:textAlignment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839" w:type="dxa"/>
            <w:vMerge w:val="continue"/>
            <w:noWrap w:val="0"/>
            <w:vAlign w:val="center"/>
          </w:tcPr>
          <w:p>
            <w:pPr>
              <w:autoSpaceDN w:val="0"/>
              <w:textAlignment w:val="center"/>
              <w:rPr>
                <w:rFonts w:hint="eastAsia" w:ascii="宋体" w:hAnsi="宋体"/>
                <w:bCs/>
                <w:color w:val="auto"/>
                <w:szCs w:val="21"/>
                <w:highlight w:val="none"/>
              </w:rPr>
            </w:pPr>
          </w:p>
        </w:tc>
        <w:tc>
          <w:tcPr>
            <w:tcW w:w="1103" w:type="dxa"/>
            <w:tcBorders>
              <w:right w:val="single" w:color="000000" w:sz="4" w:space="0"/>
            </w:tcBorders>
            <w:noWrap w:val="0"/>
            <w:vAlign w:val="center"/>
          </w:tcPr>
          <w:p>
            <w:pPr>
              <w:autoSpaceDN w:val="0"/>
              <w:jc w:val="center"/>
              <w:textAlignment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val="en-US" w:eastAsia="zh-CN"/>
              </w:rPr>
              <w:t>人员配备</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8</w:t>
            </w:r>
            <w:r>
              <w:rPr>
                <w:rFonts w:hint="eastAsia" w:ascii="宋体" w:hAnsi="宋体"/>
                <w:bCs/>
                <w:color w:val="auto"/>
                <w:szCs w:val="21"/>
                <w:highlight w:val="none"/>
              </w:rPr>
              <w:t>分</w:t>
            </w:r>
            <w:r>
              <w:rPr>
                <w:rFonts w:hint="eastAsia" w:ascii="宋体" w:hAnsi="宋体"/>
                <w:bCs/>
                <w:color w:val="auto"/>
                <w:szCs w:val="21"/>
                <w:highlight w:val="none"/>
                <w:lang w:eastAsia="zh-CN"/>
              </w:rPr>
              <w:t>）</w:t>
            </w:r>
          </w:p>
        </w:tc>
        <w:tc>
          <w:tcPr>
            <w:tcW w:w="7100" w:type="dxa"/>
            <w:tcBorders>
              <w:left w:val="single" w:color="000000" w:sz="4" w:space="0"/>
            </w:tcBorders>
            <w:noWrap w:val="0"/>
            <w:vAlign w:val="center"/>
          </w:tcPr>
          <w:p>
            <w:pPr>
              <w:autoSpaceDN w:val="0"/>
              <w:textAlignment w:val="center"/>
              <w:rPr>
                <w:rFonts w:hint="eastAsia" w:ascii="宋体" w:hAnsi="宋体" w:cs="宋体"/>
                <w:color w:val="auto"/>
                <w:szCs w:val="21"/>
                <w:highlight w:val="none"/>
              </w:rPr>
            </w:pPr>
            <w:r>
              <w:rPr>
                <w:rFonts w:hint="eastAsia" w:ascii="宋体" w:hAnsi="宋体" w:eastAsia="宋体" w:cs="宋体"/>
                <w:color w:val="auto"/>
                <w:sz w:val="21"/>
                <w:szCs w:val="21"/>
                <w:highlight w:val="none"/>
              </w:rPr>
              <w:t>投标人拟派项</w:t>
            </w:r>
            <w:r>
              <w:rPr>
                <w:rFonts w:hint="eastAsia" w:ascii="宋体" w:hAnsi="宋体" w:eastAsia="宋体" w:cs="宋体"/>
                <w:color w:val="auto"/>
                <w:sz w:val="21"/>
                <w:szCs w:val="21"/>
                <w:highlight w:val="none"/>
                <w:lang w:val="en-US" w:eastAsia="zh-CN"/>
              </w:rPr>
              <w:t>目负责人具有安防系统集成项目经理证书</w:t>
            </w:r>
            <w:r>
              <w:rPr>
                <w:rFonts w:hint="eastAsia" w:ascii="宋体" w:hAnsi="宋体" w:eastAsia="宋体" w:cs="宋体"/>
                <w:color w:val="auto"/>
                <w:sz w:val="21"/>
                <w:szCs w:val="21"/>
                <w:highlight w:val="none"/>
              </w:rPr>
              <w:t>的计</w:t>
            </w:r>
            <w:r>
              <w:rPr>
                <w:rFonts w:hint="eastAsia" w:ascii="宋体" w:hAnsi="宋体" w:cs="宋体"/>
                <w:color w:val="auto"/>
                <w:sz w:val="21"/>
                <w:szCs w:val="21"/>
                <w:highlight w:val="none"/>
                <w:lang w:val="en-US" w:eastAsia="zh-CN"/>
              </w:rPr>
              <w:t>8</w:t>
            </w:r>
            <w:r>
              <w:rPr>
                <w:rFonts w:hint="eastAsia" w:ascii="宋体" w:hAnsi="宋体" w:eastAsia="宋体" w:cs="宋体"/>
                <w:color w:val="auto"/>
                <w:sz w:val="21"/>
                <w:szCs w:val="21"/>
                <w:highlight w:val="none"/>
              </w:rPr>
              <w:t>分（投标人须提供相关证书以及</w:t>
            </w:r>
            <w:r>
              <w:rPr>
                <w:rFonts w:hint="eastAsia" w:ascii="宋体" w:hAnsi="宋体" w:cs="宋体"/>
                <w:color w:val="auto"/>
                <w:sz w:val="21"/>
                <w:szCs w:val="21"/>
                <w:highlight w:val="none"/>
                <w:lang w:eastAsia="zh-CN"/>
              </w:rPr>
              <w:t>投标人</w:t>
            </w:r>
            <w:r>
              <w:rPr>
                <w:rFonts w:hint="eastAsia" w:ascii="宋体" w:hAnsi="宋体" w:eastAsia="宋体" w:cs="宋体"/>
                <w:color w:val="auto"/>
                <w:sz w:val="21"/>
                <w:szCs w:val="21"/>
                <w:highlight w:val="none"/>
              </w:rPr>
              <w:t>为其缴纳的</w:t>
            </w:r>
            <w:r>
              <w:rPr>
                <w:rFonts w:hint="eastAsia" w:ascii="宋体" w:hAnsi="宋体" w:cs="宋体"/>
                <w:color w:val="auto"/>
                <w:sz w:val="21"/>
                <w:szCs w:val="21"/>
                <w:highlight w:val="none"/>
                <w:lang w:eastAsia="zh-CN"/>
              </w:rPr>
              <w:t>近</w:t>
            </w:r>
            <w:r>
              <w:rPr>
                <w:rFonts w:hint="eastAsia" w:ascii="宋体" w:hAnsi="宋体" w:cs="宋体"/>
                <w:color w:val="auto"/>
                <w:sz w:val="21"/>
                <w:szCs w:val="21"/>
                <w:highlight w:val="none"/>
                <w:lang w:val="en-US" w:eastAsia="zh-CN"/>
              </w:rPr>
              <w:t>6个月的社保证明</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eastAsia="zh-CN"/>
              </w:rPr>
              <w:t>。</w:t>
            </w:r>
            <w:r>
              <w:rPr>
                <w:rFonts w:hint="eastAsia" w:ascii="宋体" w:hAnsi="宋体"/>
                <w:bCs/>
                <w:color w:val="auto"/>
                <w:szCs w:val="21"/>
                <w:highlight w:val="none"/>
              </w:rPr>
              <w:t>未提供</w:t>
            </w:r>
            <w:r>
              <w:rPr>
                <w:rFonts w:hint="eastAsia" w:ascii="宋体" w:hAnsi="宋体"/>
                <w:bCs/>
                <w:color w:val="auto"/>
                <w:szCs w:val="21"/>
                <w:highlight w:val="none"/>
                <w:lang w:val="en-US" w:eastAsia="zh-CN"/>
              </w:rPr>
              <w:t>的</w:t>
            </w:r>
            <w:r>
              <w:rPr>
                <w:rFonts w:hint="eastAsia" w:ascii="宋体" w:hAnsi="宋体"/>
                <w:bCs/>
                <w:color w:val="auto"/>
                <w:szCs w:val="21"/>
                <w:highlight w:val="none"/>
              </w:rPr>
              <w:t>不计分；</w:t>
            </w:r>
          </w:p>
        </w:tc>
        <w:tc>
          <w:tcPr>
            <w:tcW w:w="405" w:type="dxa"/>
            <w:noWrap w:val="0"/>
            <w:vAlign w:val="center"/>
          </w:tcPr>
          <w:p>
            <w:pPr>
              <w:autoSpaceDN w:val="0"/>
              <w:textAlignment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jc w:val="center"/>
        </w:trPr>
        <w:tc>
          <w:tcPr>
            <w:tcW w:w="839" w:type="dxa"/>
            <w:vMerge w:val="continue"/>
            <w:noWrap w:val="0"/>
            <w:vAlign w:val="center"/>
          </w:tcPr>
          <w:p>
            <w:pPr>
              <w:autoSpaceDN w:val="0"/>
              <w:textAlignment w:val="center"/>
              <w:rPr>
                <w:rFonts w:ascii="宋体" w:hAnsi="宋体"/>
                <w:bCs/>
                <w:color w:val="auto"/>
                <w:szCs w:val="21"/>
                <w:highlight w:val="none"/>
              </w:rPr>
            </w:pPr>
          </w:p>
        </w:tc>
        <w:tc>
          <w:tcPr>
            <w:tcW w:w="1103" w:type="dxa"/>
            <w:tcBorders>
              <w:right w:val="single" w:color="000000" w:sz="4" w:space="0"/>
            </w:tcBorders>
            <w:noWrap w:val="0"/>
            <w:vAlign w:val="center"/>
          </w:tcPr>
          <w:p>
            <w:pPr>
              <w:autoSpaceDN w:val="0"/>
              <w:textAlignment w:val="center"/>
              <w:rPr>
                <w:rFonts w:hint="eastAsia" w:ascii="宋体" w:hAnsi="宋体" w:eastAsia="宋体"/>
                <w:bCs/>
                <w:color w:val="auto"/>
                <w:szCs w:val="21"/>
                <w:highlight w:val="none"/>
                <w:lang w:eastAsia="zh-CN"/>
              </w:rPr>
            </w:pPr>
            <w:r>
              <w:rPr>
                <w:rFonts w:hint="eastAsia" w:ascii="宋体" w:hAnsi="宋体"/>
                <w:bCs/>
                <w:color w:val="auto"/>
                <w:szCs w:val="21"/>
                <w:highlight w:val="none"/>
                <w:lang w:eastAsia="zh-CN"/>
              </w:rPr>
              <w:t>应急措施（</w:t>
            </w:r>
            <w:r>
              <w:rPr>
                <w:rFonts w:hint="eastAsia" w:ascii="宋体" w:hAnsi="宋体"/>
                <w:bCs/>
                <w:color w:val="auto"/>
                <w:szCs w:val="21"/>
                <w:highlight w:val="none"/>
                <w:lang w:val="en-US" w:eastAsia="zh-CN"/>
              </w:rPr>
              <w:t>7</w:t>
            </w:r>
            <w:r>
              <w:rPr>
                <w:rFonts w:hint="eastAsia" w:ascii="宋体" w:hAnsi="宋体"/>
                <w:bCs/>
                <w:color w:val="auto"/>
                <w:szCs w:val="21"/>
                <w:highlight w:val="none"/>
              </w:rPr>
              <w:t>分</w:t>
            </w:r>
            <w:r>
              <w:rPr>
                <w:rFonts w:hint="eastAsia" w:ascii="宋体" w:hAnsi="宋体"/>
                <w:bCs/>
                <w:color w:val="auto"/>
                <w:szCs w:val="21"/>
                <w:highlight w:val="none"/>
                <w:lang w:eastAsia="zh-CN"/>
              </w:rPr>
              <w:t>）</w:t>
            </w:r>
          </w:p>
        </w:tc>
        <w:tc>
          <w:tcPr>
            <w:tcW w:w="7100" w:type="dxa"/>
            <w:tcBorders>
              <w:left w:val="single" w:color="000000" w:sz="4" w:space="0"/>
            </w:tcBorders>
            <w:noWrap w:val="0"/>
            <w:vAlign w:val="center"/>
          </w:tcPr>
          <w:p>
            <w:pPr>
              <w:autoSpaceDN w:val="0"/>
              <w:textAlignment w:val="center"/>
              <w:rPr>
                <w:rFonts w:ascii="宋体" w:hAnsi="宋体"/>
                <w:bCs/>
                <w:color w:val="auto"/>
                <w:szCs w:val="21"/>
                <w:highlight w:val="none"/>
              </w:rPr>
            </w:pPr>
            <w:r>
              <w:rPr>
                <w:rFonts w:hint="eastAsia" w:ascii="宋体" w:hAnsi="宋体"/>
                <w:bCs/>
                <w:color w:val="auto"/>
                <w:szCs w:val="21"/>
                <w:highlight w:val="none"/>
              </w:rPr>
              <w:t>提供质量保证</w:t>
            </w:r>
            <w:r>
              <w:rPr>
                <w:rFonts w:hint="eastAsia" w:ascii="宋体" w:hAnsi="宋体"/>
                <w:bCs/>
                <w:color w:val="auto"/>
                <w:szCs w:val="21"/>
                <w:highlight w:val="none"/>
                <w:lang w:eastAsia="zh-CN"/>
              </w:rPr>
              <w:t>应急</w:t>
            </w:r>
            <w:r>
              <w:rPr>
                <w:rFonts w:hint="eastAsia" w:ascii="宋体" w:hAnsi="宋体"/>
                <w:bCs/>
                <w:color w:val="auto"/>
                <w:szCs w:val="21"/>
                <w:highlight w:val="none"/>
              </w:rPr>
              <w:t>措施和备品备件清单服务方案，方案到位具体可行计</w:t>
            </w:r>
            <w:r>
              <w:rPr>
                <w:rFonts w:hint="eastAsia" w:ascii="宋体" w:hAnsi="宋体"/>
                <w:bCs/>
                <w:color w:val="auto"/>
                <w:szCs w:val="21"/>
                <w:highlight w:val="none"/>
                <w:lang w:val="en-US" w:eastAsia="zh-CN"/>
              </w:rPr>
              <w:t>7</w:t>
            </w:r>
            <w:r>
              <w:rPr>
                <w:rFonts w:hint="eastAsia" w:ascii="宋体" w:hAnsi="宋体"/>
                <w:bCs/>
                <w:color w:val="auto"/>
                <w:szCs w:val="21"/>
                <w:highlight w:val="none"/>
              </w:rPr>
              <w:t>分，较完善较为可行计</w:t>
            </w:r>
            <w:r>
              <w:rPr>
                <w:rFonts w:hint="eastAsia" w:ascii="宋体" w:hAnsi="宋体"/>
                <w:bCs/>
                <w:color w:val="auto"/>
                <w:szCs w:val="21"/>
                <w:highlight w:val="none"/>
                <w:lang w:val="en-US" w:eastAsia="zh-CN"/>
              </w:rPr>
              <w:t>4</w:t>
            </w:r>
            <w:r>
              <w:rPr>
                <w:rFonts w:hint="eastAsia" w:ascii="宋体" w:hAnsi="宋体"/>
                <w:bCs/>
                <w:color w:val="auto"/>
                <w:szCs w:val="21"/>
                <w:highlight w:val="none"/>
              </w:rPr>
              <w:t>分，过于简单可行性一般计</w:t>
            </w:r>
            <w:r>
              <w:rPr>
                <w:rFonts w:hint="eastAsia" w:ascii="宋体" w:hAnsi="宋体"/>
                <w:bCs/>
                <w:color w:val="auto"/>
                <w:szCs w:val="21"/>
                <w:highlight w:val="none"/>
                <w:lang w:val="en-US" w:eastAsia="zh-CN"/>
              </w:rPr>
              <w:t>2</w:t>
            </w:r>
            <w:r>
              <w:rPr>
                <w:rFonts w:hint="eastAsia" w:ascii="宋体" w:hAnsi="宋体"/>
                <w:bCs/>
                <w:color w:val="auto"/>
                <w:szCs w:val="21"/>
                <w:highlight w:val="none"/>
              </w:rPr>
              <w:t>分，其他不得分。</w:t>
            </w:r>
          </w:p>
        </w:tc>
        <w:tc>
          <w:tcPr>
            <w:tcW w:w="405" w:type="dxa"/>
            <w:noWrap w:val="0"/>
            <w:vAlign w:val="center"/>
          </w:tcPr>
          <w:p>
            <w:pPr>
              <w:autoSpaceDN w:val="0"/>
              <w:textAlignment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jc w:val="center"/>
        </w:trPr>
        <w:tc>
          <w:tcPr>
            <w:tcW w:w="839" w:type="dxa"/>
            <w:vMerge w:val="restart"/>
            <w:noWrap w:val="0"/>
            <w:vAlign w:val="center"/>
          </w:tcPr>
          <w:p>
            <w:pPr>
              <w:autoSpaceDN w:val="0"/>
              <w:textAlignment w:val="center"/>
              <w:rPr>
                <w:rFonts w:hint="eastAsia" w:ascii="宋体" w:hAnsi="宋体"/>
                <w:bCs/>
                <w:color w:val="auto"/>
                <w:szCs w:val="21"/>
                <w:highlight w:val="none"/>
              </w:rPr>
            </w:pPr>
            <w:r>
              <w:rPr>
                <w:rFonts w:hint="eastAsia" w:ascii="宋体" w:hAnsi="宋体"/>
                <w:bCs/>
                <w:color w:val="auto"/>
                <w:szCs w:val="21"/>
                <w:highlight w:val="none"/>
              </w:rPr>
              <w:t>商务</w:t>
            </w:r>
          </w:p>
          <w:p>
            <w:pPr>
              <w:autoSpaceDN w:val="0"/>
              <w:textAlignment w:val="center"/>
              <w:rPr>
                <w:rFonts w:hint="eastAsia" w:ascii="宋体" w:hAnsi="宋体"/>
                <w:bCs/>
                <w:color w:val="auto"/>
                <w:szCs w:val="21"/>
                <w:highlight w:val="none"/>
              </w:rPr>
            </w:pPr>
            <w:r>
              <w:rPr>
                <w:rFonts w:hint="eastAsia" w:ascii="宋体" w:hAnsi="宋体"/>
                <w:bCs/>
                <w:color w:val="auto"/>
                <w:szCs w:val="21"/>
                <w:highlight w:val="none"/>
              </w:rPr>
              <w:t>部分</w:t>
            </w:r>
          </w:p>
          <w:p>
            <w:pPr>
              <w:autoSpaceDN w:val="0"/>
              <w:textAlignment w:val="center"/>
              <w:rPr>
                <w:rFonts w:ascii="宋体" w:hAnsi="宋体"/>
                <w:bCs/>
                <w:color w:val="auto"/>
                <w:szCs w:val="21"/>
                <w:highlight w:val="none"/>
              </w:rPr>
            </w:pPr>
            <w:r>
              <w:rPr>
                <w:rFonts w:hint="eastAsia" w:ascii="宋体" w:hAnsi="宋体"/>
                <w:bCs/>
                <w:color w:val="auto"/>
                <w:szCs w:val="21"/>
                <w:highlight w:val="none"/>
                <w:lang w:val="en-US" w:eastAsia="zh-CN"/>
              </w:rPr>
              <w:t>28</w:t>
            </w:r>
            <w:r>
              <w:rPr>
                <w:rFonts w:hint="eastAsia" w:ascii="宋体" w:hAnsi="宋体"/>
                <w:bCs/>
                <w:color w:val="auto"/>
                <w:szCs w:val="21"/>
                <w:highlight w:val="none"/>
              </w:rPr>
              <w:t>分</w:t>
            </w:r>
          </w:p>
        </w:tc>
        <w:tc>
          <w:tcPr>
            <w:tcW w:w="1103" w:type="dxa"/>
            <w:noWrap w:val="0"/>
            <w:vAlign w:val="center"/>
          </w:tcPr>
          <w:p>
            <w:pPr>
              <w:autoSpaceDN w:val="0"/>
              <w:jc w:val="center"/>
              <w:textAlignment w:val="center"/>
              <w:rPr>
                <w:rFonts w:ascii="宋体" w:hAnsi="宋体"/>
                <w:bCs/>
                <w:color w:val="auto"/>
                <w:szCs w:val="21"/>
                <w:highlight w:val="none"/>
              </w:rPr>
            </w:pPr>
            <w:r>
              <w:rPr>
                <w:rFonts w:hint="eastAsia" w:ascii="宋体" w:hAnsi="宋体"/>
                <w:bCs/>
                <w:color w:val="auto"/>
                <w:szCs w:val="21"/>
                <w:highlight w:val="none"/>
              </w:rPr>
              <w:t>售后服务</w:t>
            </w:r>
          </w:p>
          <w:p>
            <w:pPr>
              <w:autoSpaceDN w:val="0"/>
              <w:jc w:val="center"/>
              <w:textAlignment w:val="center"/>
              <w:rPr>
                <w:rFonts w:hint="eastAsia" w:ascii="宋体" w:hAnsi="宋体" w:eastAsia="宋体"/>
                <w:bCs/>
                <w:color w:val="auto"/>
                <w:szCs w:val="21"/>
                <w:highlight w:val="none"/>
                <w:lang w:eastAsia="zh-CN"/>
              </w:rPr>
            </w:pPr>
            <w:r>
              <w:rPr>
                <w:rFonts w:hint="eastAsia" w:ascii="宋体" w:hAnsi="宋体"/>
                <w:bCs/>
                <w:color w:val="auto"/>
                <w:szCs w:val="21"/>
                <w:highlight w:val="none"/>
              </w:rPr>
              <w:t>方案</w:t>
            </w:r>
            <w:r>
              <w:rPr>
                <w:rFonts w:hint="eastAsia" w:ascii="宋体" w:hAnsi="宋体"/>
                <w:bCs/>
                <w:color w:val="auto"/>
                <w:szCs w:val="21"/>
                <w:highlight w:val="none"/>
                <w:lang w:eastAsia="zh-CN"/>
              </w:rPr>
              <w:t>（</w:t>
            </w:r>
            <w:r>
              <w:rPr>
                <w:rFonts w:hint="eastAsia" w:ascii="宋体" w:hAnsi="宋体"/>
                <w:bCs/>
                <w:color w:val="auto"/>
                <w:szCs w:val="21"/>
                <w:highlight w:val="none"/>
              </w:rPr>
              <w:t>10分</w:t>
            </w:r>
            <w:r>
              <w:rPr>
                <w:rFonts w:hint="eastAsia" w:ascii="宋体" w:hAnsi="宋体"/>
                <w:bCs/>
                <w:color w:val="auto"/>
                <w:szCs w:val="21"/>
                <w:highlight w:val="none"/>
                <w:lang w:eastAsia="zh-CN"/>
              </w:rPr>
              <w:t>）</w:t>
            </w:r>
          </w:p>
        </w:tc>
        <w:tc>
          <w:tcPr>
            <w:tcW w:w="7100" w:type="dxa"/>
            <w:noWrap w:val="0"/>
            <w:vAlign w:val="center"/>
          </w:tcPr>
          <w:p>
            <w:pPr>
              <w:autoSpaceDN w:val="0"/>
              <w:textAlignment w:val="center"/>
              <w:rPr>
                <w:rFonts w:hint="eastAsia"/>
                <w:color w:val="auto"/>
                <w:highlight w:val="none"/>
              </w:rPr>
            </w:pPr>
            <w:r>
              <w:rPr>
                <w:rFonts w:hint="eastAsia"/>
                <w:color w:val="auto"/>
                <w:highlight w:val="none"/>
                <w:lang w:val="en-US" w:eastAsia="zh-CN"/>
              </w:rPr>
              <w:t>1.</w:t>
            </w:r>
            <w:r>
              <w:rPr>
                <w:rFonts w:hint="eastAsia"/>
                <w:color w:val="auto"/>
                <w:highlight w:val="none"/>
              </w:rPr>
              <w:t>投标人具有完善的售后服务方案、健全的售后服务体系、针对本项目培训方案售后服务方案</w:t>
            </w:r>
            <w:r>
              <w:rPr>
                <w:rFonts w:hint="eastAsia"/>
                <w:color w:val="auto"/>
                <w:highlight w:val="none"/>
                <w:lang w:eastAsia="zh-CN"/>
              </w:rPr>
              <w:t>完整</w:t>
            </w:r>
            <w:r>
              <w:rPr>
                <w:rFonts w:hint="eastAsia"/>
                <w:color w:val="auto"/>
                <w:highlight w:val="none"/>
              </w:rPr>
              <w:t>服务响应时间</w:t>
            </w:r>
            <w:r>
              <w:rPr>
                <w:rFonts w:hint="eastAsia"/>
                <w:color w:val="auto"/>
                <w:highlight w:val="none"/>
                <w:lang w:eastAsia="zh-CN"/>
              </w:rPr>
              <w:t>迅速</w:t>
            </w:r>
            <w:r>
              <w:rPr>
                <w:rFonts w:hint="eastAsia"/>
                <w:color w:val="auto"/>
                <w:highlight w:val="none"/>
              </w:rPr>
              <w:t>、技术人员配备</w:t>
            </w:r>
            <w:r>
              <w:rPr>
                <w:rFonts w:hint="eastAsia"/>
                <w:color w:val="auto"/>
                <w:highlight w:val="none"/>
                <w:lang w:eastAsia="zh-CN"/>
              </w:rPr>
              <w:t>完善，可行性高的计</w:t>
            </w:r>
            <w:r>
              <w:rPr>
                <w:rFonts w:hint="eastAsia"/>
                <w:color w:val="auto"/>
                <w:highlight w:val="none"/>
                <w:lang w:val="en-US" w:eastAsia="zh-CN"/>
              </w:rPr>
              <w:t>6分；</w:t>
            </w:r>
            <w:r>
              <w:rPr>
                <w:rFonts w:hint="eastAsia"/>
                <w:color w:val="auto"/>
                <w:highlight w:val="none"/>
              </w:rPr>
              <w:t>方案</w:t>
            </w:r>
            <w:r>
              <w:rPr>
                <w:rFonts w:hint="eastAsia"/>
                <w:color w:val="auto"/>
                <w:highlight w:val="none"/>
                <w:lang w:eastAsia="zh-CN"/>
              </w:rPr>
              <w:t>较</w:t>
            </w:r>
            <w:r>
              <w:rPr>
                <w:rFonts w:hint="eastAsia"/>
                <w:color w:val="auto"/>
                <w:highlight w:val="none"/>
              </w:rPr>
              <w:t>合理、及时、科学的计</w:t>
            </w:r>
            <w:r>
              <w:rPr>
                <w:rFonts w:hint="eastAsia"/>
                <w:color w:val="auto"/>
                <w:highlight w:val="none"/>
                <w:lang w:val="en-US" w:eastAsia="zh-CN"/>
              </w:rPr>
              <w:t>5</w:t>
            </w:r>
            <w:r>
              <w:rPr>
                <w:rFonts w:hint="eastAsia"/>
                <w:color w:val="auto"/>
                <w:highlight w:val="none"/>
              </w:rPr>
              <w:t>分；方案有内容不合理的计4分，方案经全体评委一致认定较差的计2分；未提供方案不计分。</w:t>
            </w:r>
          </w:p>
          <w:p>
            <w:pPr>
              <w:pStyle w:val="4"/>
              <w:rPr>
                <w:rFonts w:hint="default" w:eastAsia="宋体"/>
                <w:color w:val="auto"/>
                <w:highlight w:val="none"/>
                <w:lang w:val="en-US" w:eastAsia="zh-CN"/>
              </w:rPr>
            </w:pPr>
            <w:r>
              <w:rPr>
                <w:rFonts w:hint="eastAsia" w:ascii="Times New Roman" w:hAnsi="Times New Roman"/>
                <w:b w:val="0"/>
                <w:bCs w:val="0"/>
                <w:color w:val="auto"/>
                <w:kern w:val="2"/>
                <w:sz w:val="21"/>
                <w:szCs w:val="24"/>
                <w:highlight w:val="none"/>
                <w:lang w:val="en-US" w:eastAsia="zh-CN" w:bidi="ar-SA"/>
              </w:rPr>
              <w:t>2.项目质保期限满足采购文件要求的计2分，每增加一年加2分，满分4分。</w:t>
            </w:r>
          </w:p>
        </w:tc>
        <w:tc>
          <w:tcPr>
            <w:tcW w:w="405" w:type="dxa"/>
            <w:noWrap w:val="0"/>
            <w:vAlign w:val="center"/>
          </w:tcPr>
          <w:p>
            <w:pPr>
              <w:autoSpaceDN w:val="0"/>
              <w:textAlignment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jc w:val="center"/>
        </w:trPr>
        <w:tc>
          <w:tcPr>
            <w:tcW w:w="839" w:type="dxa"/>
            <w:vMerge w:val="continue"/>
            <w:noWrap w:val="0"/>
            <w:vAlign w:val="center"/>
          </w:tcPr>
          <w:p>
            <w:pPr>
              <w:autoSpaceDN w:val="0"/>
              <w:textAlignment w:val="center"/>
              <w:rPr>
                <w:rFonts w:hint="eastAsia" w:ascii="宋体" w:hAnsi="宋体"/>
                <w:bCs/>
                <w:color w:val="auto"/>
                <w:szCs w:val="21"/>
                <w:highlight w:val="none"/>
                <w:lang w:val="en-US" w:eastAsia="zh-CN"/>
              </w:rPr>
            </w:pPr>
          </w:p>
        </w:tc>
        <w:tc>
          <w:tcPr>
            <w:tcW w:w="1103" w:type="dxa"/>
            <w:vMerge w:val="restart"/>
            <w:noWrap w:val="0"/>
            <w:vAlign w:val="center"/>
          </w:tcPr>
          <w:p>
            <w:pPr>
              <w:autoSpaceDN w:val="0"/>
              <w:jc w:val="center"/>
              <w:textAlignment w:val="center"/>
              <w:rPr>
                <w:rFonts w:hint="default" w:ascii="宋体" w:hAnsi="宋体" w:eastAsia="宋体"/>
                <w:bCs/>
                <w:color w:val="auto"/>
                <w:szCs w:val="21"/>
                <w:highlight w:val="none"/>
                <w:lang w:val="en-US" w:eastAsia="zh-CN"/>
              </w:rPr>
            </w:pPr>
            <w:r>
              <w:rPr>
                <w:rFonts w:hint="eastAsia" w:ascii="宋体" w:hAnsi="宋体"/>
                <w:bCs/>
                <w:color w:val="auto"/>
                <w:szCs w:val="21"/>
                <w:highlight w:val="none"/>
                <w:lang w:val="en-US" w:eastAsia="zh-CN"/>
              </w:rPr>
              <w:t>质量认证（15分）</w:t>
            </w:r>
          </w:p>
        </w:tc>
        <w:tc>
          <w:tcPr>
            <w:tcW w:w="7100" w:type="dxa"/>
            <w:vMerge w:val="restart"/>
            <w:noWrap w:val="0"/>
            <w:vAlign w:val="center"/>
          </w:tcPr>
          <w:p>
            <w:pPr>
              <w:autoSpaceDN w:val="0"/>
              <w:textAlignment w:val="center"/>
              <w:rPr>
                <w:rFonts w:hint="eastAsia" w:ascii="宋体" w:hAnsi="宋体" w:cs="宋体"/>
                <w:color w:val="auto"/>
                <w:szCs w:val="21"/>
                <w:highlight w:val="none"/>
                <w:lang w:eastAsia="zh-CN"/>
              </w:rPr>
            </w:pPr>
            <w:r>
              <w:rPr>
                <w:rFonts w:hint="eastAsia" w:ascii="宋体" w:hAnsi="宋体" w:cs="宋体"/>
                <w:color w:val="auto"/>
                <w:szCs w:val="21"/>
                <w:highlight w:val="none"/>
              </w:rPr>
              <w:t>★液晶拼接必须采用分体式结构设计，支持屏体与驱动单元分开安装及拆卸，整体美观大方的同时最大程度降低项目后期运营维护成本及难度。提供现场演示或实物照片（结构+屏体）。计</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bCs/>
                <w:color w:val="auto"/>
                <w:szCs w:val="21"/>
                <w:highlight w:val="none"/>
              </w:rPr>
              <w:t>未提供的不计分。</w:t>
            </w:r>
          </w:p>
          <w:p>
            <w:pPr>
              <w:autoSpaceDN w:val="0"/>
              <w:textAlignment w:val="center"/>
              <w:rPr>
                <w:rFonts w:hint="eastAsia" w:ascii="宋体" w:hAnsi="宋体" w:cs="宋体"/>
                <w:color w:val="auto"/>
                <w:szCs w:val="21"/>
                <w:highlight w:val="none"/>
                <w:lang w:eastAsia="zh-CN"/>
              </w:rPr>
            </w:pPr>
            <w:r>
              <w:rPr>
                <w:rFonts w:hint="eastAsia" w:ascii="宋体" w:hAnsi="宋体" w:cs="宋体"/>
                <w:color w:val="auto"/>
                <w:szCs w:val="21"/>
                <w:highlight w:val="none"/>
              </w:rPr>
              <w:t>投标单位提供ISO4001环境体系认证证书计</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分</w:t>
            </w:r>
            <w:r>
              <w:rPr>
                <w:rFonts w:hint="eastAsia" w:ascii="宋体" w:hAnsi="宋体" w:cs="宋体"/>
                <w:color w:val="auto"/>
                <w:szCs w:val="21"/>
                <w:highlight w:val="none"/>
                <w:lang w:eastAsia="zh-CN"/>
              </w:rPr>
              <w:t>；</w:t>
            </w:r>
            <w:r>
              <w:rPr>
                <w:rFonts w:hint="eastAsia" w:ascii="宋体" w:hAnsi="宋体"/>
                <w:bCs/>
                <w:color w:val="auto"/>
                <w:szCs w:val="21"/>
                <w:highlight w:val="none"/>
              </w:rPr>
              <w:t>未提供的不计分。</w:t>
            </w:r>
          </w:p>
          <w:p>
            <w:pPr>
              <w:autoSpaceDN w:val="0"/>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rPr>
              <w:t>投标单位提供职业健康与安全管理体系认证计</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w:t>
            </w:r>
            <w:r>
              <w:rPr>
                <w:rFonts w:hint="eastAsia" w:ascii="宋体" w:hAnsi="宋体"/>
                <w:bCs/>
                <w:color w:val="auto"/>
                <w:szCs w:val="21"/>
                <w:highlight w:val="none"/>
              </w:rPr>
              <w:t>未提供的不计分。</w:t>
            </w:r>
          </w:p>
          <w:p>
            <w:pPr>
              <w:autoSpaceDN w:val="0"/>
              <w:textAlignment w:val="center"/>
              <w:rPr>
                <w:rFonts w:hint="eastAsia" w:ascii="宋体" w:hAnsi="宋体" w:eastAsia="宋体" w:cs="宋体"/>
                <w:color w:val="auto"/>
                <w:szCs w:val="21"/>
                <w:highlight w:val="none"/>
                <w:lang w:val="en-US" w:eastAsia="zh-CN"/>
              </w:rPr>
            </w:pPr>
            <w:r>
              <w:rPr>
                <w:rFonts w:hint="eastAsia" w:ascii="宋体" w:hAnsi="宋体" w:eastAsia="宋体" w:cs="宋体"/>
                <w:color w:val="auto"/>
                <w:szCs w:val="21"/>
                <w:highlight w:val="none"/>
                <w:lang w:val="en-US" w:eastAsia="zh-CN"/>
              </w:rPr>
              <w:t>★拼接单元具有便捷的拼接及调整装置，利于装拆和售后维护，提供国家级权威机构出具的证书</w:t>
            </w:r>
            <w:r>
              <w:rPr>
                <w:rFonts w:hint="eastAsia" w:ascii="宋体" w:hAnsi="宋体" w:cs="宋体"/>
                <w:color w:val="auto"/>
                <w:szCs w:val="21"/>
                <w:highlight w:val="none"/>
                <w:lang w:val="en-US" w:eastAsia="zh-CN"/>
              </w:rPr>
              <w:t>的计</w:t>
            </w:r>
            <w:r>
              <w:rPr>
                <w:rFonts w:hint="eastAsia" w:ascii="宋体" w:hAnsi="宋体" w:eastAsia="宋体" w:cs="宋体"/>
                <w:color w:val="auto"/>
                <w:szCs w:val="21"/>
                <w:highlight w:val="none"/>
                <w:lang w:val="en-US" w:eastAsia="zh-CN"/>
              </w:rPr>
              <w:t>3</w:t>
            </w:r>
            <w:r>
              <w:rPr>
                <w:rFonts w:hint="eastAsia" w:ascii="宋体" w:hAnsi="宋体" w:eastAsia="宋体" w:cs="宋体"/>
                <w:color w:val="auto"/>
                <w:szCs w:val="21"/>
                <w:highlight w:val="none"/>
              </w:rPr>
              <w:t>分</w:t>
            </w:r>
            <w:r>
              <w:rPr>
                <w:rFonts w:hint="eastAsia" w:ascii="宋体" w:hAnsi="宋体" w:eastAsia="宋体" w:cs="宋体"/>
                <w:color w:val="auto"/>
                <w:szCs w:val="21"/>
                <w:highlight w:val="none"/>
                <w:lang w:val="en-US" w:eastAsia="zh-CN"/>
              </w:rPr>
              <w:t>;</w:t>
            </w:r>
            <w:r>
              <w:rPr>
                <w:rFonts w:hint="eastAsia" w:ascii="宋体" w:hAnsi="宋体"/>
                <w:bCs/>
                <w:color w:val="auto"/>
                <w:szCs w:val="21"/>
                <w:highlight w:val="none"/>
              </w:rPr>
              <w:t>未提供的不计分。</w:t>
            </w:r>
          </w:p>
          <w:p>
            <w:pPr>
              <w:autoSpaceDN w:val="0"/>
              <w:textAlignment w:val="center"/>
              <w:rPr>
                <w:rFonts w:hint="eastAsia" w:ascii="宋体" w:hAnsi="宋体" w:cs="宋体"/>
                <w:color w:val="auto"/>
                <w:szCs w:val="21"/>
                <w:highlight w:val="none"/>
              </w:rPr>
            </w:pPr>
            <w:r>
              <w:rPr>
                <w:rFonts w:hint="eastAsia" w:ascii="宋体" w:hAnsi="宋体" w:eastAsia="宋体" w:cs="宋体"/>
                <w:color w:val="auto"/>
                <w:szCs w:val="21"/>
                <w:highlight w:val="none"/>
                <w:lang w:val="en-US" w:eastAsia="zh-CN"/>
              </w:rPr>
              <w:t>高清显示大屏智能互动控制系统软件著作权（国家版权局）3</w:t>
            </w:r>
            <w:r>
              <w:rPr>
                <w:rFonts w:hint="eastAsia" w:ascii="宋体" w:hAnsi="宋体" w:eastAsia="宋体" w:cs="宋体"/>
                <w:color w:val="auto"/>
                <w:szCs w:val="21"/>
                <w:highlight w:val="none"/>
              </w:rPr>
              <w:t>分。</w:t>
            </w:r>
            <w:r>
              <w:rPr>
                <w:rFonts w:hint="eastAsia" w:ascii="宋体" w:hAnsi="宋体"/>
                <w:bCs/>
                <w:color w:val="auto"/>
                <w:szCs w:val="21"/>
                <w:highlight w:val="none"/>
              </w:rPr>
              <w:t>未提供的不计分。</w:t>
            </w:r>
          </w:p>
        </w:tc>
        <w:tc>
          <w:tcPr>
            <w:tcW w:w="405" w:type="dxa"/>
            <w:noWrap w:val="0"/>
            <w:vAlign w:val="center"/>
          </w:tcPr>
          <w:p>
            <w:pPr>
              <w:autoSpaceDN w:val="0"/>
              <w:textAlignment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5" w:hRule="atLeast"/>
          <w:jc w:val="center"/>
        </w:trPr>
        <w:tc>
          <w:tcPr>
            <w:tcW w:w="839" w:type="dxa"/>
            <w:vMerge w:val="continue"/>
            <w:noWrap w:val="0"/>
            <w:vAlign w:val="center"/>
          </w:tcPr>
          <w:p>
            <w:pPr>
              <w:autoSpaceDN w:val="0"/>
              <w:textAlignment w:val="center"/>
              <w:rPr>
                <w:rFonts w:ascii="宋体" w:hAnsi="宋体"/>
                <w:bCs/>
                <w:color w:val="auto"/>
                <w:szCs w:val="21"/>
                <w:highlight w:val="none"/>
              </w:rPr>
            </w:pPr>
          </w:p>
        </w:tc>
        <w:tc>
          <w:tcPr>
            <w:tcW w:w="1103" w:type="dxa"/>
            <w:vMerge w:val="continue"/>
            <w:noWrap w:val="0"/>
            <w:vAlign w:val="center"/>
          </w:tcPr>
          <w:p>
            <w:pPr>
              <w:autoSpaceDN w:val="0"/>
              <w:jc w:val="center"/>
              <w:textAlignment w:val="center"/>
              <w:rPr>
                <w:rFonts w:hint="eastAsia" w:ascii="宋体" w:hAnsi="宋体" w:eastAsia="宋体" w:cs="宋体"/>
                <w:color w:val="auto"/>
                <w:szCs w:val="21"/>
                <w:highlight w:val="none"/>
                <w:lang w:eastAsia="zh-CN"/>
              </w:rPr>
            </w:pPr>
          </w:p>
        </w:tc>
        <w:tc>
          <w:tcPr>
            <w:tcW w:w="7100" w:type="dxa"/>
            <w:vMerge w:val="continue"/>
            <w:noWrap w:val="0"/>
            <w:vAlign w:val="center"/>
          </w:tcPr>
          <w:p>
            <w:pPr>
              <w:autoSpaceDN w:val="0"/>
              <w:textAlignment w:val="center"/>
              <w:rPr>
                <w:rFonts w:hint="eastAsia" w:ascii="宋体" w:hAnsi="宋体" w:cs="宋体"/>
                <w:color w:val="auto"/>
                <w:szCs w:val="21"/>
                <w:highlight w:val="none"/>
              </w:rPr>
            </w:pPr>
          </w:p>
        </w:tc>
        <w:tc>
          <w:tcPr>
            <w:tcW w:w="405" w:type="dxa"/>
            <w:noWrap w:val="0"/>
            <w:vAlign w:val="center"/>
          </w:tcPr>
          <w:p>
            <w:pPr>
              <w:autoSpaceDN w:val="0"/>
              <w:textAlignment w:val="center"/>
              <w:rPr>
                <w:rFonts w:ascii="宋体" w:hAnsi="宋体"/>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8" w:hRule="exact"/>
          <w:jc w:val="center"/>
        </w:trPr>
        <w:tc>
          <w:tcPr>
            <w:tcW w:w="839" w:type="dxa"/>
            <w:vMerge w:val="continue"/>
            <w:noWrap w:val="0"/>
            <w:vAlign w:val="center"/>
          </w:tcPr>
          <w:p>
            <w:pPr>
              <w:autoSpaceDN w:val="0"/>
              <w:textAlignment w:val="center"/>
              <w:rPr>
                <w:rFonts w:ascii="宋体" w:hAnsi="宋体"/>
                <w:bCs/>
                <w:color w:val="auto"/>
                <w:szCs w:val="21"/>
                <w:highlight w:val="none"/>
              </w:rPr>
            </w:pPr>
          </w:p>
        </w:tc>
        <w:tc>
          <w:tcPr>
            <w:tcW w:w="1103" w:type="dxa"/>
            <w:noWrap w:val="0"/>
            <w:vAlign w:val="center"/>
          </w:tcPr>
          <w:p>
            <w:pPr>
              <w:autoSpaceDN w:val="0"/>
              <w:textAlignment w:val="center"/>
              <w:rPr>
                <w:rFonts w:hint="eastAsia" w:ascii="宋体" w:hAnsi="宋体" w:eastAsia="宋体"/>
                <w:bCs/>
                <w:color w:val="auto"/>
                <w:szCs w:val="21"/>
                <w:highlight w:val="none"/>
                <w:lang w:eastAsia="zh-CN"/>
              </w:rPr>
            </w:pPr>
            <w:r>
              <w:rPr>
                <w:rFonts w:hint="eastAsia" w:ascii="宋体" w:hAnsi="宋体"/>
                <w:bCs/>
                <w:color w:val="auto"/>
                <w:szCs w:val="21"/>
                <w:highlight w:val="none"/>
              </w:rPr>
              <w:t>标书制作</w:t>
            </w:r>
            <w:r>
              <w:rPr>
                <w:rFonts w:hint="eastAsia" w:ascii="宋体" w:hAnsi="宋体"/>
                <w:bCs/>
                <w:color w:val="auto"/>
                <w:szCs w:val="21"/>
                <w:highlight w:val="none"/>
                <w:lang w:eastAsia="zh-CN"/>
              </w:rPr>
              <w:t>（</w:t>
            </w:r>
            <w:r>
              <w:rPr>
                <w:rFonts w:hint="eastAsia" w:ascii="宋体" w:hAnsi="宋体"/>
                <w:bCs/>
                <w:color w:val="auto"/>
                <w:szCs w:val="21"/>
                <w:highlight w:val="none"/>
                <w:lang w:val="en-US" w:eastAsia="zh-CN"/>
              </w:rPr>
              <w:t>3</w:t>
            </w:r>
            <w:r>
              <w:rPr>
                <w:rFonts w:hint="eastAsia" w:ascii="宋体" w:hAnsi="宋体"/>
                <w:bCs/>
                <w:color w:val="auto"/>
                <w:szCs w:val="21"/>
                <w:highlight w:val="none"/>
              </w:rPr>
              <w:t>分</w:t>
            </w:r>
            <w:r>
              <w:rPr>
                <w:rFonts w:hint="eastAsia" w:ascii="宋体" w:hAnsi="宋体"/>
                <w:bCs/>
                <w:color w:val="auto"/>
                <w:szCs w:val="21"/>
                <w:highlight w:val="none"/>
                <w:lang w:eastAsia="zh-CN"/>
              </w:rPr>
              <w:t>）</w:t>
            </w:r>
          </w:p>
        </w:tc>
        <w:tc>
          <w:tcPr>
            <w:tcW w:w="7100" w:type="dxa"/>
            <w:noWrap w:val="0"/>
            <w:vAlign w:val="center"/>
          </w:tcPr>
          <w:p>
            <w:pPr>
              <w:autoSpaceDN w:val="0"/>
              <w:textAlignment w:val="center"/>
              <w:rPr>
                <w:rFonts w:ascii="宋体" w:hAnsi="宋体"/>
                <w:bCs/>
                <w:color w:val="auto"/>
                <w:szCs w:val="21"/>
                <w:highlight w:val="none"/>
              </w:rPr>
            </w:pPr>
            <w:r>
              <w:rPr>
                <w:rFonts w:hint="eastAsia" w:ascii="宋体" w:hAnsi="宋体"/>
                <w:bCs/>
                <w:color w:val="auto"/>
                <w:szCs w:val="21"/>
                <w:highlight w:val="none"/>
              </w:rPr>
              <w:t>投标文件按招标文件规定的格式、顺序编制，有目录、编页码，装订成册，书面整洁无涂改，没有缺漏项，价格数量等计算准确的，计</w:t>
            </w:r>
            <w:r>
              <w:rPr>
                <w:rFonts w:hint="eastAsia" w:ascii="宋体" w:hAnsi="宋体"/>
                <w:bCs/>
                <w:color w:val="auto"/>
                <w:szCs w:val="21"/>
                <w:highlight w:val="none"/>
                <w:lang w:val="en-US" w:eastAsia="zh-CN"/>
              </w:rPr>
              <w:t>3</w:t>
            </w:r>
            <w:r>
              <w:rPr>
                <w:rFonts w:hint="eastAsia" w:ascii="宋体" w:hAnsi="宋体"/>
                <w:bCs/>
                <w:color w:val="auto"/>
                <w:szCs w:val="21"/>
                <w:highlight w:val="none"/>
              </w:rPr>
              <w:t>分。不符合要求的，每处扣</w:t>
            </w:r>
            <w:r>
              <w:rPr>
                <w:rFonts w:ascii="宋体" w:hAnsi="宋体"/>
                <w:bCs/>
                <w:color w:val="auto"/>
                <w:szCs w:val="21"/>
                <w:highlight w:val="none"/>
              </w:rPr>
              <w:t>0.</w:t>
            </w:r>
            <w:r>
              <w:rPr>
                <w:rFonts w:hint="eastAsia" w:ascii="宋体" w:hAnsi="宋体"/>
                <w:bCs/>
                <w:color w:val="auto"/>
                <w:szCs w:val="21"/>
                <w:highlight w:val="none"/>
              </w:rPr>
              <w:t>5分，扣完为止。</w:t>
            </w:r>
          </w:p>
        </w:tc>
        <w:tc>
          <w:tcPr>
            <w:tcW w:w="405" w:type="dxa"/>
            <w:noWrap w:val="0"/>
            <w:vAlign w:val="center"/>
          </w:tcPr>
          <w:p>
            <w:pPr>
              <w:autoSpaceDN w:val="0"/>
              <w:textAlignment w:val="center"/>
              <w:rPr>
                <w:rFonts w:ascii="宋体" w:hAnsi="宋体"/>
                <w:bCs/>
                <w:color w:val="auto"/>
                <w:szCs w:val="21"/>
                <w:highlight w:val="none"/>
              </w:rPr>
            </w:pPr>
          </w:p>
        </w:tc>
      </w:tr>
    </w:tbl>
    <w:p>
      <w:pPr>
        <w:pStyle w:val="7"/>
        <w:rPr>
          <w:rFonts w:hint="eastAsia"/>
        </w:rPr>
      </w:pPr>
    </w:p>
    <w:p>
      <w:pPr>
        <w:spacing w:line="360" w:lineRule="exact"/>
        <w:rPr>
          <w:rFonts w:ascii="宋体" w:hAnsi="宋体"/>
          <w:b/>
          <w:sz w:val="24"/>
        </w:rPr>
      </w:pPr>
      <w:r>
        <w:rPr>
          <w:rFonts w:hint="eastAsia" w:ascii="宋体" w:hAnsi="宋体"/>
          <w:b/>
          <w:sz w:val="24"/>
        </w:rPr>
        <w:t>十二、其他需要说明的事项</w:t>
      </w:r>
    </w:p>
    <w:p>
      <w:pPr>
        <w:spacing w:line="360" w:lineRule="exact"/>
        <w:ind w:firstLine="480" w:firstLineChars="200"/>
        <w:rPr>
          <w:rFonts w:ascii="宋体" w:hAnsi="宋体"/>
          <w:sz w:val="24"/>
        </w:rPr>
      </w:pPr>
      <w:r>
        <w:rPr>
          <w:rFonts w:hint="eastAsia" w:ascii="宋体" w:hAnsi="宋体"/>
          <w:sz w:val="24"/>
        </w:rPr>
        <w:t>1、投标单位应充分理解文件的全部内容。</w:t>
      </w:r>
    </w:p>
    <w:p>
      <w:pPr>
        <w:spacing w:line="360" w:lineRule="exact"/>
        <w:ind w:firstLine="480" w:firstLineChars="200"/>
        <w:rPr>
          <w:rFonts w:ascii="宋体" w:hAnsi="宋体"/>
          <w:sz w:val="24"/>
        </w:rPr>
      </w:pPr>
      <w:r>
        <w:rPr>
          <w:rFonts w:hint="eastAsia" w:ascii="宋体" w:hAnsi="宋体"/>
          <w:sz w:val="24"/>
        </w:rPr>
        <w:t>2、投标单位不得转让标书。</w:t>
      </w:r>
    </w:p>
    <w:p>
      <w:pPr>
        <w:spacing w:line="360" w:lineRule="exact"/>
        <w:ind w:firstLine="480" w:firstLineChars="200"/>
        <w:rPr>
          <w:rFonts w:ascii="宋体" w:hAnsi="宋体"/>
          <w:sz w:val="24"/>
        </w:rPr>
      </w:pPr>
      <w:r>
        <w:rPr>
          <w:rFonts w:hint="eastAsia" w:ascii="宋体" w:hAnsi="宋体"/>
          <w:sz w:val="24"/>
        </w:rPr>
        <w:t>3、投标单位对招标文件内容的修改或签复投标单位提出的问题，将以招标补充文件的形式书面通知所有投标单位；招标补充文件与招标文件具有同等法律效力。当文件时间、内容有矛盾时，以日期在后的文件为准。</w:t>
      </w:r>
    </w:p>
    <w:p>
      <w:pPr>
        <w:spacing w:line="360" w:lineRule="exact"/>
        <w:ind w:firstLine="480" w:firstLineChars="200"/>
        <w:rPr>
          <w:rFonts w:ascii="宋体" w:hAnsi="宋体"/>
          <w:sz w:val="24"/>
        </w:rPr>
      </w:pPr>
      <w:r>
        <w:rPr>
          <w:rFonts w:hint="eastAsia" w:ascii="宋体" w:hAnsi="宋体"/>
          <w:sz w:val="24"/>
        </w:rPr>
        <w:t>4、投标单位在开标前或开标后要求撤销投标文件，必须提出书面申请并加盖公章。</w:t>
      </w:r>
    </w:p>
    <w:p>
      <w:pPr>
        <w:spacing w:line="360" w:lineRule="exact"/>
        <w:rPr>
          <w:rFonts w:hint="eastAsia" w:ascii="宋体" w:hAnsi="宋体"/>
          <w:b/>
          <w:sz w:val="28"/>
          <w:szCs w:val="28"/>
        </w:rPr>
      </w:pPr>
    </w:p>
    <w:p>
      <w:pPr>
        <w:spacing w:line="360" w:lineRule="exact"/>
        <w:rPr>
          <w:rFonts w:hint="eastAsia" w:ascii="宋体" w:hAnsi="宋体"/>
          <w:b/>
          <w:sz w:val="28"/>
          <w:szCs w:val="28"/>
        </w:rPr>
      </w:pPr>
    </w:p>
    <w:p>
      <w:pPr>
        <w:spacing w:line="360" w:lineRule="exact"/>
        <w:rPr>
          <w:rFonts w:hint="eastAsia" w:ascii="宋体" w:hAnsi="宋体"/>
          <w:b/>
          <w:sz w:val="28"/>
          <w:szCs w:val="28"/>
        </w:rPr>
      </w:pPr>
    </w:p>
    <w:p>
      <w:pPr>
        <w:spacing w:line="360" w:lineRule="exact"/>
        <w:rPr>
          <w:rFonts w:hint="eastAsia" w:ascii="宋体" w:hAnsi="宋体"/>
          <w:b/>
          <w:sz w:val="28"/>
          <w:szCs w:val="28"/>
        </w:rPr>
      </w:pPr>
    </w:p>
    <w:p>
      <w:pPr>
        <w:spacing w:line="360" w:lineRule="exact"/>
        <w:rPr>
          <w:rFonts w:hint="eastAsia" w:ascii="宋体" w:hAnsi="宋体"/>
          <w:b/>
          <w:sz w:val="28"/>
          <w:szCs w:val="28"/>
        </w:rPr>
      </w:pPr>
    </w:p>
    <w:p>
      <w:pPr>
        <w:spacing w:line="360" w:lineRule="exact"/>
        <w:rPr>
          <w:rFonts w:hint="eastAsia" w:ascii="宋体" w:hAnsi="宋体"/>
          <w:b/>
          <w:sz w:val="28"/>
          <w:szCs w:val="28"/>
        </w:rPr>
      </w:pPr>
    </w:p>
    <w:p>
      <w:pPr>
        <w:pStyle w:val="13"/>
        <w:rPr>
          <w:rFonts w:hint="eastAsia" w:ascii="宋体" w:hAnsi="宋体" w:eastAsia="宋体"/>
          <w:b/>
          <w:sz w:val="28"/>
          <w:szCs w:val="28"/>
        </w:rPr>
      </w:pPr>
    </w:p>
    <w:p>
      <w:pPr>
        <w:pStyle w:val="13"/>
        <w:rPr>
          <w:rFonts w:hint="eastAsia" w:ascii="宋体" w:hAnsi="宋体" w:eastAsia="宋体"/>
          <w:b/>
          <w:sz w:val="28"/>
          <w:szCs w:val="28"/>
        </w:rPr>
      </w:pPr>
    </w:p>
    <w:p>
      <w:pPr>
        <w:pStyle w:val="13"/>
        <w:rPr>
          <w:rFonts w:hint="eastAsia" w:ascii="宋体" w:hAnsi="宋体" w:eastAsia="宋体"/>
          <w:b/>
          <w:sz w:val="28"/>
          <w:szCs w:val="28"/>
        </w:rPr>
      </w:pPr>
    </w:p>
    <w:p>
      <w:pPr>
        <w:pStyle w:val="13"/>
        <w:rPr>
          <w:rFonts w:hint="eastAsia" w:ascii="宋体" w:hAnsi="宋体" w:eastAsia="宋体"/>
          <w:b/>
          <w:sz w:val="28"/>
          <w:szCs w:val="28"/>
        </w:rPr>
      </w:pPr>
    </w:p>
    <w:p>
      <w:pPr>
        <w:pStyle w:val="13"/>
        <w:rPr>
          <w:rFonts w:hint="eastAsia" w:ascii="宋体" w:hAnsi="宋体" w:eastAsia="宋体"/>
          <w:b/>
          <w:sz w:val="28"/>
          <w:szCs w:val="28"/>
        </w:rPr>
      </w:pPr>
    </w:p>
    <w:p>
      <w:pPr>
        <w:pStyle w:val="13"/>
        <w:rPr>
          <w:rFonts w:hint="eastAsia" w:ascii="宋体" w:hAnsi="宋体" w:eastAsia="宋体"/>
          <w:b/>
          <w:sz w:val="28"/>
          <w:szCs w:val="28"/>
        </w:rPr>
      </w:pPr>
    </w:p>
    <w:p>
      <w:pPr>
        <w:pStyle w:val="13"/>
        <w:rPr>
          <w:rFonts w:hint="eastAsia" w:ascii="宋体" w:hAnsi="宋体" w:eastAsia="宋体"/>
          <w:b/>
          <w:sz w:val="28"/>
          <w:szCs w:val="28"/>
        </w:rPr>
      </w:pPr>
    </w:p>
    <w:p>
      <w:pPr>
        <w:pStyle w:val="13"/>
        <w:rPr>
          <w:rFonts w:hint="eastAsia" w:ascii="宋体" w:hAnsi="宋体" w:eastAsia="宋体"/>
          <w:b/>
          <w:sz w:val="28"/>
          <w:szCs w:val="28"/>
        </w:rPr>
      </w:pPr>
    </w:p>
    <w:p>
      <w:pPr>
        <w:pStyle w:val="13"/>
        <w:rPr>
          <w:rFonts w:hint="eastAsia" w:ascii="宋体" w:hAnsi="宋体" w:eastAsia="宋体"/>
          <w:b/>
          <w:sz w:val="28"/>
          <w:szCs w:val="28"/>
        </w:rPr>
      </w:pPr>
    </w:p>
    <w:p>
      <w:pPr>
        <w:pStyle w:val="13"/>
        <w:rPr>
          <w:rFonts w:hint="eastAsia" w:ascii="宋体" w:hAnsi="宋体" w:eastAsia="宋体"/>
          <w:b/>
          <w:sz w:val="28"/>
          <w:szCs w:val="28"/>
        </w:rPr>
      </w:pPr>
    </w:p>
    <w:p>
      <w:pPr>
        <w:spacing w:line="360" w:lineRule="exact"/>
        <w:rPr>
          <w:rFonts w:hint="eastAsia" w:ascii="宋体" w:hAnsi="宋体"/>
          <w:b/>
          <w:sz w:val="28"/>
          <w:szCs w:val="28"/>
        </w:rPr>
      </w:pPr>
    </w:p>
    <w:p>
      <w:pPr>
        <w:pStyle w:val="13"/>
        <w:rPr>
          <w:rFonts w:hint="eastAsia" w:ascii="宋体" w:hAnsi="宋体"/>
          <w:b/>
          <w:sz w:val="28"/>
          <w:szCs w:val="28"/>
        </w:rPr>
      </w:pPr>
    </w:p>
    <w:p>
      <w:pPr>
        <w:pStyle w:val="13"/>
        <w:rPr>
          <w:rFonts w:hint="eastAsia" w:ascii="宋体" w:hAnsi="宋体"/>
          <w:b/>
          <w:sz w:val="28"/>
          <w:szCs w:val="28"/>
        </w:rPr>
      </w:pPr>
    </w:p>
    <w:p>
      <w:pPr>
        <w:pStyle w:val="13"/>
        <w:rPr>
          <w:rFonts w:hint="eastAsia" w:ascii="宋体" w:hAnsi="宋体"/>
          <w:b/>
          <w:sz w:val="28"/>
          <w:szCs w:val="28"/>
        </w:rPr>
      </w:pPr>
    </w:p>
    <w:p>
      <w:pPr>
        <w:pStyle w:val="13"/>
        <w:numPr>
          <w:ilvl w:val="0"/>
          <w:numId w:val="1"/>
        </w:numPr>
        <w:jc w:val="center"/>
        <w:rPr>
          <w:rFonts w:hint="eastAsia" w:ascii="宋体" w:hAnsi="宋体"/>
          <w:b/>
          <w:sz w:val="28"/>
          <w:szCs w:val="28"/>
        </w:rPr>
      </w:pPr>
      <w:r>
        <w:rPr>
          <w:rFonts w:hint="eastAsia" w:ascii="宋体" w:hAnsi="宋体"/>
          <w:b/>
          <w:sz w:val="28"/>
          <w:szCs w:val="28"/>
          <w:lang w:eastAsia="zh-CN"/>
        </w:rPr>
        <w:t>学生招聘室拼接屏项目</w:t>
      </w:r>
      <w:r>
        <w:rPr>
          <w:rFonts w:hint="eastAsia" w:ascii="宋体" w:hAnsi="宋体"/>
          <w:b/>
          <w:sz w:val="28"/>
          <w:szCs w:val="28"/>
        </w:rPr>
        <w:t>参数要求</w:t>
      </w:r>
    </w:p>
    <w:tbl>
      <w:tblPr>
        <w:tblStyle w:val="10"/>
        <w:tblpPr w:leftFromText="180" w:rightFromText="180" w:vertAnchor="text" w:horzAnchor="page" w:tblpX="1072" w:tblpY="607"/>
        <w:tblOverlap w:val="never"/>
        <w:tblW w:w="9458" w:type="dxa"/>
        <w:tblInd w:w="0" w:type="dxa"/>
        <w:tblLayout w:type="fixed"/>
        <w:tblCellMar>
          <w:top w:w="15" w:type="dxa"/>
          <w:left w:w="15" w:type="dxa"/>
          <w:bottom w:w="15" w:type="dxa"/>
          <w:right w:w="15" w:type="dxa"/>
        </w:tblCellMar>
      </w:tblPr>
      <w:tblGrid>
        <w:gridCol w:w="690"/>
        <w:gridCol w:w="982"/>
        <w:gridCol w:w="5700"/>
        <w:gridCol w:w="900"/>
        <w:gridCol w:w="1186"/>
      </w:tblGrid>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C6E0B4"/>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序号</w:t>
            </w:r>
          </w:p>
        </w:tc>
        <w:tc>
          <w:tcPr>
            <w:tcW w:w="982" w:type="dxa"/>
            <w:tcBorders>
              <w:top w:val="single" w:color="000000" w:sz="4" w:space="0"/>
              <w:left w:val="single" w:color="000000" w:sz="4" w:space="0"/>
              <w:bottom w:val="single" w:color="000000" w:sz="4" w:space="0"/>
              <w:right w:val="single" w:color="000000" w:sz="4" w:space="0"/>
            </w:tcBorders>
            <w:shd w:val="clear" w:color="auto" w:fill="C6E0B4"/>
            <w:vAlign w:val="center"/>
          </w:tcPr>
          <w:p>
            <w:pPr>
              <w:widowControl/>
              <w:adjustRightInd w:val="0"/>
              <w:snapToGrid w:val="0"/>
              <w:spacing w:line="240" w:lineRule="auto"/>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产品名称</w:t>
            </w:r>
          </w:p>
        </w:tc>
        <w:tc>
          <w:tcPr>
            <w:tcW w:w="5700" w:type="dxa"/>
            <w:tcBorders>
              <w:top w:val="single" w:color="000000" w:sz="4" w:space="0"/>
              <w:left w:val="single" w:color="000000" w:sz="4" w:space="0"/>
              <w:bottom w:val="single" w:color="000000" w:sz="4" w:space="0"/>
              <w:right w:val="single" w:color="000000" w:sz="4" w:space="0"/>
            </w:tcBorders>
            <w:shd w:val="clear" w:color="auto" w:fill="C6E0B4"/>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规格参数</w:t>
            </w:r>
          </w:p>
        </w:tc>
        <w:tc>
          <w:tcPr>
            <w:tcW w:w="900" w:type="dxa"/>
            <w:tcBorders>
              <w:top w:val="single" w:color="000000" w:sz="4" w:space="0"/>
              <w:left w:val="single" w:color="000000" w:sz="4" w:space="0"/>
              <w:bottom w:val="single" w:color="000000" w:sz="4" w:space="0"/>
              <w:right w:val="single" w:color="000000" w:sz="4" w:space="0"/>
            </w:tcBorders>
            <w:shd w:val="clear" w:color="auto" w:fill="C6E0B4"/>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数量</w:t>
            </w:r>
          </w:p>
        </w:tc>
        <w:tc>
          <w:tcPr>
            <w:tcW w:w="1186" w:type="dxa"/>
            <w:tcBorders>
              <w:top w:val="single" w:color="000000" w:sz="4" w:space="0"/>
              <w:left w:val="single" w:color="000000" w:sz="4" w:space="0"/>
              <w:bottom w:val="single" w:color="000000" w:sz="4" w:space="0"/>
              <w:right w:val="single" w:color="000000" w:sz="4" w:space="0"/>
            </w:tcBorders>
            <w:shd w:val="clear" w:color="auto" w:fill="C6E0B4"/>
            <w:vAlign w:val="center"/>
          </w:tcPr>
          <w:p>
            <w:pPr>
              <w:widowControl/>
              <w:adjustRightInd w:val="0"/>
              <w:snapToGrid w:val="0"/>
              <w:spacing w:line="240" w:lineRule="auto"/>
              <w:jc w:val="center"/>
              <w:rPr>
                <w:rFonts w:hint="eastAsia" w:ascii="宋体" w:hAnsi="宋体" w:eastAsia="宋体" w:cs="宋体"/>
                <w:b w:val="0"/>
                <w:bCs w:val="0"/>
                <w:color w:val="000000"/>
                <w:kern w:val="0"/>
                <w:sz w:val="21"/>
                <w:szCs w:val="21"/>
              </w:rPr>
            </w:pPr>
            <w:r>
              <w:rPr>
                <w:rFonts w:hint="eastAsia" w:ascii="宋体" w:hAnsi="宋体" w:eastAsia="宋体" w:cs="宋体"/>
                <w:b w:val="0"/>
                <w:bCs w:val="0"/>
                <w:color w:val="000000"/>
                <w:kern w:val="0"/>
                <w:sz w:val="21"/>
                <w:szCs w:val="21"/>
              </w:rPr>
              <w:t>单位</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auto"/>
              <w:jc w:val="center"/>
              <w:rPr>
                <w:rFonts w:hint="eastAsia" w:ascii="仿宋" w:hAnsi="仿宋" w:eastAsia="仿宋" w:cs="仿宋"/>
                <w:b w:val="0"/>
                <w:bCs w:val="0"/>
                <w:color w:val="000000"/>
                <w:kern w:val="0"/>
                <w:sz w:val="18"/>
                <w:szCs w:val="18"/>
                <w:lang w:val="en-US" w:eastAsia="zh-CN"/>
              </w:rPr>
            </w:pPr>
            <w:r>
              <w:rPr>
                <w:rFonts w:hint="eastAsia" w:ascii="仿宋" w:hAnsi="仿宋" w:eastAsia="仿宋" w:cs="仿宋"/>
                <w:b w:val="0"/>
                <w:bCs w:val="0"/>
                <w:color w:val="000000"/>
                <w:kern w:val="0"/>
                <w:sz w:val="18"/>
                <w:szCs w:val="18"/>
                <w:lang w:val="en-US" w:eastAsia="zh-CN"/>
              </w:rPr>
              <w:t>1</w:t>
            </w:r>
          </w:p>
        </w:tc>
        <w:tc>
          <w:tcPr>
            <w:tcW w:w="9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拼接屏</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rPr>
              <w:t>灰白木色三胺板桌面，基材选用25mm厚中密度板，强度高，不变形，承重性强，所有材料均经过防虫，防腐等化学处理,桌面打出线圆孔.前档板落地，每位带PVC键盘架和活动主机柜个一个。桌椅尺寸约：L1200×W600×H750mm）含标准办公坐椅和插线板一套。</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rPr>
              <w:t>6</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rPr>
              <w:t>套</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auto"/>
              <w:jc w:val="center"/>
              <w:rPr>
                <w:rFonts w:hint="eastAsia" w:ascii="仿宋" w:hAnsi="仿宋" w:eastAsia="仿宋" w:cs="仿宋"/>
                <w:b w:val="0"/>
                <w:bCs w:val="0"/>
                <w:color w:val="000000"/>
                <w:kern w:val="0"/>
                <w:sz w:val="18"/>
                <w:szCs w:val="18"/>
                <w:lang w:eastAsia="zh-CN"/>
              </w:rPr>
            </w:pPr>
            <w:r>
              <w:rPr>
                <w:rFonts w:hint="eastAsia" w:ascii="仿宋" w:hAnsi="仿宋" w:eastAsia="仿宋" w:cs="仿宋"/>
                <w:b w:val="0"/>
                <w:bCs w:val="0"/>
                <w:color w:val="000000"/>
                <w:kern w:val="0"/>
                <w:sz w:val="18"/>
                <w:szCs w:val="18"/>
                <w:lang w:val="en-US" w:eastAsia="zh-CN"/>
              </w:rPr>
              <w:t>2</w:t>
            </w:r>
          </w:p>
        </w:tc>
        <w:tc>
          <w:tcPr>
            <w:tcW w:w="9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支架</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1.无线手持终端</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处理器：PXA320 @624MHz 256M/1G</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操作系统：CE系统</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扩展槽：SD/MMC卡槽 8G</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无线：802.11a/b/g</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BT 2.1 EDR classII</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支持：SE950 SE4500SR 752X480</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耳机接口、扬声器、麦克风、蓝牙耳机</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防护等级：IP54</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1.2米跌落 500次0.5米滚动</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操作温度：-10至50度</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屏幕：3英寸彩色320X320</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sz w:val="18"/>
                <w:szCs w:val="18"/>
              </w:rPr>
            </w:pPr>
            <w:r>
              <w:rPr>
                <w:rFonts w:hint="eastAsia" w:ascii="仿宋" w:hAnsi="仿宋" w:eastAsia="仿宋" w:cs="仿宋"/>
                <w:b w:val="0"/>
                <w:bCs w:val="0"/>
                <w:sz w:val="18"/>
                <w:szCs w:val="18"/>
              </w:rPr>
              <w:t>电池容量：标准的：可充电式锂离子电池，4800mAh原装充电座键盘：38键</w:t>
            </w:r>
          </w:p>
          <w:p>
            <w:pPr>
              <w:pStyle w:val="9"/>
              <w:spacing w:line="240" w:lineRule="auto"/>
              <w:ind w:left="0" w:leftChars="0" w:firstLine="0" w:firstLineChars="0"/>
              <w:rPr>
                <w:rFonts w:hint="eastAsia" w:ascii="仿宋" w:hAnsi="仿宋" w:eastAsia="仿宋" w:cs="仿宋"/>
                <w:b w:val="0"/>
                <w:bCs w:val="0"/>
                <w:sz w:val="18"/>
                <w:szCs w:val="18"/>
                <w:lang w:val="en-US" w:eastAsia="zh-CN"/>
              </w:rPr>
            </w:pPr>
            <w:r>
              <w:rPr>
                <w:rFonts w:hint="eastAsia" w:ascii="仿宋" w:hAnsi="仿宋" w:eastAsia="仿宋" w:cs="仿宋"/>
                <w:b w:val="0"/>
                <w:bCs w:val="0"/>
                <w:color w:val="000000"/>
                <w:kern w:val="0"/>
                <w:sz w:val="18"/>
                <w:szCs w:val="18"/>
                <w:lang w:bidi="ar"/>
              </w:rPr>
              <w:t>▲</w:t>
            </w:r>
            <w:r>
              <w:rPr>
                <w:rFonts w:hint="eastAsia" w:ascii="仿宋" w:hAnsi="仿宋" w:eastAsia="仿宋" w:cs="仿宋"/>
                <w:b w:val="0"/>
                <w:bCs w:val="0"/>
                <w:color w:val="000000"/>
                <w:kern w:val="0"/>
                <w:sz w:val="18"/>
                <w:szCs w:val="18"/>
                <w:lang w:val="en-US" w:eastAsia="zh-CN" w:bidi="ar"/>
              </w:rPr>
              <w:t>实现</w:t>
            </w:r>
            <w:r>
              <w:rPr>
                <w:rFonts w:hint="eastAsia" w:ascii="仿宋" w:hAnsi="仿宋" w:eastAsia="仿宋" w:cs="仿宋"/>
                <w:b w:val="0"/>
                <w:bCs w:val="0"/>
                <w:sz w:val="18"/>
                <w:szCs w:val="18"/>
                <w:lang w:val="en-US" w:eastAsia="zh-CN"/>
              </w:rPr>
              <w:t>手持终端与中物联考试平台系统对接集成</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rPr>
              <w:t>6</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rPr>
              <w:t>台</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auto"/>
              <w:jc w:val="center"/>
              <w:rPr>
                <w:rFonts w:hint="eastAsia" w:ascii="仿宋" w:hAnsi="仿宋" w:eastAsia="仿宋" w:cs="仿宋"/>
                <w:b w:val="0"/>
                <w:bCs w:val="0"/>
                <w:color w:val="000000"/>
                <w:kern w:val="0"/>
                <w:sz w:val="18"/>
                <w:szCs w:val="18"/>
                <w:lang w:eastAsia="zh-CN"/>
              </w:rPr>
            </w:pPr>
            <w:r>
              <w:rPr>
                <w:rFonts w:hint="eastAsia" w:ascii="仿宋" w:hAnsi="仿宋" w:eastAsia="仿宋" w:cs="仿宋"/>
                <w:b w:val="0"/>
                <w:bCs w:val="0"/>
                <w:color w:val="000000"/>
                <w:kern w:val="0"/>
                <w:sz w:val="18"/>
                <w:szCs w:val="18"/>
                <w:lang w:val="en-US" w:eastAsia="zh-CN"/>
              </w:rPr>
              <w:t>3</w:t>
            </w:r>
          </w:p>
        </w:tc>
        <w:tc>
          <w:tcPr>
            <w:tcW w:w="9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HDMI线</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纸箱规格1-1  外径（长*宽*高）：外径：190mm*370mm*270mm</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纸箱规格1-2  外径（长*宽*高）：外径：285mm*380mm*270mm</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纸箱规格1-3  外径（长*宽*高）：外径：320mm*480mm*200mm</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纸箱规格1-4  外径（长*宽*高）：外径：380mm*570mm*220mm</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纸箱规格1-5  外径（长*宽*高）：外径：350mm*350mm*245mm</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五层瓦楞纸、铆钉封装，印字（尺寸、学校LOGO、堆垛层数、防潮等）</w:t>
            </w:r>
          </w:p>
          <w:p>
            <w:pPr>
              <w:widowControl/>
              <w:adjustRightInd w:val="0"/>
              <w:snapToGrid w:val="0"/>
              <w:spacing w:line="240" w:lineRule="auto"/>
              <w:rPr>
                <w:rFonts w:hint="eastAsia" w:ascii="仿宋" w:hAnsi="仿宋" w:eastAsia="仿宋" w:cs="仿宋"/>
                <w:b w:val="0"/>
                <w:bCs w:val="0"/>
                <w:color w:val="000000"/>
                <w:kern w:val="0"/>
                <w:sz w:val="18"/>
                <w:szCs w:val="18"/>
              </w:rPr>
            </w:pPr>
            <w:r>
              <w:rPr>
                <w:rFonts w:hint="eastAsia" w:ascii="仿宋" w:hAnsi="仿宋" w:eastAsia="仿宋" w:cs="仿宋"/>
                <w:b w:val="0"/>
                <w:bCs w:val="0"/>
                <w:color w:val="auto"/>
                <w:sz w:val="18"/>
                <w:szCs w:val="18"/>
                <w:lang w:val="en-US" w:eastAsia="zh-CN"/>
              </w:rPr>
              <w:t>每个规格100个。</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rPr>
              <w:t>1</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rPr>
              <w:t>项</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auto"/>
              <w:jc w:val="center"/>
              <w:rPr>
                <w:rFonts w:hint="eastAsia" w:ascii="仿宋" w:hAnsi="仿宋" w:eastAsia="仿宋" w:cs="仿宋"/>
                <w:b w:val="0"/>
                <w:bCs w:val="0"/>
                <w:color w:val="000000"/>
                <w:kern w:val="0"/>
                <w:sz w:val="18"/>
                <w:szCs w:val="18"/>
                <w:lang w:eastAsia="zh-CN"/>
              </w:rPr>
            </w:pPr>
            <w:r>
              <w:rPr>
                <w:rFonts w:hint="eastAsia" w:ascii="仿宋" w:hAnsi="仿宋" w:eastAsia="仿宋" w:cs="仿宋"/>
                <w:b w:val="0"/>
                <w:bCs w:val="0"/>
                <w:color w:val="000000"/>
                <w:kern w:val="0"/>
                <w:sz w:val="18"/>
                <w:szCs w:val="18"/>
                <w:lang w:val="en-US" w:eastAsia="zh-CN"/>
              </w:rPr>
              <w:t>4</w:t>
            </w:r>
          </w:p>
        </w:tc>
        <w:tc>
          <w:tcPr>
            <w:tcW w:w="9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HDMI线</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类型:无线路由器</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机身材质工艺:金属机身</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使用场景:其他</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总带机量:50-100</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规格信息:LAN口(设备连接口)</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千兆网口:WAN口(网线接入口)</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传输标准:IEEE 802.11n；IEEE 802.11g；IEEE 802.11b；IEEE 802.11.ac；IEEE 802.11.a；IEEE 802.3；IEEE 802.3u；IEEE 802.3ab</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网络协议:其他</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无线协议:802.11ac</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处理器:其他</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无线速率:其他</w:t>
            </w:r>
          </w:p>
          <w:p>
            <w:pPr>
              <w:widowControl/>
              <w:adjustRightInd w:val="0"/>
              <w:snapToGrid w:val="0"/>
              <w:spacing w:line="240" w:lineRule="auto"/>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lang w:bidi="ar"/>
              </w:rPr>
              <w:t>▲</w:t>
            </w:r>
            <w:r>
              <w:rPr>
                <w:rFonts w:hint="eastAsia" w:ascii="仿宋" w:hAnsi="仿宋" w:eastAsia="仿宋" w:cs="仿宋"/>
                <w:b w:val="0"/>
                <w:bCs w:val="0"/>
                <w:color w:val="auto"/>
                <w:sz w:val="18"/>
                <w:szCs w:val="18"/>
              </w:rPr>
              <w:t>支持RF手持终端与物流管理信息系统的无线连接</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rPr>
              <w:t>1</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rPr>
              <w:t>台</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auto"/>
              <w:jc w:val="center"/>
              <w:rPr>
                <w:rFonts w:hint="eastAsia" w:ascii="仿宋" w:hAnsi="仿宋" w:eastAsia="仿宋" w:cs="仿宋"/>
                <w:b w:val="0"/>
                <w:bCs w:val="0"/>
                <w:color w:val="000000"/>
                <w:kern w:val="0"/>
                <w:sz w:val="18"/>
                <w:szCs w:val="18"/>
                <w:lang w:eastAsia="zh-CN"/>
              </w:rPr>
            </w:pPr>
            <w:r>
              <w:rPr>
                <w:rFonts w:hint="eastAsia" w:ascii="仿宋" w:hAnsi="仿宋" w:eastAsia="仿宋" w:cs="仿宋"/>
                <w:b w:val="0"/>
                <w:bCs w:val="0"/>
                <w:color w:val="000000"/>
                <w:kern w:val="0"/>
                <w:sz w:val="18"/>
                <w:szCs w:val="18"/>
                <w:lang w:val="en-US" w:eastAsia="zh-CN"/>
              </w:rPr>
              <w:t>5</w:t>
            </w:r>
          </w:p>
        </w:tc>
        <w:tc>
          <w:tcPr>
            <w:tcW w:w="9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HDMI线</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额定容量：2400W</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输入频率：（40~70）Hz</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转换时间：0ms时间切换</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电池放电：当输入电压断电时每四秒一叫，当电池将用尽时每一秒一叫，UPS运行状态指示灯等</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hint="eastAsia" w:ascii="仿宋" w:hAnsi="仿宋" w:eastAsia="仿宋" w:cs="仿宋"/>
                <w:b w:val="0"/>
                <w:bCs w:val="0"/>
                <w:color w:val="auto"/>
                <w:sz w:val="18"/>
                <w:szCs w:val="18"/>
              </w:rPr>
            </w:pPr>
            <w:r>
              <w:rPr>
                <w:rFonts w:hint="eastAsia" w:ascii="仿宋" w:hAnsi="仿宋" w:eastAsia="仿宋" w:cs="仿宋"/>
                <w:b w:val="0"/>
                <w:bCs w:val="0"/>
                <w:color w:val="auto"/>
                <w:sz w:val="18"/>
                <w:szCs w:val="18"/>
              </w:rPr>
              <w:t>电池备用时间：大于4.5min</w:t>
            </w:r>
          </w:p>
          <w:p>
            <w:pPr>
              <w:widowControl/>
              <w:adjustRightInd w:val="0"/>
              <w:snapToGrid w:val="0"/>
              <w:spacing w:line="240" w:lineRule="auto"/>
              <w:rPr>
                <w:rFonts w:hint="eastAsia" w:ascii="仿宋" w:hAnsi="仿宋" w:eastAsia="仿宋" w:cs="仿宋"/>
                <w:b w:val="0"/>
                <w:bCs w:val="0"/>
                <w:color w:val="000000"/>
                <w:kern w:val="0"/>
                <w:sz w:val="18"/>
                <w:szCs w:val="18"/>
              </w:rPr>
            </w:pPr>
            <w:r>
              <w:rPr>
                <w:rFonts w:hint="eastAsia" w:ascii="仿宋" w:hAnsi="仿宋" w:eastAsia="仿宋" w:cs="仿宋"/>
                <w:b w:val="0"/>
                <w:bCs w:val="0"/>
                <w:color w:val="auto"/>
                <w:sz w:val="18"/>
                <w:szCs w:val="18"/>
              </w:rPr>
              <w:t>电池充电时间：小于等于10小时</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rPr>
              <w:t>1</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rPr>
              <w:t>台</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auto"/>
              <w:jc w:val="center"/>
              <w:rPr>
                <w:rFonts w:hint="eastAsia" w:ascii="仿宋" w:hAnsi="仿宋" w:eastAsia="仿宋" w:cs="仿宋"/>
                <w:b w:val="0"/>
                <w:bCs w:val="0"/>
                <w:color w:val="000000"/>
                <w:kern w:val="0"/>
                <w:sz w:val="18"/>
                <w:szCs w:val="18"/>
                <w:lang w:eastAsia="zh-CN"/>
              </w:rPr>
            </w:pPr>
            <w:r>
              <w:rPr>
                <w:rFonts w:hint="eastAsia" w:ascii="仿宋" w:hAnsi="仿宋" w:eastAsia="仿宋" w:cs="仿宋"/>
                <w:b w:val="0"/>
                <w:bCs w:val="0"/>
                <w:color w:val="000000"/>
                <w:kern w:val="0"/>
                <w:sz w:val="18"/>
                <w:szCs w:val="18"/>
                <w:lang w:val="en-US" w:eastAsia="zh-CN"/>
              </w:rPr>
              <w:t>6</w:t>
            </w:r>
          </w:p>
        </w:tc>
        <w:tc>
          <w:tcPr>
            <w:tcW w:w="9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视屏拼接处理器</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rPr>
              <w:t>包含：4路POE硬盘录像机1台、200万像素带拾音功能球机摄像头2个，2T监控硬盘，19寸液晶显示器，包安装</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rPr>
              <w:t>1</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rPr>
              <w:t>套</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auto"/>
              <w:jc w:val="center"/>
              <w:rPr>
                <w:rFonts w:hint="eastAsia" w:ascii="仿宋" w:hAnsi="仿宋" w:eastAsia="仿宋" w:cs="仿宋"/>
                <w:b w:val="0"/>
                <w:bCs w:val="0"/>
                <w:color w:val="000000"/>
                <w:kern w:val="0"/>
                <w:sz w:val="18"/>
                <w:szCs w:val="18"/>
                <w:lang w:val="en-US" w:eastAsia="zh-CN"/>
              </w:rPr>
            </w:pPr>
            <w:r>
              <w:rPr>
                <w:rFonts w:hint="eastAsia" w:ascii="仿宋" w:hAnsi="仿宋" w:eastAsia="仿宋" w:cs="仿宋"/>
                <w:b w:val="0"/>
                <w:bCs w:val="0"/>
                <w:color w:val="000000"/>
                <w:kern w:val="0"/>
                <w:sz w:val="18"/>
                <w:szCs w:val="18"/>
                <w:lang w:val="en-US" w:eastAsia="zh-CN"/>
              </w:rPr>
              <w:t>7</w:t>
            </w:r>
          </w:p>
        </w:tc>
        <w:tc>
          <w:tcPr>
            <w:tcW w:w="9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网线</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rPr>
                <w:rFonts w:hint="eastAsia" w:ascii="仿宋" w:hAnsi="仿宋" w:eastAsia="仿宋" w:cs="仿宋"/>
                <w:b w:val="0"/>
                <w:bCs w:val="0"/>
                <w:color w:val="000000"/>
                <w:kern w:val="0"/>
                <w:sz w:val="18"/>
                <w:szCs w:val="18"/>
                <w:lang w:val="en-US" w:eastAsia="zh-CN" w:bidi="ar-SA"/>
              </w:rPr>
            </w:pPr>
            <w:r>
              <w:rPr>
                <w:rFonts w:hint="eastAsia" w:ascii="仿宋" w:hAnsi="仿宋" w:eastAsia="仿宋" w:cs="仿宋"/>
                <w:b w:val="0"/>
                <w:bCs w:val="0"/>
                <w:color w:val="000000"/>
                <w:kern w:val="0"/>
                <w:sz w:val="18"/>
                <w:szCs w:val="18"/>
              </w:rPr>
              <w:t>产品类别：黑白激光打印机</w:t>
            </w:r>
            <w:r>
              <w:rPr>
                <w:rFonts w:hint="eastAsia" w:ascii="仿宋" w:hAnsi="仿宋" w:eastAsia="仿宋" w:cs="仿宋"/>
                <w:b w:val="0"/>
                <w:bCs w:val="0"/>
                <w:color w:val="000000"/>
                <w:kern w:val="0"/>
                <w:sz w:val="18"/>
                <w:szCs w:val="18"/>
              </w:rPr>
              <w:br w:type="textWrapping"/>
            </w:r>
            <w:r>
              <w:rPr>
                <w:rFonts w:hint="eastAsia" w:ascii="仿宋" w:hAnsi="仿宋" w:eastAsia="仿宋" w:cs="仿宋"/>
                <w:b w:val="0"/>
                <w:bCs w:val="0"/>
                <w:color w:val="000000"/>
                <w:kern w:val="0"/>
                <w:sz w:val="18"/>
                <w:szCs w:val="18"/>
              </w:rPr>
              <w:t>分 辨 率：高达 600*600 dpi(1200 dpi 有效输出)</w:t>
            </w:r>
            <w:r>
              <w:rPr>
                <w:rFonts w:hint="eastAsia" w:ascii="仿宋" w:hAnsi="仿宋" w:eastAsia="仿宋" w:cs="仿宋"/>
                <w:b w:val="0"/>
                <w:bCs w:val="0"/>
                <w:color w:val="000000"/>
                <w:kern w:val="0"/>
                <w:sz w:val="18"/>
                <w:szCs w:val="18"/>
              </w:rPr>
              <w:br w:type="textWrapping"/>
            </w:r>
            <w:r>
              <w:rPr>
                <w:rFonts w:hint="eastAsia" w:ascii="仿宋" w:hAnsi="仿宋" w:eastAsia="仿宋" w:cs="仿宋"/>
                <w:b w:val="0"/>
                <w:bCs w:val="0"/>
                <w:color w:val="000000"/>
                <w:kern w:val="0"/>
                <w:sz w:val="18"/>
                <w:szCs w:val="18"/>
              </w:rPr>
              <w:t>打印速度：18页/分</w:t>
            </w:r>
            <w:r>
              <w:rPr>
                <w:rFonts w:hint="eastAsia" w:ascii="仿宋" w:hAnsi="仿宋" w:eastAsia="仿宋" w:cs="仿宋"/>
                <w:b w:val="0"/>
                <w:bCs w:val="0"/>
                <w:color w:val="000000"/>
                <w:kern w:val="0"/>
                <w:sz w:val="18"/>
                <w:szCs w:val="18"/>
              </w:rPr>
              <w:br w:type="textWrapping"/>
            </w:r>
            <w:r>
              <w:rPr>
                <w:rFonts w:hint="eastAsia" w:ascii="仿宋" w:hAnsi="仿宋" w:eastAsia="仿宋" w:cs="仿宋"/>
                <w:b w:val="0"/>
                <w:bCs w:val="0"/>
                <w:color w:val="000000"/>
                <w:kern w:val="0"/>
                <w:sz w:val="18"/>
                <w:szCs w:val="18"/>
              </w:rPr>
              <w:t>最大打印幅面：A4</w:t>
            </w:r>
            <w:r>
              <w:rPr>
                <w:rFonts w:hint="eastAsia" w:ascii="仿宋" w:hAnsi="仿宋" w:eastAsia="仿宋" w:cs="仿宋"/>
                <w:b w:val="0"/>
                <w:bCs w:val="0"/>
                <w:color w:val="000000"/>
                <w:kern w:val="0"/>
                <w:sz w:val="18"/>
                <w:szCs w:val="18"/>
              </w:rPr>
              <w:br w:type="textWrapping"/>
            </w:r>
            <w:r>
              <w:rPr>
                <w:rFonts w:hint="eastAsia" w:ascii="仿宋" w:hAnsi="仿宋" w:eastAsia="仿宋" w:cs="仿宋"/>
                <w:b w:val="0"/>
                <w:bCs w:val="0"/>
                <w:color w:val="000000"/>
                <w:kern w:val="0"/>
                <w:sz w:val="18"/>
                <w:szCs w:val="18"/>
              </w:rPr>
              <w:t>打印能力：5,000页/月</w:t>
            </w:r>
            <w:r>
              <w:rPr>
                <w:rFonts w:hint="eastAsia" w:ascii="仿宋" w:hAnsi="仿宋" w:eastAsia="仿宋" w:cs="仿宋"/>
                <w:b w:val="0"/>
                <w:bCs w:val="0"/>
                <w:color w:val="000000"/>
                <w:kern w:val="0"/>
                <w:sz w:val="18"/>
                <w:szCs w:val="18"/>
              </w:rPr>
              <w:br w:type="textWrapping"/>
            </w:r>
            <w:r>
              <w:rPr>
                <w:rFonts w:hint="eastAsia" w:ascii="仿宋" w:hAnsi="仿宋" w:eastAsia="仿宋" w:cs="仿宋"/>
                <w:b w:val="0"/>
                <w:bCs w:val="0"/>
                <w:color w:val="000000"/>
                <w:kern w:val="0"/>
                <w:sz w:val="18"/>
                <w:szCs w:val="18"/>
              </w:rPr>
              <w:t>进纸方式：手动</w:t>
            </w:r>
            <w:r>
              <w:rPr>
                <w:rFonts w:hint="eastAsia" w:ascii="仿宋" w:hAnsi="仿宋" w:eastAsia="仿宋" w:cs="仿宋"/>
                <w:b w:val="0"/>
                <w:bCs w:val="0"/>
                <w:color w:val="000000"/>
                <w:kern w:val="0"/>
                <w:sz w:val="18"/>
                <w:szCs w:val="18"/>
              </w:rPr>
              <w:br w:type="textWrapping"/>
            </w:r>
            <w:r>
              <w:rPr>
                <w:rFonts w:hint="eastAsia" w:ascii="仿宋" w:hAnsi="仿宋" w:eastAsia="仿宋" w:cs="仿宋"/>
                <w:b w:val="0"/>
                <w:bCs w:val="0"/>
                <w:color w:val="000000"/>
                <w:kern w:val="0"/>
                <w:sz w:val="18"/>
                <w:szCs w:val="18"/>
              </w:rPr>
              <w:t>接口类型：USB接口</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仿宋" w:hAnsi="仿宋" w:eastAsia="仿宋" w:cs="仿宋"/>
                <w:b w:val="0"/>
                <w:bCs w:val="0"/>
                <w:color w:val="000000"/>
                <w:kern w:val="0"/>
                <w:sz w:val="18"/>
                <w:szCs w:val="18"/>
                <w:lang w:val="en-US" w:eastAsia="zh-CN" w:bidi="ar-SA"/>
              </w:rPr>
            </w:pPr>
            <w:r>
              <w:rPr>
                <w:rFonts w:hint="eastAsia" w:ascii="仿宋" w:hAnsi="仿宋" w:eastAsia="仿宋" w:cs="仿宋"/>
                <w:b w:val="0"/>
                <w:bCs w:val="0"/>
                <w:color w:val="000000"/>
                <w:kern w:val="0"/>
                <w:sz w:val="18"/>
                <w:szCs w:val="18"/>
              </w:rPr>
              <w:t>1</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仿宋" w:hAnsi="仿宋" w:eastAsia="仿宋" w:cs="仿宋"/>
                <w:b w:val="0"/>
                <w:bCs w:val="0"/>
                <w:color w:val="000000"/>
                <w:kern w:val="0"/>
                <w:sz w:val="18"/>
                <w:szCs w:val="18"/>
                <w:lang w:val="en-US" w:eastAsia="zh-CN" w:bidi="ar-SA"/>
              </w:rPr>
            </w:pPr>
            <w:r>
              <w:rPr>
                <w:rFonts w:hint="eastAsia" w:ascii="仿宋" w:hAnsi="仿宋" w:eastAsia="仿宋" w:cs="仿宋"/>
                <w:b w:val="0"/>
                <w:bCs w:val="0"/>
                <w:color w:val="000000"/>
                <w:kern w:val="0"/>
                <w:sz w:val="18"/>
                <w:szCs w:val="18"/>
              </w:rPr>
              <w:t>台</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auto"/>
              <w:jc w:val="center"/>
              <w:rPr>
                <w:rFonts w:hint="eastAsia" w:ascii="仿宋" w:hAnsi="仿宋" w:eastAsia="仿宋" w:cs="仿宋"/>
                <w:b w:val="0"/>
                <w:bCs w:val="0"/>
                <w:color w:val="000000"/>
                <w:kern w:val="0"/>
                <w:sz w:val="18"/>
                <w:szCs w:val="18"/>
                <w:lang w:val="en-US" w:eastAsia="zh-CN"/>
              </w:rPr>
            </w:pPr>
            <w:r>
              <w:rPr>
                <w:rFonts w:hint="eastAsia" w:ascii="仿宋" w:hAnsi="仿宋" w:eastAsia="仿宋" w:cs="仿宋"/>
                <w:b w:val="0"/>
                <w:bCs w:val="0"/>
                <w:color w:val="000000"/>
                <w:kern w:val="0"/>
                <w:sz w:val="18"/>
                <w:szCs w:val="18"/>
                <w:lang w:val="en-US" w:eastAsia="zh-CN"/>
              </w:rPr>
              <w:t>8</w:t>
            </w:r>
          </w:p>
        </w:tc>
        <w:tc>
          <w:tcPr>
            <w:tcW w:w="9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lang w:val="en-US" w:eastAsia="zh-CN" w:bidi="ar-SA"/>
              </w:rPr>
            </w:pPr>
            <w:r>
              <w:rPr>
                <w:rFonts w:hint="eastAsia" w:ascii="仿宋" w:hAnsi="仿宋" w:eastAsia="仿宋" w:cs="仿宋"/>
                <w:i w:val="0"/>
                <w:iCs w:val="0"/>
                <w:color w:val="000000"/>
                <w:kern w:val="0"/>
                <w:sz w:val="18"/>
                <w:szCs w:val="18"/>
                <w:u w:val="none"/>
                <w:lang w:val="en-US" w:eastAsia="zh-CN" w:bidi="ar"/>
              </w:rPr>
              <w:t>插线板</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rPr>
                <w:rFonts w:hint="eastAsia" w:ascii="仿宋" w:hAnsi="仿宋" w:eastAsia="仿宋" w:cs="仿宋"/>
                <w:b w:val="0"/>
                <w:bCs w:val="0"/>
                <w:color w:val="000000"/>
                <w:kern w:val="0"/>
                <w:sz w:val="18"/>
                <w:szCs w:val="18"/>
                <w:lang w:val="en-US" w:eastAsia="zh-CN" w:bidi="ar-SA"/>
              </w:rPr>
            </w:pPr>
            <w:r>
              <w:rPr>
                <w:rFonts w:hint="eastAsia" w:ascii="仿宋" w:hAnsi="仿宋" w:eastAsia="仿宋" w:cs="仿宋"/>
                <w:b w:val="0"/>
                <w:bCs w:val="0"/>
                <w:color w:val="000000"/>
                <w:kern w:val="0"/>
                <w:sz w:val="18"/>
                <w:szCs w:val="18"/>
              </w:rPr>
              <w:t>基本参数：</w:t>
            </w:r>
            <w:r>
              <w:rPr>
                <w:rFonts w:hint="eastAsia" w:ascii="仿宋" w:hAnsi="仿宋" w:eastAsia="仿宋" w:cs="仿宋"/>
                <w:b w:val="0"/>
                <w:bCs w:val="0"/>
                <w:color w:val="000000"/>
                <w:kern w:val="0"/>
                <w:sz w:val="18"/>
                <w:szCs w:val="18"/>
              </w:rPr>
              <w:br w:type="textWrapping"/>
            </w:r>
            <w:r>
              <w:rPr>
                <w:rFonts w:hint="eastAsia" w:ascii="仿宋" w:hAnsi="仿宋" w:eastAsia="仿宋" w:cs="仿宋"/>
                <w:b w:val="0"/>
                <w:bCs w:val="0"/>
                <w:color w:val="000000"/>
                <w:kern w:val="0"/>
                <w:sz w:val="18"/>
                <w:szCs w:val="18"/>
              </w:rPr>
              <w:t>打印方式：热敏或热转印</w:t>
            </w:r>
            <w:r>
              <w:rPr>
                <w:rFonts w:hint="eastAsia" w:ascii="仿宋" w:hAnsi="仿宋" w:eastAsia="仿宋" w:cs="仿宋"/>
                <w:b w:val="0"/>
                <w:bCs w:val="0"/>
                <w:color w:val="000000"/>
                <w:kern w:val="0"/>
                <w:sz w:val="18"/>
                <w:szCs w:val="18"/>
              </w:rPr>
              <w:br w:type="textWrapping"/>
            </w:r>
            <w:r>
              <w:rPr>
                <w:rFonts w:hint="eastAsia" w:ascii="仿宋" w:hAnsi="仿宋" w:eastAsia="仿宋" w:cs="仿宋"/>
                <w:b w:val="0"/>
                <w:bCs w:val="0"/>
                <w:color w:val="000000"/>
                <w:kern w:val="0"/>
                <w:sz w:val="18"/>
                <w:szCs w:val="18"/>
              </w:rPr>
              <w:t xml:space="preserve">打印速度：76mm/s </w:t>
            </w:r>
            <w:r>
              <w:rPr>
                <w:rFonts w:hint="eastAsia" w:ascii="仿宋" w:hAnsi="仿宋" w:eastAsia="仿宋" w:cs="仿宋"/>
                <w:b w:val="0"/>
                <w:bCs w:val="0"/>
                <w:color w:val="000000"/>
                <w:kern w:val="0"/>
                <w:sz w:val="18"/>
                <w:szCs w:val="18"/>
              </w:rPr>
              <w:br w:type="textWrapping"/>
            </w:r>
            <w:r>
              <w:rPr>
                <w:rFonts w:hint="eastAsia" w:ascii="仿宋" w:hAnsi="仿宋" w:eastAsia="仿宋" w:cs="仿宋"/>
                <w:b w:val="0"/>
                <w:bCs w:val="0"/>
                <w:color w:val="000000"/>
                <w:kern w:val="0"/>
                <w:sz w:val="18"/>
                <w:szCs w:val="18"/>
              </w:rPr>
              <w:t xml:space="preserve">最大打印宽度：104mm </w:t>
            </w:r>
            <w:r>
              <w:rPr>
                <w:rFonts w:hint="eastAsia" w:ascii="仿宋" w:hAnsi="仿宋" w:eastAsia="仿宋" w:cs="仿宋"/>
                <w:b w:val="0"/>
                <w:bCs w:val="0"/>
                <w:color w:val="000000"/>
                <w:kern w:val="0"/>
                <w:sz w:val="18"/>
                <w:szCs w:val="18"/>
              </w:rPr>
              <w:br w:type="textWrapping"/>
            </w:r>
            <w:r>
              <w:rPr>
                <w:rFonts w:hint="eastAsia" w:ascii="仿宋" w:hAnsi="仿宋" w:eastAsia="仿宋" w:cs="仿宋"/>
                <w:b w:val="0"/>
                <w:bCs w:val="0"/>
                <w:color w:val="000000"/>
                <w:kern w:val="0"/>
                <w:sz w:val="18"/>
                <w:szCs w:val="18"/>
              </w:rPr>
              <w:t xml:space="preserve">最大打印长度：1092mm </w:t>
            </w:r>
            <w:r>
              <w:rPr>
                <w:rFonts w:hint="eastAsia" w:ascii="仿宋" w:hAnsi="仿宋" w:eastAsia="仿宋" w:cs="仿宋"/>
                <w:b w:val="0"/>
                <w:bCs w:val="0"/>
                <w:color w:val="000000"/>
                <w:kern w:val="0"/>
                <w:sz w:val="18"/>
                <w:szCs w:val="18"/>
              </w:rPr>
              <w:br w:type="textWrapping"/>
            </w:r>
            <w:r>
              <w:rPr>
                <w:rFonts w:hint="eastAsia" w:ascii="仿宋" w:hAnsi="仿宋" w:eastAsia="仿宋" w:cs="仿宋"/>
                <w:b w:val="0"/>
                <w:bCs w:val="0"/>
                <w:color w:val="000000"/>
                <w:kern w:val="0"/>
                <w:sz w:val="18"/>
                <w:szCs w:val="18"/>
              </w:rPr>
              <w:t xml:space="preserve">分辨率：203dpi </w:t>
            </w:r>
            <w:r>
              <w:rPr>
                <w:rFonts w:hint="eastAsia" w:ascii="仿宋" w:hAnsi="仿宋" w:eastAsia="仿宋" w:cs="仿宋"/>
                <w:b w:val="0"/>
                <w:bCs w:val="0"/>
                <w:color w:val="000000"/>
                <w:kern w:val="0"/>
                <w:sz w:val="18"/>
                <w:szCs w:val="18"/>
              </w:rPr>
              <w:br w:type="textWrapping"/>
            </w:r>
            <w:r>
              <w:rPr>
                <w:rFonts w:hint="eastAsia" w:ascii="仿宋" w:hAnsi="仿宋" w:eastAsia="仿宋" w:cs="仿宋"/>
                <w:b w:val="0"/>
                <w:bCs w:val="0"/>
                <w:color w:val="000000"/>
                <w:kern w:val="0"/>
                <w:sz w:val="18"/>
                <w:szCs w:val="18"/>
              </w:rPr>
              <w:t xml:space="preserve">碳带宽度：33-109mm </w:t>
            </w:r>
            <w:r>
              <w:rPr>
                <w:rFonts w:hint="eastAsia" w:ascii="仿宋" w:hAnsi="仿宋" w:eastAsia="仿宋" w:cs="仿宋"/>
                <w:b w:val="0"/>
                <w:bCs w:val="0"/>
                <w:color w:val="000000"/>
                <w:kern w:val="0"/>
                <w:sz w:val="18"/>
                <w:szCs w:val="18"/>
              </w:rPr>
              <w:br w:type="textWrapping"/>
            </w:r>
            <w:r>
              <w:rPr>
                <w:rFonts w:hint="eastAsia" w:ascii="仿宋" w:hAnsi="仿宋" w:eastAsia="仿宋" w:cs="仿宋"/>
                <w:b w:val="0"/>
                <w:bCs w:val="0"/>
                <w:color w:val="000000"/>
                <w:kern w:val="0"/>
                <w:sz w:val="18"/>
                <w:szCs w:val="18"/>
              </w:rPr>
              <w:t xml:space="preserve">带长度：920mm </w:t>
            </w:r>
            <w:r>
              <w:rPr>
                <w:rFonts w:hint="eastAsia" w:ascii="仿宋" w:hAnsi="仿宋" w:eastAsia="仿宋" w:cs="仿宋"/>
                <w:b w:val="0"/>
                <w:bCs w:val="0"/>
                <w:color w:val="000000"/>
                <w:kern w:val="0"/>
                <w:sz w:val="18"/>
                <w:szCs w:val="18"/>
              </w:rPr>
              <w:br w:type="textWrapping"/>
            </w:r>
            <w:r>
              <w:rPr>
                <w:rFonts w:hint="eastAsia" w:ascii="仿宋" w:hAnsi="仿宋" w:eastAsia="仿宋" w:cs="仿宋"/>
                <w:b w:val="0"/>
                <w:bCs w:val="0"/>
                <w:color w:val="000000"/>
                <w:kern w:val="0"/>
                <w:sz w:val="18"/>
                <w:szCs w:val="18"/>
              </w:rPr>
              <w:t>内存：4MB</w:t>
            </w:r>
            <w:r>
              <w:rPr>
                <w:rFonts w:hint="eastAsia" w:ascii="仿宋" w:hAnsi="仿宋" w:eastAsia="仿宋" w:cs="仿宋"/>
                <w:b w:val="0"/>
                <w:bCs w:val="0"/>
                <w:color w:val="000000"/>
                <w:kern w:val="0"/>
                <w:sz w:val="18"/>
                <w:szCs w:val="18"/>
              </w:rPr>
              <w:br w:type="textWrapping"/>
            </w:r>
            <w:r>
              <w:rPr>
                <w:rFonts w:hint="eastAsia" w:ascii="仿宋" w:hAnsi="仿宋" w:eastAsia="仿宋" w:cs="仿宋"/>
                <w:b w:val="0"/>
                <w:bCs w:val="0"/>
                <w:color w:val="000000"/>
                <w:kern w:val="0"/>
                <w:sz w:val="18"/>
                <w:szCs w:val="18"/>
              </w:rPr>
              <w:t>通信接口：USB，串行接口，并行接口</w:t>
            </w:r>
            <w:r>
              <w:rPr>
                <w:rFonts w:hint="eastAsia" w:ascii="仿宋" w:hAnsi="仿宋" w:eastAsia="仿宋" w:cs="仿宋"/>
                <w:b w:val="0"/>
                <w:bCs w:val="0"/>
                <w:color w:val="000000"/>
                <w:kern w:val="0"/>
                <w:sz w:val="18"/>
                <w:szCs w:val="18"/>
              </w:rPr>
              <w:br w:type="textWrapping"/>
            </w:r>
            <w:r>
              <w:rPr>
                <w:rFonts w:hint="eastAsia" w:ascii="仿宋" w:hAnsi="仿宋" w:eastAsia="仿宋" w:cs="仿宋"/>
                <w:b w:val="0"/>
                <w:bCs w:val="0"/>
                <w:color w:val="000000"/>
                <w:kern w:val="0"/>
                <w:sz w:val="18"/>
                <w:szCs w:val="18"/>
              </w:rPr>
              <w:t>字体：5 种内建文数字字体，国际标准字.</w:t>
            </w:r>
            <w:r>
              <w:rPr>
                <w:rFonts w:hint="eastAsia" w:ascii="仿宋" w:hAnsi="仿宋" w:eastAsia="仿宋" w:cs="仿宋"/>
                <w:b w:val="0"/>
                <w:bCs w:val="0"/>
                <w:color w:val="000000"/>
                <w:kern w:val="0"/>
                <w:sz w:val="18"/>
                <w:szCs w:val="18"/>
              </w:rPr>
              <w:br w:type="textWrapping"/>
            </w:r>
            <w:r>
              <w:rPr>
                <w:rFonts w:hint="eastAsia" w:ascii="仿宋" w:hAnsi="仿宋" w:eastAsia="仿宋" w:cs="仿宋"/>
                <w:b w:val="0"/>
                <w:bCs w:val="0"/>
                <w:color w:val="000000"/>
                <w:kern w:val="0"/>
                <w:sz w:val="18"/>
                <w:szCs w:val="18"/>
              </w:rPr>
              <w:t xml:space="preserve">产品类型：桌面打印机 </w:t>
            </w:r>
            <w:r>
              <w:rPr>
                <w:rFonts w:hint="eastAsia" w:ascii="仿宋" w:hAnsi="仿宋" w:eastAsia="仿宋" w:cs="仿宋"/>
                <w:b w:val="0"/>
                <w:bCs w:val="0"/>
                <w:color w:val="000000"/>
                <w:kern w:val="0"/>
                <w:sz w:val="18"/>
                <w:szCs w:val="18"/>
              </w:rPr>
              <w:br w:type="textWrapping"/>
            </w:r>
            <w:r>
              <w:rPr>
                <w:rFonts w:hint="eastAsia" w:ascii="仿宋" w:hAnsi="仿宋" w:eastAsia="仿宋" w:cs="仿宋"/>
                <w:b w:val="0"/>
                <w:bCs w:val="0"/>
                <w:color w:val="000000"/>
                <w:kern w:val="0"/>
                <w:sz w:val="18"/>
                <w:szCs w:val="18"/>
              </w:rPr>
              <w:t>介质厚度：0.058-0.305mm</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仿宋" w:hAnsi="仿宋" w:eastAsia="仿宋" w:cs="仿宋"/>
                <w:b w:val="0"/>
                <w:bCs w:val="0"/>
                <w:color w:val="000000"/>
                <w:kern w:val="0"/>
                <w:sz w:val="18"/>
                <w:szCs w:val="18"/>
                <w:lang w:val="en-US" w:eastAsia="zh-CN" w:bidi="ar-SA"/>
              </w:rPr>
            </w:pPr>
            <w:r>
              <w:rPr>
                <w:rFonts w:hint="eastAsia" w:ascii="仿宋" w:hAnsi="仿宋" w:eastAsia="仿宋" w:cs="仿宋"/>
                <w:b w:val="0"/>
                <w:bCs w:val="0"/>
                <w:color w:val="000000"/>
                <w:kern w:val="0"/>
                <w:sz w:val="18"/>
                <w:szCs w:val="18"/>
              </w:rPr>
              <w:t>1</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仿宋" w:hAnsi="仿宋" w:eastAsia="仿宋" w:cs="仿宋"/>
                <w:b w:val="0"/>
                <w:bCs w:val="0"/>
                <w:color w:val="000000"/>
                <w:kern w:val="0"/>
                <w:sz w:val="18"/>
                <w:szCs w:val="18"/>
                <w:lang w:val="en-US" w:eastAsia="zh-CN" w:bidi="ar-SA"/>
              </w:rPr>
            </w:pPr>
            <w:r>
              <w:rPr>
                <w:rFonts w:hint="eastAsia" w:ascii="仿宋" w:hAnsi="仿宋" w:eastAsia="仿宋" w:cs="仿宋"/>
                <w:b w:val="0"/>
                <w:bCs w:val="0"/>
                <w:color w:val="000000"/>
                <w:kern w:val="0"/>
                <w:sz w:val="18"/>
                <w:szCs w:val="18"/>
              </w:rPr>
              <w:t>台</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9</w:t>
            </w:r>
          </w:p>
          <w:p>
            <w:pPr>
              <w:rPr>
                <w:rFonts w:hint="eastAsia" w:ascii="仿宋" w:hAnsi="仿宋" w:eastAsia="仿宋" w:cs="仿宋"/>
                <w:sz w:val="18"/>
                <w:szCs w:val="18"/>
                <w:lang w:val="en-US" w:eastAsia="zh-CN"/>
              </w:rPr>
            </w:pPr>
          </w:p>
        </w:tc>
        <w:tc>
          <w:tcPr>
            <w:tcW w:w="9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65寸平板</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rPr>
                <w:rFonts w:hint="eastAsia" w:ascii="仿宋" w:hAnsi="仿宋" w:eastAsia="仿宋" w:cs="仿宋"/>
                <w:b w:val="0"/>
                <w:bCs w:val="0"/>
                <w:color w:val="000000"/>
                <w:kern w:val="0"/>
                <w:sz w:val="18"/>
                <w:szCs w:val="18"/>
                <w:lang w:val="en-US" w:eastAsia="zh-CN"/>
              </w:rPr>
            </w:pPr>
            <w:r>
              <w:rPr>
                <w:rFonts w:hint="eastAsia" w:ascii="仿宋" w:hAnsi="仿宋" w:eastAsia="仿宋" w:cs="仿宋"/>
                <w:b w:val="0"/>
                <w:bCs w:val="0"/>
                <w:color w:val="000000"/>
                <w:kern w:val="0"/>
                <w:sz w:val="18"/>
                <w:szCs w:val="18"/>
              </w:rPr>
              <w:t>设备强弱电布线，实训室规划布局</w:t>
            </w:r>
            <w:r>
              <w:rPr>
                <w:rFonts w:hint="eastAsia" w:ascii="仿宋" w:hAnsi="仿宋" w:eastAsia="仿宋" w:cs="仿宋"/>
                <w:b w:val="0"/>
                <w:bCs w:val="0"/>
                <w:color w:val="000000"/>
                <w:kern w:val="0"/>
                <w:sz w:val="18"/>
                <w:szCs w:val="18"/>
                <w:lang w:eastAsia="zh-CN"/>
              </w:rPr>
              <w:t>、</w:t>
            </w:r>
            <w:r>
              <w:rPr>
                <w:rFonts w:hint="eastAsia" w:ascii="仿宋" w:hAnsi="仿宋" w:eastAsia="仿宋" w:cs="仿宋"/>
                <w:b w:val="0"/>
                <w:bCs w:val="0"/>
                <w:color w:val="000000"/>
                <w:kern w:val="0"/>
                <w:sz w:val="18"/>
                <w:szCs w:val="18"/>
                <w:lang w:val="en-US" w:eastAsia="zh-CN"/>
              </w:rPr>
              <w:t>根据考核站点实操考场建设确保软硬件的使用。</w:t>
            </w:r>
            <w:r>
              <w:rPr>
                <w:rFonts w:hint="eastAsia" w:ascii="仿宋" w:hAnsi="仿宋" w:eastAsia="仿宋" w:cs="仿宋"/>
                <w:b w:val="0"/>
                <w:bCs w:val="0"/>
                <w:color w:val="000000"/>
                <w:kern w:val="0"/>
                <w:sz w:val="18"/>
                <w:szCs w:val="18"/>
              </w:rPr>
              <w:t>实训室挂图，内容包括：实训室操作安全规范、实训流程介绍等约5幅挂图</w:t>
            </w:r>
            <w:r>
              <w:rPr>
                <w:rFonts w:hint="eastAsia" w:ascii="仿宋" w:hAnsi="仿宋" w:eastAsia="仿宋" w:cs="仿宋"/>
                <w:b w:val="0"/>
                <w:bCs w:val="0"/>
                <w:color w:val="000000"/>
                <w:kern w:val="0"/>
                <w:sz w:val="18"/>
                <w:szCs w:val="18"/>
                <w:lang w:eastAsia="zh-CN"/>
              </w:rPr>
              <w:t>，</w:t>
            </w:r>
            <w:r>
              <w:rPr>
                <w:rFonts w:hint="eastAsia" w:ascii="仿宋" w:hAnsi="仿宋" w:eastAsia="仿宋" w:cs="仿宋"/>
                <w:b w:val="0"/>
                <w:bCs w:val="0"/>
                <w:color w:val="000000"/>
                <w:kern w:val="0"/>
                <w:sz w:val="18"/>
                <w:szCs w:val="18"/>
              </w:rPr>
              <w:t>挂图外形尺寸长宽约1200*800mm；</w:t>
            </w:r>
            <w:r>
              <w:rPr>
                <w:rFonts w:hint="eastAsia" w:ascii="仿宋" w:hAnsi="仿宋" w:eastAsia="仿宋" w:cs="仿宋"/>
                <w:b w:val="0"/>
                <w:bCs w:val="0"/>
                <w:color w:val="000000"/>
                <w:kern w:val="0"/>
                <w:sz w:val="18"/>
                <w:szCs w:val="18"/>
                <w:lang w:val="en-US" w:eastAsia="zh-CN"/>
              </w:rPr>
              <w:t>考点操作区指示牌5个。</w:t>
            </w:r>
            <w:r>
              <w:rPr>
                <w:rFonts w:hint="eastAsia" w:ascii="仿宋" w:hAnsi="仿宋" w:eastAsia="仿宋" w:cs="仿宋"/>
                <w:b w:val="0"/>
                <w:bCs w:val="0"/>
                <w:color w:val="000000"/>
                <w:kern w:val="0"/>
                <w:sz w:val="18"/>
                <w:szCs w:val="18"/>
              </w:rPr>
              <w:t>符合实训室建设规划要求。</w:t>
            </w:r>
          </w:p>
        </w:tc>
        <w:tc>
          <w:tcPr>
            <w:tcW w:w="9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rPr>
              <w:t>1</w:t>
            </w:r>
          </w:p>
        </w:tc>
        <w:tc>
          <w:tcPr>
            <w:tcW w:w="1186"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jc w:val="center"/>
              <w:rPr>
                <w:rFonts w:hint="eastAsia" w:ascii="仿宋" w:hAnsi="仿宋" w:eastAsia="仿宋" w:cs="仿宋"/>
                <w:b w:val="0"/>
                <w:bCs w:val="0"/>
                <w:color w:val="000000"/>
                <w:kern w:val="0"/>
                <w:sz w:val="18"/>
                <w:szCs w:val="18"/>
              </w:rPr>
            </w:pPr>
            <w:r>
              <w:rPr>
                <w:rFonts w:hint="eastAsia" w:ascii="仿宋" w:hAnsi="仿宋" w:eastAsia="仿宋" w:cs="仿宋"/>
                <w:b w:val="0"/>
                <w:bCs w:val="0"/>
                <w:color w:val="000000"/>
                <w:kern w:val="0"/>
                <w:sz w:val="18"/>
                <w:szCs w:val="18"/>
              </w:rPr>
              <w:t>项</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10</w:t>
            </w:r>
          </w:p>
        </w:tc>
        <w:tc>
          <w:tcPr>
            <w:tcW w:w="9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PC模块</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i5-intel 8代处理器/DDR4 8G内存/128G固态硬盘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内置正版win10企业版系统，内置、可拔插模块设计、内置mindlinker视频会议</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台</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11</w:t>
            </w:r>
          </w:p>
        </w:tc>
        <w:tc>
          <w:tcPr>
            <w:tcW w:w="9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无线传屏</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在台式机、笔记本电脑与MAXHUB会议大屏间实现一键无线传屏、触摸回传；最多可以支持4个设备同时传屏；最长有效距离15米；支持WIN7及以上系统，MAC OS 10.0及以上系统；</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台</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12</w:t>
            </w:r>
          </w:p>
        </w:tc>
        <w:tc>
          <w:tcPr>
            <w:tcW w:w="9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智能笔</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精细笔尖，还原真实书写</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支持无线翻页、空鼠、虚拟激光</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RF 2.4GHz遥控技术，10m无线传输</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独立USB接收器设计，单节7号电池供电</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适配红外触控机型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一键进入批注模式，PPT演讲翻页，</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支</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13</w:t>
            </w:r>
          </w:p>
        </w:tc>
        <w:tc>
          <w:tcPr>
            <w:tcW w:w="9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讲台</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仿宋" w:hAnsi="仿宋" w:eastAsia="仿宋" w:cs="仿宋"/>
                <w:i w:val="0"/>
                <w:iCs w:val="0"/>
                <w:color w:val="000000"/>
                <w:kern w:val="0"/>
                <w:sz w:val="18"/>
                <w:szCs w:val="18"/>
                <w:u w:val="none"/>
                <w:lang w:val="en-US" w:eastAsia="zh-CN" w:bidi="ar"/>
              </w:rPr>
              <w:t>1.开放式小型钢木讲台，实木平台面，尺寸不大于长1200MM 宽800MM 高1000MM（可放置中控、对讲等设备）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2.参考样式（看样订货）,可摆放21.5寸显示器，手持话筒，可安装智能中控主机。</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3.要求带键盘抽屉，键盘抽屉带电子锁功能</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4.纯木制</w:t>
            </w:r>
            <w:r>
              <w:rPr>
                <w:rFonts w:hint="eastAsia" w:ascii="仿宋" w:hAnsi="仿宋" w:eastAsia="仿宋" w:cs="仿宋"/>
                <w:i w:val="0"/>
                <w:iCs w:val="0"/>
                <w:color w:val="000000"/>
                <w:kern w:val="0"/>
                <w:sz w:val="18"/>
                <w:szCs w:val="18"/>
                <w:u w:val="none"/>
                <w:lang w:val="en-US" w:eastAsia="zh-CN" w:bidi="ar"/>
              </w:rPr>
              <w:br w:type="textWrapping"/>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个</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14</w:t>
            </w:r>
          </w:p>
        </w:tc>
        <w:tc>
          <w:tcPr>
            <w:tcW w:w="9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功放</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仿宋" w:hAnsi="仿宋" w:eastAsia="仿宋" w:cs="仿宋"/>
                <w:i w:val="0"/>
                <w:iCs w:val="0"/>
                <w:color w:val="000000"/>
                <w:kern w:val="0"/>
                <w:sz w:val="18"/>
                <w:szCs w:val="18"/>
                <w:u w:val="none"/>
                <w:lang w:val="en-US" w:eastAsia="zh-CN" w:bidi="ar"/>
              </w:rPr>
              <w:t>多种音频选择，带智能风扇。</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输出功率：200W×2</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麦克风输入： 0.5mV/1000mV/2Krohm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音频输入： 0.707V/51Kohm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视频输入：1VP-P750ohm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频率响应:20Hz~20KHz±1.5dB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失 真 度: &lt;0.5%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信 噪 度: ≥90dB</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输出阻抗：8Ω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尺    寸：465×370×145mm</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台</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rPr>
                <w:rFonts w:hint="eastAsia" w:ascii="仿宋" w:hAnsi="仿宋" w:eastAsia="仿宋" w:cs="仿宋"/>
                <w:sz w:val="18"/>
                <w:szCs w:val="18"/>
                <w:lang w:val="en-US" w:eastAsia="zh-CN"/>
              </w:rPr>
            </w:pPr>
            <w:r>
              <w:rPr>
                <w:rFonts w:hint="eastAsia" w:ascii="仿宋" w:hAnsi="仿宋" w:eastAsia="仿宋" w:cs="仿宋"/>
                <w:sz w:val="18"/>
                <w:szCs w:val="18"/>
                <w:lang w:val="en-US" w:eastAsia="zh-CN"/>
              </w:rPr>
              <w:t>15</w:t>
            </w:r>
          </w:p>
        </w:tc>
        <w:tc>
          <w:tcPr>
            <w:tcW w:w="9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麦克风</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left"/>
              <w:textAlignment w:val="center"/>
              <w:rPr>
                <w:rFonts w:hint="eastAsia" w:ascii="宋体" w:hAnsi="宋体" w:eastAsia="宋体" w:cs="宋体"/>
                <w:i w:val="0"/>
                <w:iCs w:val="0"/>
                <w:color w:val="000000"/>
                <w:kern w:val="2"/>
                <w:sz w:val="20"/>
                <w:szCs w:val="20"/>
                <w:u w:val="none"/>
                <w:lang w:val="en-US" w:eastAsia="zh-CN" w:bidi="ar-SA"/>
              </w:rPr>
            </w:pPr>
            <w:r>
              <w:rPr>
                <w:rFonts w:hint="eastAsia" w:ascii="仿宋" w:hAnsi="仿宋" w:eastAsia="仿宋" w:cs="仿宋"/>
                <w:i w:val="0"/>
                <w:iCs w:val="0"/>
                <w:color w:val="000000"/>
                <w:kern w:val="0"/>
                <w:sz w:val="18"/>
                <w:szCs w:val="18"/>
                <w:u w:val="none"/>
                <w:lang w:val="en-US" w:eastAsia="zh-CN" w:bidi="ar"/>
              </w:rPr>
              <w:t xml:space="preserve">换能方式：电容式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指向性：心型指向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频率响应：20Hz-18KHz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输出阻抗（欧姆）：75Ω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灵敏度：-40dB±2dB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供电电压：DC3V/幻象48V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有效适音距离: 45cm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 xml:space="preserve">咪管长度：410mm                                                        </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配置：8米单芯、卡龙母+卡龙</w:t>
            </w:r>
            <w:r>
              <w:rPr>
                <w:rFonts w:hint="eastAsia" w:ascii="宋体" w:hAnsi="宋体" w:eastAsia="宋体" w:cs="宋体"/>
                <w:i w:val="0"/>
                <w:iCs w:val="0"/>
                <w:color w:val="000000"/>
                <w:kern w:val="0"/>
                <w:sz w:val="20"/>
                <w:szCs w:val="20"/>
                <w:u w:val="none"/>
                <w:lang w:val="en-US" w:eastAsia="zh-CN" w:bidi="ar"/>
              </w:rPr>
              <w:t xml:space="preserve">公                                              </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开关：电子轻触</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个</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16</w:t>
            </w:r>
          </w:p>
        </w:tc>
        <w:tc>
          <w:tcPr>
            <w:tcW w:w="9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网络球机</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内置GPU芯片，支持深度学习算法，有效提升检测准确率支持人脸检测；支持优选；支持抓拍；支持上报最优的人脸抓图；支持人脸增强，支持人脸属性提取，6种属性8种表情 支持绊线入侵、区域入侵、穿越围栏、徘徊、物品遗留、物品搬移、快速移动、停车、人员聚集检测；支持人车分类报警；支持联动跟踪支持23倍光学变倍，16倍数字变倍采用400万像素1/2.8英寸CMOS 传感器支持星光级超低照度，彩色：0.005Lux@F1.65 黑白：0.0005Lux@F1.65  支持H.265编码，实现超低码流传输 内置100米红外灯补光，支持内置MIC，采用倍率与红外灯功率匹配算法，补光效果更均匀水平方向360°连续旋转，垂直方向-15°～90°自动翻转180°后连续监视,无监视盲区支持300个预置位，8条巡航路径，5条巡迹路径支持IP66防护等级，8000V防雷、防浪涌和防突波保护支持DC12V±10%宽电压输入</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个</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17</w:t>
            </w:r>
          </w:p>
        </w:tc>
        <w:tc>
          <w:tcPr>
            <w:tcW w:w="9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支架</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配置网络球机</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个</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pStyle w:val="9"/>
              <w:rPr>
                <w:rFonts w:hint="default" w:ascii="仿宋" w:hAnsi="仿宋" w:eastAsia="仿宋" w:cs="仿宋"/>
                <w:sz w:val="18"/>
                <w:szCs w:val="18"/>
                <w:lang w:val="en-US" w:eastAsia="zh-CN"/>
              </w:rPr>
            </w:pPr>
            <w:r>
              <w:rPr>
                <w:rFonts w:hint="eastAsia" w:ascii="仿宋" w:hAnsi="仿宋" w:eastAsia="仿宋" w:cs="仿宋"/>
                <w:sz w:val="18"/>
                <w:szCs w:val="18"/>
                <w:lang w:val="en-US" w:eastAsia="zh-CN"/>
              </w:rPr>
              <w:t>18</w:t>
            </w:r>
          </w:p>
        </w:tc>
        <w:tc>
          <w:tcPr>
            <w:tcW w:w="9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半球</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半球的支持绊线入侵，区域入侵，快速移动，物品遗留，物品搬移，徘徊检测，人员聚集，停车检测，人脸检测</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采用星光级400万1/2.7英寸CMOS图像传感器，低照度效果好，图像清晰度高</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最大可输出400万(2592×1520)@25fps</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支持SmartH.265/H.264H智能编码，ROI区域增强，SVC自适应编码，适用不同带宽和存储环境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最大红外监控距离50米，支持SmartIR，自动调整红外远近补光及画面均匀性</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支持走廊模式，宽动态，3D降噪，强光抑制，背光补偿，数字水印，适用不同监控环境</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支持内置MIC</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支持DC12V/POE供电方式，方便工程安装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支持IP67防护等级</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个</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auto"/>
              <w:jc w:val="center"/>
              <w:rPr>
                <w:rFonts w:hint="default" w:ascii="仿宋" w:hAnsi="仿宋" w:eastAsia="仿宋" w:cs="仿宋"/>
                <w:b w:val="0"/>
                <w:bCs w:val="0"/>
                <w:color w:val="000000"/>
                <w:kern w:val="0"/>
                <w:sz w:val="18"/>
                <w:szCs w:val="18"/>
                <w:lang w:val="en-US" w:eastAsia="zh-CN"/>
              </w:rPr>
            </w:pPr>
            <w:r>
              <w:rPr>
                <w:rFonts w:hint="eastAsia" w:ascii="仿宋" w:hAnsi="仿宋" w:eastAsia="仿宋" w:cs="仿宋"/>
                <w:b w:val="0"/>
                <w:bCs w:val="0"/>
                <w:color w:val="000000"/>
                <w:kern w:val="0"/>
                <w:sz w:val="18"/>
                <w:szCs w:val="18"/>
                <w:lang w:val="en-US" w:eastAsia="zh-CN"/>
              </w:rPr>
              <w:t>19</w:t>
            </w:r>
          </w:p>
        </w:tc>
        <w:tc>
          <w:tcPr>
            <w:tcW w:w="9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音响线</w:t>
            </w:r>
          </w:p>
        </w:tc>
        <w:tc>
          <w:tcPr>
            <w:tcW w:w="5700" w:type="dxa"/>
            <w:tcBorders>
              <w:top w:val="single" w:color="000000" w:sz="4" w:space="0"/>
              <w:left w:val="single" w:color="000000" w:sz="4" w:space="0"/>
              <w:bottom w:val="single" w:color="000000" w:sz="4" w:space="0"/>
              <w:right w:val="single" w:color="000000" w:sz="4" w:space="0"/>
            </w:tcBorders>
            <w:vAlign w:val="center"/>
          </w:tcPr>
          <w:p>
            <w:pPr>
              <w:jc w:val="center"/>
              <w:rPr>
                <w:rFonts w:hint="eastAsia" w:ascii="仿宋" w:hAnsi="仿宋" w:eastAsia="仿宋" w:cs="仿宋"/>
                <w:b w:val="0"/>
                <w:bCs w:val="0"/>
                <w:color w:val="000000"/>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卷</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auto"/>
              <w:jc w:val="center"/>
              <w:rPr>
                <w:rFonts w:hint="default" w:ascii="仿宋" w:hAnsi="仿宋" w:eastAsia="仿宋" w:cs="仿宋"/>
                <w:b w:val="0"/>
                <w:bCs w:val="0"/>
                <w:color w:val="000000"/>
                <w:kern w:val="0"/>
                <w:sz w:val="18"/>
                <w:szCs w:val="18"/>
                <w:lang w:val="en-US" w:eastAsia="zh-CN"/>
              </w:rPr>
            </w:pPr>
            <w:r>
              <w:rPr>
                <w:rFonts w:hint="eastAsia" w:ascii="仿宋" w:hAnsi="仿宋" w:eastAsia="仿宋" w:cs="仿宋"/>
                <w:b w:val="0"/>
                <w:bCs w:val="0"/>
                <w:color w:val="000000"/>
                <w:kern w:val="0"/>
                <w:sz w:val="18"/>
                <w:szCs w:val="18"/>
                <w:lang w:val="en-US" w:eastAsia="zh-CN"/>
              </w:rPr>
              <w:t>20</w:t>
            </w:r>
          </w:p>
        </w:tc>
        <w:tc>
          <w:tcPr>
            <w:tcW w:w="9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电源线</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安普中讯2X1.0RVV 无氧铜，弱电专用</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100</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米</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auto"/>
              <w:jc w:val="center"/>
              <w:rPr>
                <w:rFonts w:hint="default" w:ascii="仿宋" w:hAnsi="仿宋" w:eastAsia="仿宋" w:cs="仿宋"/>
                <w:b w:val="0"/>
                <w:bCs w:val="0"/>
                <w:color w:val="000000"/>
                <w:kern w:val="0"/>
                <w:sz w:val="18"/>
                <w:szCs w:val="18"/>
                <w:lang w:val="en-US" w:eastAsia="zh-CN"/>
              </w:rPr>
            </w:pPr>
            <w:r>
              <w:rPr>
                <w:rFonts w:hint="eastAsia" w:ascii="仿宋" w:hAnsi="仿宋" w:eastAsia="仿宋" w:cs="仿宋"/>
                <w:b w:val="0"/>
                <w:bCs w:val="0"/>
                <w:color w:val="000000"/>
                <w:kern w:val="0"/>
                <w:sz w:val="18"/>
                <w:szCs w:val="18"/>
                <w:lang w:val="en-US" w:eastAsia="zh-CN"/>
              </w:rPr>
              <w:t>21</w:t>
            </w:r>
          </w:p>
        </w:tc>
        <w:tc>
          <w:tcPr>
            <w:tcW w:w="9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交换机</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 xml:space="preserve"> 即插即用，桌面型 钢壳机身尺寸：158MMX100MMX25MM</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个</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auto"/>
              <w:jc w:val="center"/>
              <w:rPr>
                <w:rFonts w:hint="default" w:ascii="仿宋" w:hAnsi="仿宋" w:eastAsia="仿宋" w:cs="仿宋"/>
                <w:b w:val="0"/>
                <w:bCs w:val="0"/>
                <w:color w:val="000000"/>
                <w:kern w:val="0"/>
                <w:sz w:val="18"/>
                <w:szCs w:val="18"/>
                <w:lang w:val="en-US" w:eastAsia="zh-CN"/>
              </w:rPr>
            </w:pPr>
            <w:r>
              <w:rPr>
                <w:rFonts w:hint="eastAsia" w:ascii="仿宋" w:hAnsi="仿宋" w:eastAsia="仿宋" w:cs="仿宋"/>
                <w:b w:val="0"/>
                <w:bCs w:val="0"/>
                <w:color w:val="000000"/>
                <w:kern w:val="0"/>
                <w:sz w:val="18"/>
                <w:szCs w:val="18"/>
                <w:lang w:val="en-US" w:eastAsia="zh-CN"/>
              </w:rPr>
              <w:t>22</w:t>
            </w:r>
          </w:p>
        </w:tc>
        <w:tc>
          <w:tcPr>
            <w:tcW w:w="9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显示器</w:t>
            </w:r>
          </w:p>
        </w:tc>
        <w:tc>
          <w:tcPr>
            <w:tcW w:w="57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i w:val="0"/>
                <w:iCs w:val="0"/>
                <w:color w:val="000000"/>
                <w:kern w:val="2"/>
                <w:sz w:val="18"/>
                <w:szCs w:val="18"/>
                <w:u w:val="none"/>
                <w:lang w:val="en-US" w:eastAsia="zh-CN" w:bidi="ar-SA"/>
              </w:rPr>
            </w:pPr>
            <w:r>
              <w:rPr>
                <w:rFonts w:hint="eastAsia" w:ascii="仿宋" w:hAnsi="仿宋" w:eastAsia="仿宋" w:cs="仿宋"/>
                <w:i w:val="0"/>
                <w:iCs w:val="0"/>
                <w:color w:val="000000"/>
                <w:kern w:val="0"/>
                <w:sz w:val="18"/>
                <w:szCs w:val="18"/>
                <w:u w:val="none"/>
                <w:lang w:val="en-US" w:eastAsia="zh-CN" w:bidi="ar"/>
              </w:rPr>
              <w:t>广视角显示器，护眼显示器</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屏幕尺寸：21.5英寸</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液晶面板：TN</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屏幕类型：1080p(全高清)</w:t>
            </w:r>
            <w:r>
              <w:rPr>
                <w:rFonts w:hint="eastAsia" w:ascii="仿宋" w:hAnsi="仿宋" w:eastAsia="仿宋" w:cs="仿宋"/>
                <w:i w:val="0"/>
                <w:iCs w:val="0"/>
                <w:color w:val="000000"/>
                <w:kern w:val="0"/>
                <w:sz w:val="18"/>
                <w:szCs w:val="18"/>
                <w:u w:val="none"/>
                <w:lang w:val="en-US" w:eastAsia="zh-CN" w:bidi="ar"/>
              </w:rPr>
              <w:br w:type="textWrapping"/>
            </w:r>
            <w:r>
              <w:rPr>
                <w:rFonts w:hint="eastAsia" w:ascii="仿宋" w:hAnsi="仿宋" w:eastAsia="仿宋" w:cs="仿宋"/>
                <w:i w:val="0"/>
                <w:iCs w:val="0"/>
                <w:color w:val="000000"/>
                <w:kern w:val="0"/>
                <w:sz w:val="18"/>
                <w:szCs w:val="18"/>
                <w:u w:val="none"/>
                <w:lang w:val="en-US" w:eastAsia="zh-CN" w:bidi="ar"/>
              </w:rPr>
              <w:t>最佳分辨率：1920×1080   AOC 22B1H</w:t>
            </w: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台</w:t>
            </w:r>
          </w:p>
        </w:tc>
      </w:tr>
      <w:tr>
        <w:tblPrEx>
          <w:tblCellMar>
            <w:top w:w="15" w:type="dxa"/>
            <w:left w:w="15" w:type="dxa"/>
            <w:bottom w:w="15" w:type="dxa"/>
            <w:right w:w="15" w:type="dxa"/>
          </w:tblCellMar>
        </w:tblPrEx>
        <w:trPr>
          <w:trHeight w:val="286" w:hRule="atLeast"/>
        </w:trPr>
        <w:tc>
          <w:tcPr>
            <w:tcW w:w="690"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adjustRightInd w:val="0"/>
              <w:snapToGrid w:val="0"/>
              <w:spacing w:line="240" w:lineRule="auto"/>
              <w:jc w:val="center"/>
              <w:rPr>
                <w:rFonts w:hint="default" w:ascii="仿宋" w:hAnsi="仿宋" w:eastAsia="仿宋" w:cs="仿宋"/>
                <w:b w:val="0"/>
                <w:bCs w:val="0"/>
                <w:color w:val="000000"/>
                <w:kern w:val="0"/>
                <w:sz w:val="18"/>
                <w:szCs w:val="18"/>
                <w:lang w:val="en-US" w:eastAsia="zh-CN"/>
              </w:rPr>
            </w:pPr>
            <w:r>
              <w:rPr>
                <w:rFonts w:hint="eastAsia" w:ascii="仿宋" w:hAnsi="仿宋" w:eastAsia="仿宋" w:cs="仿宋"/>
                <w:b w:val="0"/>
                <w:bCs w:val="0"/>
                <w:color w:val="000000"/>
                <w:kern w:val="0"/>
                <w:sz w:val="18"/>
                <w:szCs w:val="18"/>
                <w:lang w:val="en-US" w:eastAsia="zh-CN"/>
              </w:rPr>
              <w:t>23</w:t>
            </w:r>
          </w:p>
        </w:tc>
        <w:tc>
          <w:tcPr>
            <w:tcW w:w="982"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无线键鼠</w:t>
            </w:r>
          </w:p>
        </w:tc>
        <w:tc>
          <w:tcPr>
            <w:tcW w:w="5700" w:type="dxa"/>
            <w:tcBorders>
              <w:top w:val="single" w:color="000000" w:sz="4" w:space="0"/>
              <w:left w:val="single" w:color="000000" w:sz="4" w:space="0"/>
              <w:bottom w:val="single" w:color="000000" w:sz="4" w:space="0"/>
              <w:right w:val="single" w:color="000000" w:sz="4" w:space="0"/>
            </w:tcBorders>
            <w:vAlign w:val="center"/>
          </w:tcPr>
          <w:p>
            <w:pPr>
              <w:widowControl/>
              <w:adjustRightInd w:val="0"/>
              <w:snapToGrid w:val="0"/>
              <w:spacing w:line="240" w:lineRule="auto"/>
              <w:rPr>
                <w:rFonts w:hint="eastAsia" w:ascii="仿宋" w:hAnsi="仿宋" w:eastAsia="仿宋" w:cs="仿宋"/>
                <w:b w:val="0"/>
                <w:bCs w:val="0"/>
                <w:color w:val="000000"/>
                <w:kern w:val="0"/>
                <w:sz w:val="18"/>
                <w:szCs w:val="18"/>
              </w:rPr>
            </w:pPr>
          </w:p>
        </w:tc>
        <w:tc>
          <w:tcPr>
            <w:tcW w:w="900"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1</w:t>
            </w:r>
          </w:p>
        </w:tc>
        <w:tc>
          <w:tcPr>
            <w:tcW w:w="1186" w:type="dxa"/>
            <w:tcBorders>
              <w:top w:val="single" w:color="000000" w:sz="4" w:space="0"/>
              <w:left w:val="single" w:color="000000" w:sz="4" w:space="0"/>
              <w:bottom w:val="single" w:color="000000" w:sz="4" w:space="0"/>
              <w:right w:val="single" w:color="000000" w:sz="4" w:space="0"/>
            </w:tcBorders>
            <w:vAlign w:val="center"/>
          </w:tcPr>
          <w:p>
            <w:pPr>
              <w:keepNext w:val="0"/>
              <w:keepLines w:val="0"/>
              <w:widowControl/>
              <w:suppressLineNumbers w:val="0"/>
              <w:jc w:val="center"/>
              <w:textAlignment w:val="center"/>
              <w:rPr>
                <w:rFonts w:hint="eastAsia" w:ascii="仿宋" w:hAnsi="仿宋" w:eastAsia="仿宋" w:cs="仿宋"/>
                <w:b w:val="0"/>
                <w:bCs w:val="0"/>
                <w:color w:val="000000"/>
                <w:kern w:val="0"/>
                <w:sz w:val="18"/>
                <w:szCs w:val="18"/>
              </w:rPr>
            </w:pPr>
            <w:r>
              <w:rPr>
                <w:rFonts w:hint="eastAsia" w:ascii="仿宋" w:hAnsi="仿宋" w:eastAsia="仿宋" w:cs="仿宋"/>
                <w:i w:val="0"/>
                <w:iCs w:val="0"/>
                <w:color w:val="000000"/>
                <w:kern w:val="0"/>
                <w:sz w:val="18"/>
                <w:szCs w:val="18"/>
                <w:u w:val="none"/>
                <w:lang w:val="en-US" w:eastAsia="zh-CN" w:bidi="ar"/>
              </w:rPr>
              <w:t>套</w:t>
            </w:r>
          </w:p>
        </w:tc>
      </w:tr>
    </w:tbl>
    <w:p>
      <w:pPr>
        <w:pStyle w:val="9"/>
        <w:ind w:left="0" w:leftChars="0" w:firstLine="0" w:firstLineChars="0"/>
        <w:rPr>
          <w:rFonts w:hint="eastAsia"/>
          <w:lang w:val="en-US" w:eastAsia="zh-CN"/>
        </w:rPr>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等线">
    <w:altName w:val="微软雅黑"/>
    <w:panose1 w:val="02010600030101010101"/>
    <w:charset w:val="86"/>
    <w:family w:val="auto"/>
    <w:pitch w:val="default"/>
    <w:sig w:usb0="00000000" w:usb1="00000000" w:usb2="00000016" w:usb3="00000000" w:csb0="0004000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6B980F"/>
    <w:multiLevelType w:val="singleLevel"/>
    <w:tmpl w:val="6F6B980F"/>
    <w:lvl w:ilvl="0" w:tentative="0">
      <w:start w:val="3"/>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63B3206"/>
    <w:rsid w:val="05D83373"/>
    <w:rsid w:val="069B084D"/>
    <w:rsid w:val="081159CD"/>
    <w:rsid w:val="086848D0"/>
    <w:rsid w:val="0DB619D9"/>
    <w:rsid w:val="0E2C07EE"/>
    <w:rsid w:val="0EA51E1B"/>
    <w:rsid w:val="0FE41D82"/>
    <w:rsid w:val="10AD5C19"/>
    <w:rsid w:val="11CB3BF4"/>
    <w:rsid w:val="13607195"/>
    <w:rsid w:val="15F75671"/>
    <w:rsid w:val="19C43F71"/>
    <w:rsid w:val="1A0B07E6"/>
    <w:rsid w:val="1AD1696E"/>
    <w:rsid w:val="1C1B0AB0"/>
    <w:rsid w:val="263B3206"/>
    <w:rsid w:val="2DED1D86"/>
    <w:rsid w:val="31F20EDD"/>
    <w:rsid w:val="35AE39D8"/>
    <w:rsid w:val="3625439C"/>
    <w:rsid w:val="363638C5"/>
    <w:rsid w:val="37927224"/>
    <w:rsid w:val="38991C1C"/>
    <w:rsid w:val="3BB41C2D"/>
    <w:rsid w:val="4598562E"/>
    <w:rsid w:val="4615312F"/>
    <w:rsid w:val="47321F30"/>
    <w:rsid w:val="47BE44DC"/>
    <w:rsid w:val="49BF3F3F"/>
    <w:rsid w:val="4B5107C1"/>
    <w:rsid w:val="5015709C"/>
    <w:rsid w:val="50B5319F"/>
    <w:rsid w:val="517B256D"/>
    <w:rsid w:val="546656FF"/>
    <w:rsid w:val="57332CD9"/>
    <w:rsid w:val="58516A21"/>
    <w:rsid w:val="59E449B6"/>
    <w:rsid w:val="5C22397C"/>
    <w:rsid w:val="5CE61C19"/>
    <w:rsid w:val="609B4BAB"/>
    <w:rsid w:val="620455FC"/>
    <w:rsid w:val="649B26E2"/>
    <w:rsid w:val="69B63AC3"/>
    <w:rsid w:val="6A2B46EE"/>
    <w:rsid w:val="71F43857"/>
    <w:rsid w:val="727413A5"/>
    <w:rsid w:val="76E56A93"/>
    <w:rsid w:val="77B96F52"/>
    <w:rsid w:val="79614293"/>
    <w:rsid w:val="79FB2A92"/>
    <w:rsid w:val="7C570B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snapToGrid w:val="0"/>
      <w:spacing w:line="360" w:lineRule="auto"/>
      <w:jc w:val="both"/>
    </w:pPr>
    <w:rPr>
      <w:rFonts w:ascii="Times New Roman" w:hAnsi="Times New Roman" w:eastAsia="宋体" w:cs="Times New Roman"/>
      <w:kern w:val="2"/>
      <w:sz w:val="21"/>
      <w:szCs w:val="21"/>
      <w:lang w:val="en-US" w:eastAsia="zh-CN" w:bidi="ar-SA"/>
    </w:rPr>
  </w:style>
  <w:style w:type="paragraph" w:styleId="3">
    <w:name w:val="heading 1"/>
    <w:basedOn w:val="1"/>
    <w:next w:val="1"/>
    <w:link w:val="14"/>
    <w:qFormat/>
    <w:uiPriority w:val="0"/>
    <w:pPr>
      <w:keepNext/>
      <w:jc w:val="center"/>
      <w:outlineLvl w:val="0"/>
    </w:pPr>
    <w:rPr>
      <w:b/>
      <w:bCs/>
      <w:kern w:val="0"/>
      <w:sz w:val="24"/>
      <w:szCs w:val="20"/>
    </w:rPr>
  </w:style>
  <w:style w:type="paragraph" w:styleId="4">
    <w:name w:val="heading 2"/>
    <w:basedOn w:val="1"/>
    <w:next w:val="1"/>
    <w:qFormat/>
    <w:uiPriority w:val="0"/>
    <w:pPr>
      <w:keepNext/>
      <w:keepLines/>
      <w:spacing w:line="360" w:lineRule="auto"/>
      <w:outlineLvl w:val="1"/>
    </w:pPr>
    <w:rPr>
      <w:rFonts w:ascii="Arial" w:hAnsi="Arial"/>
      <w:b/>
      <w:bCs/>
      <w:sz w:val="24"/>
      <w:szCs w:val="32"/>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afterLines="0" w:afterAutospacing="0"/>
    </w:pPr>
    <w:rPr>
      <w:rFonts w:ascii="Times New Roman" w:hAnsi="Times New Roman" w:eastAsia="宋体"/>
      <w:sz w:val="24"/>
      <w:szCs w:val="24"/>
    </w:rPr>
  </w:style>
  <w:style w:type="paragraph" w:styleId="5">
    <w:name w:val="Normal Indent"/>
    <w:basedOn w:val="1"/>
    <w:qFormat/>
    <w:uiPriority w:val="0"/>
    <w:pPr>
      <w:widowControl/>
      <w:ind w:firstLine="420"/>
      <w:jc w:val="left"/>
    </w:pPr>
    <w:rPr>
      <w:kern w:val="0"/>
      <w:sz w:val="20"/>
      <w:szCs w:val="20"/>
    </w:rPr>
  </w:style>
  <w:style w:type="paragraph" w:styleId="6">
    <w:name w:val="Body Text Indent"/>
    <w:basedOn w:val="1"/>
    <w:next w:val="7"/>
    <w:qFormat/>
    <w:uiPriority w:val="0"/>
    <w:pPr>
      <w:spacing w:line="330" w:lineRule="exact"/>
      <w:ind w:firstLine="412" w:firstLineChars="196"/>
    </w:pPr>
    <w:rPr>
      <w:rFonts w:ascii="宋体" w:hAnsi="宋体"/>
      <w:szCs w:val="18"/>
    </w:rPr>
  </w:style>
  <w:style w:type="paragraph" w:styleId="7">
    <w:name w:val="Body Text First Indent 2"/>
    <w:basedOn w:val="6"/>
    <w:next w:val="5"/>
    <w:qFormat/>
    <w:uiPriority w:val="0"/>
    <w:pPr>
      <w:ind w:firstLine="420" w:firstLineChars="200"/>
    </w:p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First Indent"/>
    <w:basedOn w:val="2"/>
    <w:next w:val="1"/>
    <w:qFormat/>
    <w:uiPriority w:val="99"/>
    <w:pPr>
      <w:ind w:firstLine="420" w:firstLineChars="100"/>
    </w:pPr>
    <w:rPr>
      <w:rFonts w:ascii="微软雅黑" w:hAnsi="微软雅黑" w:eastAsia="微软雅黑" w:cs="微软雅黑"/>
      <w:szCs w:val="21"/>
    </w:rPr>
  </w:style>
  <w:style w:type="character" w:customStyle="1" w:styleId="12">
    <w:name w:val="15"/>
    <w:basedOn w:val="11"/>
    <w:qFormat/>
    <w:uiPriority w:val="0"/>
    <w:rPr>
      <w:rFonts w:hint="eastAsia" w:ascii="等线" w:hAnsi="等线" w:eastAsia="等线"/>
      <w:color w:val="000000"/>
      <w:sz w:val="22"/>
      <w:szCs w:val="22"/>
    </w:rPr>
  </w:style>
  <w:style w:type="paragraph" w:customStyle="1" w:styleId="13">
    <w:name w:val="Default"/>
    <w:qFormat/>
    <w:uiPriority w:val="0"/>
    <w:pPr>
      <w:widowControl w:val="0"/>
      <w:autoSpaceDE w:val="0"/>
      <w:autoSpaceDN w:val="0"/>
      <w:adjustRightInd w:val="0"/>
    </w:pPr>
    <w:rPr>
      <w:rFonts w:ascii="黑体" w:hAnsi="Times New Roman" w:eastAsia="黑体" w:cs="Times New Roman"/>
      <w:lang w:val="en-US" w:eastAsia="zh-CN" w:bidi="ar-SA"/>
    </w:rPr>
  </w:style>
  <w:style w:type="character" w:customStyle="1" w:styleId="14">
    <w:name w:val="标题 1 字符"/>
    <w:link w:val="3"/>
    <w:qFormat/>
    <w:uiPriority w:val="0"/>
    <w:rPr>
      <w:b/>
      <w:bCs/>
      <w:kern w:val="0"/>
      <w:sz w:val="24"/>
      <w:szCs w:val="20"/>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2019-12-08T14:16:00Z</dcterms:created>
  <dc:creator>Administrator</dc:creator>
  <cp:lastModifiedBy>李佳 </cp:lastModifiedBy>
  <dcterms:modified xsi:type="dcterms:W3CDTF">2021-11-11T09:06:01Z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7C942A210B634861BF82CD2AE9426E0C</vt:lpwstr>
  </property>
</Properties>
</file>