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6A93D">
      <w:pPr>
        <w:pStyle w:val="26"/>
        <w:adjustRightInd w:val="0"/>
        <w:snapToGrid w:val="0"/>
        <w:spacing w:line="240" w:lineRule="atLeast"/>
        <w:jc w:val="center"/>
        <w:rPr>
          <w:rFonts w:hAnsi="宋体" w:cs="宋体"/>
          <w:color w:val="auto"/>
          <w:highlight w:val="none"/>
        </w:rPr>
      </w:pPr>
    </w:p>
    <w:p w14:paraId="7DE2714C">
      <w:pPr>
        <w:pStyle w:val="26"/>
        <w:adjustRightInd w:val="0"/>
        <w:snapToGrid w:val="0"/>
        <w:spacing w:line="240" w:lineRule="atLeast"/>
        <w:jc w:val="center"/>
        <w:rPr>
          <w:rFonts w:hAnsi="宋体" w:cs="宋体"/>
          <w:color w:val="auto"/>
          <w:highlight w:val="none"/>
        </w:rPr>
      </w:pPr>
      <w:r>
        <w:rPr>
          <w:rFonts w:hint="eastAsia"/>
          <w:b/>
          <w:color w:val="auto"/>
          <w:sz w:val="32"/>
          <w:szCs w:val="32"/>
          <w:highlight w:val="none"/>
        </w:rPr>
        <w:drawing>
          <wp:anchor distT="0" distB="0" distL="114300" distR="114300" simplePos="0" relativeHeight="251661312" behindDoc="0" locked="0" layoutInCell="1" allowOverlap="1">
            <wp:simplePos x="0" y="0"/>
            <wp:positionH relativeFrom="column">
              <wp:posOffset>-121920</wp:posOffset>
            </wp:positionH>
            <wp:positionV relativeFrom="paragraph">
              <wp:posOffset>-172085</wp:posOffset>
            </wp:positionV>
            <wp:extent cx="1009650" cy="790575"/>
            <wp:effectExtent l="0" t="0" r="0" b="9525"/>
            <wp:wrapNone/>
            <wp:docPr id="11" name="Picture 2"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222"/>
                    <pic:cNvPicPr>
                      <a:picLocks noChangeAspect="1"/>
                    </pic:cNvPicPr>
                  </pic:nvPicPr>
                  <pic:blipFill>
                    <a:blip r:embed="rId14" cstate="print"/>
                    <a:stretch>
                      <a:fillRect/>
                    </a:stretch>
                  </pic:blipFill>
                  <pic:spPr>
                    <a:xfrm>
                      <a:off x="0" y="0"/>
                      <a:ext cx="1009650" cy="790575"/>
                    </a:xfrm>
                    <a:prstGeom prst="rect">
                      <a:avLst/>
                    </a:prstGeom>
                    <a:noFill/>
                    <a:ln w="9525">
                      <a:noFill/>
                    </a:ln>
                  </pic:spPr>
                </pic:pic>
              </a:graphicData>
            </a:graphic>
          </wp:anchor>
        </w:drawing>
      </w:r>
    </w:p>
    <w:p w14:paraId="78D110E5">
      <w:pPr>
        <w:pStyle w:val="26"/>
        <w:adjustRightInd w:val="0"/>
        <w:snapToGrid w:val="0"/>
        <w:spacing w:line="240" w:lineRule="atLeast"/>
        <w:jc w:val="center"/>
        <w:rPr>
          <w:rFonts w:hAnsi="宋体" w:cs="宋体"/>
          <w:color w:val="auto"/>
          <w:highlight w:val="none"/>
        </w:rPr>
      </w:pPr>
    </w:p>
    <w:p w14:paraId="540115F1">
      <w:pPr>
        <w:pStyle w:val="26"/>
        <w:adjustRightInd w:val="0"/>
        <w:snapToGrid w:val="0"/>
        <w:spacing w:line="240" w:lineRule="atLeast"/>
        <w:jc w:val="center"/>
        <w:rPr>
          <w:rFonts w:hAnsi="宋体" w:cs="宋体"/>
          <w:color w:val="auto"/>
          <w:highlight w:val="none"/>
        </w:rPr>
      </w:pPr>
    </w:p>
    <w:p w14:paraId="47D7DC9D">
      <w:pPr>
        <w:pStyle w:val="26"/>
        <w:adjustRightInd w:val="0"/>
        <w:snapToGrid w:val="0"/>
        <w:spacing w:line="240" w:lineRule="atLeast"/>
        <w:jc w:val="center"/>
        <w:rPr>
          <w:rFonts w:hAnsi="宋体" w:cs="宋体"/>
          <w:b/>
          <w:bCs/>
          <w:color w:val="auto"/>
          <w:sz w:val="84"/>
          <w:szCs w:val="84"/>
          <w:highlight w:val="none"/>
        </w:rPr>
      </w:pPr>
    </w:p>
    <w:p w14:paraId="5CA352AA">
      <w:pPr>
        <w:pStyle w:val="26"/>
        <w:adjustRightInd w:val="0"/>
        <w:snapToGrid w:val="0"/>
        <w:spacing w:line="240" w:lineRule="atLeast"/>
        <w:jc w:val="center"/>
        <w:rPr>
          <w:rFonts w:hAnsi="宋体" w:cs="宋体"/>
          <w:b/>
          <w:bCs/>
          <w:color w:val="auto"/>
          <w:sz w:val="84"/>
          <w:szCs w:val="84"/>
          <w:highlight w:val="none"/>
        </w:rPr>
      </w:pPr>
      <w:r>
        <w:rPr>
          <w:rFonts w:hint="eastAsia" w:hAnsi="宋体" w:cs="宋体"/>
          <w:b/>
          <w:bCs/>
          <w:color w:val="auto"/>
          <w:sz w:val="84"/>
          <w:szCs w:val="84"/>
          <w:highlight w:val="none"/>
        </w:rPr>
        <w:t>政府采购</w:t>
      </w:r>
    </w:p>
    <w:p w14:paraId="76C6F7AA">
      <w:pPr>
        <w:pStyle w:val="26"/>
        <w:adjustRightInd w:val="0"/>
        <w:snapToGrid w:val="0"/>
        <w:spacing w:line="240" w:lineRule="atLeast"/>
        <w:ind w:firstLine="420"/>
        <w:jc w:val="center"/>
        <w:rPr>
          <w:rFonts w:hAnsi="宋体" w:cs="宋体"/>
          <w:b/>
          <w:bCs/>
          <w:color w:val="auto"/>
          <w:sz w:val="84"/>
          <w:szCs w:val="84"/>
          <w:highlight w:val="none"/>
        </w:rPr>
      </w:pPr>
      <w:r>
        <w:rPr>
          <w:rFonts w:hint="eastAsia" w:hAnsi="宋体" w:cs="宋体"/>
          <w:b/>
          <w:bCs/>
          <w:color w:val="auto"/>
          <w:sz w:val="84"/>
          <w:szCs w:val="84"/>
          <w:highlight w:val="none"/>
        </w:rPr>
        <w:t>公开招标文件</w:t>
      </w:r>
    </w:p>
    <w:p w14:paraId="2AAB86CA">
      <w:pPr>
        <w:pStyle w:val="26"/>
        <w:adjustRightInd w:val="0"/>
        <w:snapToGrid w:val="0"/>
        <w:spacing w:line="240" w:lineRule="atLeast"/>
        <w:jc w:val="center"/>
        <w:rPr>
          <w:rFonts w:hAnsi="宋体" w:cs="宋体"/>
          <w:b/>
          <w:bCs/>
          <w:color w:val="auto"/>
          <w:sz w:val="44"/>
          <w:szCs w:val="44"/>
          <w:highlight w:val="none"/>
        </w:rPr>
      </w:pPr>
    </w:p>
    <w:p w14:paraId="74760FE8">
      <w:pPr>
        <w:pStyle w:val="26"/>
        <w:adjustRightInd w:val="0"/>
        <w:snapToGrid w:val="0"/>
        <w:spacing w:line="240" w:lineRule="atLeast"/>
        <w:jc w:val="center"/>
        <w:rPr>
          <w:rFonts w:hAnsi="宋体" w:cs="宋体"/>
          <w:bCs/>
          <w:color w:val="auto"/>
          <w:highlight w:val="none"/>
        </w:rPr>
      </w:pPr>
    </w:p>
    <w:p w14:paraId="2BF77500">
      <w:pPr>
        <w:adjustRightInd w:val="0"/>
        <w:snapToGrid w:val="0"/>
        <w:spacing w:line="360" w:lineRule="auto"/>
        <w:rPr>
          <w:rFonts w:ascii="宋体" w:hAnsi="宋体" w:cs="宋体"/>
          <w:b/>
          <w:color w:val="auto"/>
          <w:sz w:val="32"/>
          <w:szCs w:val="32"/>
          <w:highlight w:val="none"/>
        </w:rPr>
      </w:pPr>
    </w:p>
    <w:p w14:paraId="076E5746">
      <w:pPr>
        <w:adjustRightInd w:val="0"/>
        <w:snapToGrid w:val="0"/>
        <w:spacing w:line="360" w:lineRule="auto"/>
        <w:ind w:firstLine="1124" w:firstLineChars="350"/>
        <w:rPr>
          <w:rFonts w:ascii="宋体" w:hAnsi="宋体" w:cs="宋体"/>
          <w:b/>
          <w:color w:val="auto"/>
          <w:sz w:val="32"/>
          <w:szCs w:val="32"/>
          <w:highlight w:val="none"/>
        </w:rPr>
      </w:pPr>
    </w:p>
    <w:p w14:paraId="1E3B5A9F">
      <w:pPr>
        <w:adjustRightInd w:val="0"/>
        <w:snapToGrid w:val="0"/>
        <w:spacing w:line="360" w:lineRule="auto"/>
        <w:ind w:firstLine="1124" w:firstLineChars="350"/>
        <w:rPr>
          <w:rFonts w:ascii="宋体" w:hAnsi="宋体" w:cs="宋体"/>
          <w:b/>
          <w:color w:val="auto"/>
          <w:sz w:val="32"/>
          <w:szCs w:val="32"/>
          <w:highlight w:val="none"/>
        </w:rPr>
      </w:pPr>
    </w:p>
    <w:p w14:paraId="0592E38E">
      <w:pPr>
        <w:keepNext w:val="0"/>
        <w:keepLines w:val="0"/>
        <w:pageBreakBefore w:val="0"/>
        <w:widowControl w:val="0"/>
        <w:kinsoku/>
        <w:wordWrap/>
        <w:overflowPunct/>
        <w:topLinePunct w:val="0"/>
        <w:autoSpaceDE/>
        <w:autoSpaceDN/>
        <w:bidi w:val="0"/>
        <w:adjustRightInd w:val="0"/>
        <w:snapToGrid w:val="0"/>
        <w:spacing w:line="360" w:lineRule="auto"/>
        <w:ind w:left="3307" w:leftChars="504" w:right="286" w:rightChars="136" w:hanging="2249" w:hangingChars="700"/>
        <w:textAlignment w:val="auto"/>
        <w:rPr>
          <w:rFonts w:hint="eastAsia" w:ascii="宋体" w:hAnsi="宋体" w:cs="宋体"/>
          <w:bCs/>
          <w:color w:val="auto"/>
          <w:sz w:val="32"/>
          <w:szCs w:val="32"/>
          <w:highlight w:val="none"/>
          <w:lang w:eastAsia="zh-CN"/>
        </w:rPr>
      </w:pPr>
      <w:r>
        <w:rPr>
          <w:rFonts w:hint="eastAsia" w:ascii="宋体" w:hAnsi="宋体" w:cs="宋体"/>
          <w:b/>
          <w:color w:val="auto"/>
          <w:sz w:val="32"/>
          <w:szCs w:val="32"/>
          <w:highlight w:val="none"/>
        </w:rPr>
        <w:t>采购项目名称：</w:t>
      </w:r>
      <w:r>
        <w:rPr>
          <w:rFonts w:hint="eastAsia" w:ascii="宋体" w:hAnsi="宋体" w:cs="宋体"/>
          <w:bCs/>
          <w:color w:val="auto"/>
          <w:sz w:val="32"/>
          <w:szCs w:val="32"/>
          <w:highlight w:val="none"/>
          <w:lang w:eastAsia="zh-CN"/>
        </w:rPr>
        <w:t>2024年-2026年度物业服务采购项目</w:t>
      </w:r>
    </w:p>
    <w:p w14:paraId="230D2D97">
      <w:pPr>
        <w:adjustRightInd w:val="0"/>
        <w:snapToGrid w:val="0"/>
        <w:spacing w:line="360" w:lineRule="auto"/>
        <w:ind w:firstLine="1124" w:firstLineChars="350"/>
        <w:rPr>
          <w:rFonts w:ascii="宋体" w:hAnsi="宋体" w:cs="宋体"/>
          <w:b/>
          <w:color w:val="auto"/>
          <w:sz w:val="32"/>
          <w:szCs w:val="32"/>
          <w:highlight w:val="none"/>
        </w:rPr>
      </w:pPr>
      <w:r>
        <w:rPr>
          <w:rFonts w:hint="eastAsia" w:ascii="宋体" w:hAnsi="宋体" w:cs="宋体"/>
          <w:b/>
          <w:color w:val="auto"/>
          <w:sz w:val="32"/>
          <w:szCs w:val="32"/>
          <w:highlight w:val="none"/>
        </w:rPr>
        <w:t>政府采购编号：</w:t>
      </w:r>
      <w:r>
        <w:rPr>
          <w:rFonts w:hint="eastAsia" w:ascii="宋体" w:hAnsi="宋体" w:cs="宋体"/>
          <w:bCs/>
          <w:color w:val="auto"/>
          <w:sz w:val="32"/>
          <w:szCs w:val="32"/>
          <w:highlight w:val="none"/>
          <w:lang w:eastAsia="zh-CN"/>
        </w:rPr>
        <w:t>株财采计[2024]000303号</w:t>
      </w:r>
      <w:r>
        <w:rPr>
          <w:rFonts w:hint="eastAsia" w:ascii="宋体" w:hAnsi="宋体" w:cs="宋体"/>
          <w:b/>
          <w:color w:val="auto"/>
          <w:sz w:val="32"/>
          <w:szCs w:val="32"/>
          <w:highlight w:val="none"/>
        </w:rPr>
        <w:t xml:space="preserve"> </w:t>
      </w:r>
    </w:p>
    <w:p w14:paraId="12D4C3D8">
      <w:pPr>
        <w:adjustRightInd w:val="0"/>
        <w:snapToGrid w:val="0"/>
        <w:spacing w:line="360" w:lineRule="auto"/>
        <w:ind w:firstLine="1124" w:firstLineChars="350"/>
        <w:rPr>
          <w:rFonts w:ascii="宋体" w:hAnsi="宋体" w:cs="宋体"/>
          <w:b/>
          <w:color w:val="auto"/>
          <w:sz w:val="32"/>
          <w:szCs w:val="32"/>
          <w:highlight w:val="none"/>
        </w:rPr>
      </w:pPr>
      <w:r>
        <w:rPr>
          <w:rFonts w:hint="eastAsia" w:ascii="宋体" w:hAnsi="宋体" w:cs="宋体"/>
          <w:b/>
          <w:color w:val="auto"/>
          <w:sz w:val="32"/>
          <w:szCs w:val="32"/>
          <w:highlight w:val="none"/>
        </w:rPr>
        <w:t>采购代理编号：</w:t>
      </w:r>
      <w:r>
        <w:rPr>
          <w:rFonts w:hint="eastAsia" w:ascii="宋体" w:hAnsi="宋体" w:cs="宋体"/>
          <w:bCs/>
          <w:color w:val="auto"/>
          <w:sz w:val="32"/>
          <w:szCs w:val="32"/>
          <w:highlight w:val="none"/>
          <w:lang w:eastAsia="zh-CN"/>
        </w:rPr>
        <w:t>2982-20241023-273</w:t>
      </w:r>
    </w:p>
    <w:p w14:paraId="15C821B8">
      <w:pPr>
        <w:adjustRightInd w:val="0"/>
        <w:snapToGrid w:val="0"/>
        <w:spacing w:line="360" w:lineRule="auto"/>
        <w:ind w:firstLine="1124" w:firstLineChars="35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采   购   人：</w:t>
      </w:r>
      <w:r>
        <w:rPr>
          <w:rFonts w:hint="eastAsia" w:ascii="宋体" w:hAnsi="宋体" w:cs="宋体"/>
          <w:bCs/>
          <w:color w:val="auto"/>
          <w:sz w:val="32"/>
          <w:szCs w:val="32"/>
          <w:highlight w:val="none"/>
          <w:lang w:eastAsia="zh-CN"/>
        </w:rPr>
        <w:t>湖南铁路科技职业技术学院</w:t>
      </w:r>
    </w:p>
    <w:p w14:paraId="4CD97817">
      <w:pPr>
        <w:adjustRightInd w:val="0"/>
        <w:snapToGrid w:val="0"/>
        <w:spacing w:line="360" w:lineRule="auto"/>
        <w:ind w:firstLine="1124" w:firstLineChars="350"/>
        <w:rPr>
          <w:rFonts w:ascii="宋体" w:hAnsi="宋体" w:cs="宋体"/>
          <w:b/>
          <w:color w:val="auto"/>
          <w:sz w:val="32"/>
          <w:szCs w:val="32"/>
          <w:highlight w:val="none"/>
        </w:rPr>
      </w:pPr>
      <w:r>
        <w:rPr>
          <w:rFonts w:hint="eastAsia" w:ascii="宋体" w:hAnsi="宋体" w:cs="宋体"/>
          <w:b/>
          <w:color w:val="auto"/>
          <w:sz w:val="32"/>
          <w:szCs w:val="32"/>
          <w:highlight w:val="none"/>
        </w:rPr>
        <w:t>采购代理机构：</w:t>
      </w:r>
      <w:r>
        <w:rPr>
          <w:rFonts w:hint="eastAsia" w:ascii="宋体" w:hAnsi="宋体" w:cs="宋体"/>
          <w:bCs/>
          <w:color w:val="auto"/>
          <w:sz w:val="32"/>
          <w:szCs w:val="32"/>
          <w:highlight w:val="none"/>
        </w:rPr>
        <w:t>湖南万达项目管理有限公司</w:t>
      </w:r>
    </w:p>
    <w:p w14:paraId="76029C23">
      <w:pPr>
        <w:adjustRightInd w:val="0"/>
        <w:snapToGrid w:val="0"/>
        <w:spacing w:line="360" w:lineRule="auto"/>
        <w:ind w:firstLine="1124" w:firstLineChars="350"/>
        <w:rPr>
          <w:rFonts w:ascii="宋体" w:hAnsi="宋体" w:cs="宋体"/>
          <w:b/>
          <w:color w:val="auto"/>
          <w:sz w:val="32"/>
          <w:szCs w:val="32"/>
          <w:highlight w:val="none"/>
        </w:rPr>
      </w:pPr>
      <w:r>
        <w:rPr>
          <w:rFonts w:hint="eastAsia" w:ascii="宋体" w:hAnsi="宋体" w:cs="宋体"/>
          <w:b/>
          <w:color w:val="auto"/>
          <w:sz w:val="32"/>
          <w:szCs w:val="32"/>
          <w:highlight w:val="none"/>
        </w:rPr>
        <w:t>日        期：</w:t>
      </w:r>
      <w:r>
        <w:rPr>
          <w:rFonts w:hint="eastAsia" w:ascii="宋体" w:hAnsi="宋体" w:cs="宋体"/>
          <w:bCs/>
          <w:color w:val="auto"/>
          <w:sz w:val="32"/>
          <w:szCs w:val="32"/>
          <w:highlight w:val="none"/>
        </w:rPr>
        <w:t>二〇二四年</w:t>
      </w:r>
      <w:r>
        <w:rPr>
          <w:rFonts w:hint="eastAsia" w:ascii="宋体" w:hAnsi="宋体" w:cs="宋体"/>
          <w:bCs/>
          <w:color w:val="auto"/>
          <w:sz w:val="32"/>
          <w:szCs w:val="32"/>
          <w:highlight w:val="none"/>
          <w:lang w:eastAsia="zh-CN"/>
        </w:rPr>
        <w:t>十</w:t>
      </w:r>
      <w:r>
        <w:rPr>
          <w:rFonts w:hint="eastAsia" w:ascii="宋体" w:hAnsi="宋体" w:cs="宋体"/>
          <w:bCs/>
          <w:color w:val="auto"/>
          <w:sz w:val="32"/>
          <w:szCs w:val="32"/>
          <w:highlight w:val="none"/>
        </w:rPr>
        <w:t>月</w:t>
      </w:r>
    </w:p>
    <w:p w14:paraId="0EDAFCA7">
      <w:pPr>
        <w:pStyle w:val="26"/>
        <w:adjustRightInd w:val="0"/>
        <w:snapToGrid w:val="0"/>
        <w:spacing w:line="360" w:lineRule="auto"/>
        <w:jc w:val="center"/>
        <w:rPr>
          <w:rFonts w:hint="eastAsia" w:hAnsi="宋体" w:cs="宋体"/>
          <w:b/>
          <w:color w:val="auto"/>
          <w:spacing w:val="160"/>
          <w:sz w:val="36"/>
          <w:szCs w:val="36"/>
          <w:highlight w:val="none"/>
        </w:rPr>
        <w:sectPr>
          <w:headerReference r:id="rId3" w:type="default"/>
          <w:footerReference r:id="rId4" w:type="default"/>
          <w:pgSz w:w="11905" w:h="16838"/>
          <w:pgMar w:top="1440" w:right="1587" w:bottom="1440" w:left="1587" w:header="1020" w:footer="567" w:gutter="0"/>
          <w:pgBorders>
            <w:top w:val="none" w:sz="0" w:space="0"/>
            <w:left w:val="none" w:sz="0" w:space="0"/>
            <w:bottom w:val="none" w:sz="0" w:space="0"/>
            <w:right w:val="none" w:sz="0" w:space="0"/>
          </w:pgBorders>
          <w:pgNumType w:fmt="decimal" w:start="2"/>
          <w:cols w:space="0" w:num="1"/>
          <w:docGrid w:type="lines" w:linePitch="317" w:charSpace="0"/>
        </w:sectPr>
      </w:pPr>
    </w:p>
    <w:p w14:paraId="6A73F85F">
      <w:pPr>
        <w:pStyle w:val="26"/>
        <w:adjustRightInd w:val="0"/>
        <w:snapToGrid w:val="0"/>
        <w:spacing w:line="360" w:lineRule="auto"/>
        <w:jc w:val="center"/>
        <w:rPr>
          <w:rFonts w:hAnsi="宋体" w:cs="宋体"/>
          <w:b/>
          <w:color w:val="auto"/>
          <w:spacing w:val="160"/>
          <w:sz w:val="36"/>
          <w:szCs w:val="36"/>
          <w:highlight w:val="none"/>
        </w:rPr>
      </w:pPr>
      <w:r>
        <w:rPr>
          <w:rFonts w:hint="eastAsia" w:hAnsi="宋体" w:cs="宋体"/>
          <w:b/>
          <w:color w:val="auto"/>
          <w:spacing w:val="160"/>
          <w:sz w:val="36"/>
          <w:szCs w:val="36"/>
          <w:highlight w:val="none"/>
        </w:rPr>
        <w:t>目录</w:t>
      </w:r>
    </w:p>
    <w:p w14:paraId="03924343">
      <w:pPr>
        <w:pStyle w:val="32"/>
        <w:tabs>
          <w:tab w:val="right" w:leader="dot" w:pos="8731"/>
        </w:tabs>
        <w:rPr>
          <w:color w:val="auto"/>
          <w:highlight w:val="none"/>
        </w:rPr>
      </w:pPr>
      <w:r>
        <w:rPr>
          <w:rStyle w:val="48"/>
          <w:rFonts w:hint="eastAsia"/>
          <w:b w:val="0"/>
          <w:color w:val="auto"/>
          <w:highlight w:val="none"/>
        </w:rPr>
        <w:fldChar w:fldCharType="begin"/>
      </w:r>
      <w:r>
        <w:rPr>
          <w:rStyle w:val="48"/>
          <w:rFonts w:hint="eastAsia" w:ascii="宋体" w:hAnsi="宋体" w:eastAsia="宋体" w:cs="宋体"/>
          <w:b w:val="0"/>
          <w:color w:val="auto"/>
          <w:highlight w:val="none"/>
        </w:rPr>
        <w:instrText xml:space="preserve"> TOC \o "1-4" \h \z \u </w:instrText>
      </w:r>
      <w:r>
        <w:rPr>
          <w:rStyle w:val="48"/>
          <w:rFonts w:hint="eastAsia"/>
          <w:b w:val="0"/>
          <w:color w:val="auto"/>
          <w:highlight w:val="none"/>
        </w:rPr>
        <w:fldChar w:fldCharType="separate"/>
      </w:r>
      <w:r>
        <w:rPr>
          <w:color w:val="auto"/>
          <w:highlight w:val="none"/>
        </w:rPr>
        <w:fldChar w:fldCharType="begin"/>
      </w:r>
      <w:r>
        <w:rPr>
          <w:color w:val="auto"/>
          <w:highlight w:val="none"/>
        </w:rPr>
        <w:instrText xml:space="preserve"> HYPERLINK \l "_Toc4738" </w:instrText>
      </w:r>
      <w:r>
        <w:rPr>
          <w:color w:val="auto"/>
          <w:highlight w:val="none"/>
        </w:rPr>
        <w:fldChar w:fldCharType="separate"/>
      </w:r>
      <w:r>
        <w:rPr>
          <w:rFonts w:hint="eastAsia" w:ascii="宋体" w:hAnsi="宋体" w:eastAsia="宋体" w:cs="宋体"/>
          <w:color w:val="auto"/>
          <w:szCs w:val="32"/>
          <w:highlight w:val="none"/>
        </w:rPr>
        <w:t>第一章 投标邀请</w:t>
      </w:r>
      <w:r>
        <w:rPr>
          <w:color w:val="auto"/>
          <w:highlight w:val="none"/>
        </w:rPr>
        <w:tab/>
      </w:r>
      <w:r>
        <w:rPr>
          <w:color w:val="auto"/>
          <w:highlight w:val="none"/>
        </w:rPr>
        <w:fldChar w:fldCharType="begin"/>
      </w:r>
      <w:r>
        <w:rPr>
          <w:color w:val="auto"/>
          <w:highlight w:val="none"/>
        </w:rPr>
        <w:instrText xml:space="preserve"> PAGEREF _Toc4738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13752450">
      <w:pPr>
        <w:pStyle w:val="32"/>
        <w:tabs>
          <w:tab w:val="right" w:leader="dot" w:pos="8731"/>
        </w:tabs>
        <w:rPr>
          <w:color w:val="auto"/>
          <w:highlight w:val="none"/>
        </w:rPr>
      </w:pPr>
      <w:r>
        <w:rPr>
          <w:color w:val="auto"/>
          <w:highlight w:val="none"/>
        </w:rPr>
        <w:fldChar w:fldCharType="begin"/>
      </w:r>
      <w:r>
        <w:rPr>
          <w:color w:val="auto"/>
          <w:highlight w:val="none"/>
        </w:rPr>
        <w:instrText xml:space="preserve"> HYPERLINK \l "_Toc31802" </w:instrText>
      </w:r>
      <w:r>
        <w:rPr>
          <w:color w:val="auto"/>
          <w:highlight w:val="none"/>
        </w:rPr>
        <w:fldChar w:fldCharType="separate"/>
      </w:r>
      <w:r>
        <w:rPr>
          <w:rFonts w:hint="eastAsia" w:ascii="宋体" w:hAnsi="宋体" w:eastAsia="宋体" w:cs="宋体"/>
          <w:color w:val="auto"/>
          <w:szCs w:val="32"/>
          <w:highlight w:val="none"/>
        </w:rPr>
        <w:t>第二章 投标须知</w:t>
      </w:r>
      <w:r>
        <w:rPr>
          <w:color w:val="auto"/>
          <w:highlight w:val="none"/>
        </w:rPr>
        <w:tab/>
      </w:r>
      <w:r>
        <w:rPr>
          <w:color w:val="auto"/>
          <w:highlight w:val="none"/>
        </w:rPr>
        <w:fldChar w:fldCharType="begin"/>
      </w:r>
      <w:r>
        <w:rPr>
          <w:color w:val="auto"/>
          <w:highlight w:val="none"/>
        </w:rPr>
        <w:instrText xml:space="preserve"> PAGEREF _Toc31802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3A79D2D6">
      <w:pPr>
        <w:pStyle w:val="36"/>
        <w:tabs>
          <w:tab w:val="right" w:leader="dot" w:pos="8731"/>
        </w:tabs>
        <w:ind w:left="420"/>
        <w:rPr>
          <w:color w:val="auto"/>
          <w:highlight w:val="none"/>
        </w:rPr>
      </w:pPr>
      <w:r>
        <w:rPr>
          <w:color w:val="auto"/>
          <w:highlight w:val="none"/>
        </w:rPr>
        <w:fldChar w:fldCharType="begin"/>
      </w:r>
      <w:r>
        <w:rPr>
          <w:color w:val="auto"/>
          <w:highlight w:val="none"/>
        </w:rPr>
        <w:instrText xml:space="preserve"> HYPERLINK \l "_Toc28944" </w:instrText>
      </w:r>
      <w:r>
        <w:rPr>
          <w:color w:val="auto"/>
          <w:highlight w:val="none"/>
        </w:rPr>
        <w:fldChar w:fldCharType="separate"/>
      </w:r>
      <w:r>
        <w:rPr>
          <w:rFonts w:hint="eastAsia" w:ascii="宋体" w:hAnsi="宋体" w:eastAsia="宋体" w:cs="宋体"/>
          <w:color w:val="auto"/>
          <w:szCs w:val="28"/>
          <w:highlight w:val="none"/>
        </w:rPr>
        <w:t>第一节 投标须知前附表</w:t>
      </w:r>
      <w:r>
        <w:rPr>
          <w:color w:val="auto"/>
          <w:highlight w:val="none"/>
        </w:rPr>
        <w:tab/>
      </w:r>
      <w:r>
        <w:rPr>
          <w:color w:val="auto"/>
          <w:highlight w:val="none"/>
        </w:rPr>
        <w:fldChar w:fldCharType="begin"/>
      </w:r>
      <w:r>
        <w:rPr>
          <w:color w:val="auto"/>
          <w:highlight w:val="none"/>
        </w:rPr>
        <w:instrText xml:space="preserve"> PAGEREF _Toc28944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2F744A9A">
      <w:pPr>
        <w:pStyle w:val="36"/>
        <w:tabs>
          <w:tab w:val="right" w:leader="dot" w:pos="8731"/>
        </w:tabs>
        <w:ind w:left="420"/>
        <w:rPr>
          <w:color w:val="auto"/>
          <w:highlight w:val="none"/>
        </w:rPr>
      </w:pPr>
      <w:r>
        <w:rPr>
          <w:color w:val="auto"/>
          <w:highlight w:val="none"/>
        </w:rPr>
        <w:fldChar w:fldCharType="begin"/>
      </w:r>
      <w:r>
        <w:rPr>
          <w:color w:val="auto"/>
          <w:highlight w:val="none"/>
        </w:rPr>
        <w:instrText xml:space="preserve"> HYPERLINK \l "_Toc9358" </w:instrText>
      </w:r>
      <w:r>
        <w:rPr>
          <w:color w:val="auto"/>
          <w:highlight w:val="none"/>
        </w:rPr>
        <w:fldChar w:fldCharType="separate"/>
      </w:r>
      <w:r>
        <w:rPr>
          <w:rFonts w:hint="eastAsia" w:ascii="宋体" w:hAnsi="宋体" w:eastAsia="宋体" w:cs="宋体"/>
          <w:color w:val="auto"/>
          <w:szCs w:val="28"/>
          <w:highlight w:val="none"/>
        </w:rPr>
        <w:t>第二节 投标须知</w:t>
      </w:r>
      <w:r>
        <w:rPr>
          <w:color w:val="auto"/>
          <w:highlight w:val="none"/>
        </w:rPr>
        <w:tab/>
      </w:r>
      <w:r>
        <w:rPr>
          <w:color w:val="auto"/>
          <w:highlight w:val="none"/>
        </w:rPr>
        <w:fldChar w:fldCharType="begin"/>
      </w:r>
      <w:r>
        <w:rPr>
          <w:color w:val="auto"/>
          <w:highlight w:val="none"/>
        </w:rPr>
        <w:instrText xml:space="preserve"> PAGEREF _Toc9358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13B9DE7E">
      <w:pPr>
        <w:pStyle w:val="25"/>
        <w:tabs>
          <w:tab w:val="right" w:leader="dot" w:pos="8731"/>
        </w:tabs>
        <w:ind w:left="840"/>
        <w:rPr>
          <w:color w:val="auto"/>
          <w:highlight w:val="none"/>
        </w:rPr>
      </w:pPr>
      <w:r>
        <w:rPr>
          <w:color w:val="auto"/>
          <w:highlight w:val="none"/>
        </w:rPr>
        <w:fldChar w:fldCharType="begin"/>
      </w:r>
      <w:r>
        <w:rPr>
          <w:color w:val="auto"/>
          <w:highlight w:val="none"/>
        </w:rPr>
        <w:instrText xml:space="preserve"> HYPERLINK \l "_Toc22154" </w:instrText>
      </w:r>
      <w:r>
        <w:rPr>
          <w:color w:val="auto"/>
          <w:highlight w:val="none"/>
        </w:rPr>
        <w:fldChar w:fldCharType="separate"/>
      </w:r>
      <w:r>
        <w:rPr>
          <w:rFonts w:hint="eastAsia" w:ascii="宋体" w:hAnsi="宋体" w:eastAsia="宋体" w:cs="宋体"/>
          <w:color w:val="auto"/>
          <w:szCs w:val="28"/>
          <w:highlight w:val="none"/>
        </w:rPr>
        <w:t>一、总则</w:t>
      </w:r>
      <w:r>
        <w:rPr>
          <w:color w:val="auto"/>
          <w:highlight w:val="none"/>
        </w:rPr>
        <w:tab/>
      </w:r>
      <w:r>
        <w:rPr>
          <w:color w:val="auto"/>
          <w:highlight w:val="none"/>
        </w:rPr>
        <w:fldChar w:fldCharType="begin"/>
      </w:r>
      <w:r>
        <w:rPr>
          <w:color w:val="auto"/>
          <w:highlight w:val="none"/>
        </w:rPr>
        <w:instrText xml:space="preserve"> PAGEREF _Toc22154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411A4E42">
      <w:pPr>
        <w:pStyle w:val="25"/>
        <w:tabs>
          <w:tab w:val="right" w:leader="dot" w:pos="8731"/>
        </w:tabs>
        <w:ind w:left="840"/>
        <w:rPr>
          <w:color w:val="auto"/>
          <w:highlight w:val="none"/>
        </w:rPr>
      </w:pPr>
      <w:r>
        <w:rPr>
          <w:color w:val="auto"/>
          <w:highlight w:val="none"/>
        </w:rPr>
        <w:fldChar w:fldCharType="begin"/>
      </w:r>
      <w:r>
        <w:rPr>
          <w:color w:val="auto"/>
          <w:highlight w:val="none"/>
        </w:rPr>
        <w:instrText xml:space="preserve"> HYPERLINK \l "_Toc5089" </w:instrText>
      </w:r>
      <w:r>
        <w:rPr>
          <w:color w:val="auto"/>
          <w:highlight w:val="none"/>
        </w:rPr>
        <w:fldChar w:fldCharType="separate"/>
      </w:r>
      <w:r>
        <w:rPr>
          <w:rFonts w:hint="eastAsia" w:ascii="宋体" w:hAnsi="宋体" w:eastAsia="宋体" w:cs="宋体"/>
          <w:color w:val="auto"/>
          <w:szCs w:val="28"/>
          <w:highlight w:val="none"/>
        </w:rPr>
        <w:t>二、招标文件</w:t>
      </w:r>
      <w:r>
        <w:rPr>
          <w:color w:val="auto"/>
          <w:highlight w:val="none"/>
        </w:rPr>
        <w:tab/>
      </w:r>
      <w:r>
        <w:rPr>
          <w:color w:val="auto"/>
          <w:highlight w:val="none"/>
        </w:rPr>
        <w:fldChar w:fldCharType="begin"/>
      </w:r>
      <w:r>
        <w:rPr>
          <w:color w:val="auto"/>
          <w:highlight w:val="none"/>
        </w:rPr>
        <w:instrText xml:space="preserve"> PAGEREF _Toc5089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7DAEDE8B">
      <w:pPr>
        <w:pStyle w:val="25"/>
        <w:tabs>
          <w:tab w:val="right" w:leader="dot" w:pos="8731"/>
        </w:tabs>
        <w:ind w:left="840"/>
        <w:rPr>
          <w:color w:val="auto"/>
          <w:highlight w:val="none"/>
        </w:rPr>
      </w:pPr>
      <w:r>
        <w:rPr>
          <w:color w:val="auto"/>
          <w:highlight w:val="none"/>
        </w:rPr>
        <w:fldChar w:fldCharType="begin"/>
      </w:r>
      <w:r>
        <w:rPr>
          <w:color w:val="auto"/>
          <w:highlight w:val="none"/>
        </w:rPr>
        <w:instrText xml:space="preserve"> HYPERLINK \l "_Toc30694" </w:instrText>
      </w:r>
      <w:r>
        <w:rPr>
          <w:color w:val="auto"/>
          <w:highlight w:val="none"/>
        </w:rPr>
        <w:fldChar w:fldCharType="separate"/>
      </w:r>
      <w:r>
        <w:rPr>
          <w:rFonts w:hint="eastAsia" w:ascii="宋体" w:hAnsi="宋体" w:eastAsia="宋体" w:cs="宋体"/>
          <w:color w:val="auto"/>
          <w:szCs w:val="28"/>
          <w:highlight w:val="none"/>
        </w:rPr>
        <w:t>三、投标文件</w:t>
      </w:r>
      <w:r>
        <w:rPr>
          <w:color w:val="auto"/>
          <w:highlight w:val="none"/>
        </w:rPr>
        <w:tab/>
      </w:r>
      <w:r>
        <w:rPr>
          <w:color w:val="auto"/>
          <w:highlight w:val="none"/>
        </w:rPr>
        <w:fldChar w:fldCharType="begin"/>
      </w:r>
      <w:r>
        <w:rPr>
          <w:color w:val="auto"/>
          <w:highlight w:val="none"/>
        </w:rPr>
        <w:instrText xml:space="preserve"> PAGEREF _Toc30694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5D941772">
      <w:pPr>
        <w:pStyle w:val="25"/>
        <w:tabs>
          <w:tab w:val="right" w:leader="dot" w:pos="8731"/>
        </w:tabs>
        <w:ind w:left="840"/>
        <w:rPr>
          <w:color w:val="auto"/>
          <w:highlight w:val="none"/>
        </w:rPr>
      </w:pPr>
      <w:r>
        <w:rPr>
          <w:color w:val="auto"/>
          <w:highlight w:val="none"/>
        </w:rPr>
        <w:fldChar w:fldCharType="begin"/>
      </w:r>
      <w:r>
        <w:rPr>
          <w:color w:val="auto"/>
          <w:highlight w:val="none"/>
        </w:rPr>
        <w:instrText xml:space="preserve"> HYPERLINK \l "_Toc30186" </w:instrText>
      </w:r>
      <w:r>
        <w:rPr>
          <w:color w:val="auto"/>
          <w:highlight w:val="none"/>
        </w:rPr>
        <w:fldChar w:fldCharType="separate"/>
      </w:r>
      <w:r>
        <w:rPr>
          <w:rFonts w:hint="eastAsia" w:ascii="宋体" w:hAnsi="宋体" w:eastAsia="宋体" w:cs="宋体"/>
          <w:color w:val="auto"/>
          <w:szCs w:val="28"/>
          <w:highlight w:val="none"/>
        </w:rPr>
        <w:t>四、投标</w:t>
      </w:r>
      <w:r>
        <w:rPr>
          <w:color w:val="auto"/>
          <w:highlight w:val="none"/>
        </w:rPr>
        <w:tab/>
      </w:r>
      <w:r>
        <w:rPr>
          <w:color w:val="auto"/>
          <w:highlight w:val="none"/>
        </w:rPr>
        <w:fldChar w:fldCharType="begin"/>
      </w:r>
      <w:r>
        <w:rPr>
          <w:color w:val="auto"/>
          <w:highlight w:val="none"/>
        </w:rPr>
        <w:instrText xml:space="preserve"> PAGEREF _Toc30186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6268F672">
      <w:pPr>
        <w:pStyle w:val="25"/>
        <w:tabs>
          <w:tab w:val="right" w:leader="dot" w:pos="8731"/>
        </w:tabs>
        <w:ind w:left="840"/>
        <w:rPr>
          <w:color w:val="auto"/>
          <w:highlight w:val="none"/>
        </w:rPr>
      </w:pPr>
      <w:r>
        <w:rPr>
          <w:color w:val="auto"/>
          <w:highlight w:val="none"/>
        </w:rPr>
        <w:fldChar w:fldCharType="begin"/>
      </w:r>
      <w:r>
        <w:rPr>
          <w:color w:val="auto"/>
          <w:highlight w:val="none"/>
        </w:rPr>
        <w:instrText xml:space="preserve"> HYPERLINK \l "_Toc17174" </w:instrText>
      </w:r>
      <w:r>
        <w:rPr>
          <w:color w:val="auto"/>
          <w:highlight w:val="none"/>
        </w:rPr>
        <w:fldChar w:fldCharType="separate"/>
      </w:r>
      <w:r>
        <w:rPr>
          <w:rFonts w:hint="eastAsia" w:ascii="宋体" w:hAnsi="宋体" w:eastAsia="宋体" w:cs="宋体"/>
          <w:color w:val="auto"/>
          <w:szCs w:val="28"/>
          <w:highlight w:val="none"/>
        </w:rPr>
        <w:t>五、开标，资格审查和评标</w:t>
      </w:r>
      <w:r>
        <w:rPr>
          <w:color w:val="auto"/>
          <w:highlight w:val="none"/>
        </w:rPr>
        <w:tab/>
      </w:r>
      <w:r>
        <w:rPr>
          <w:color w:val="auto"/>
          <w:highlight w:val="none"/>
        </w:rPr>
        <w:fldChar w:fldCharType="begin"/>
      </w:r>
      <w:r>
        <w:rPr>
          <w:color w:val="auto"/>
          <w:highlight w:val="none"/>
        </w:rPr>
        <w:instrText xml:space="preserve"> PAGEREF _Toc17174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7CA48120">
      <w:pPr>
        <w:pStyle w:val="25"/>
        <w:tabs>
          <w:tab w:val="right" w:leader="dot" w:pos="8731"/>
        </w:tabs>
        <w:ind w:left="840"/>
        <w:rPr>
          <w:color w:val="auto"/>
          <w:highlight w:val="none"/>
        </w:rPr>
      </w:pPr>
      <w:r>
        <w:rPr>
          <w:color w:val="auto"/>
          <w:highlight w:val="none"/>
        </w:rPr>
        <w:fldChar w:fldCharType="begin"/>
      </w:r>
      <w:r>
        <w:rPr>
          <w:color w:val="auto"/>
          <w:highlight w:val="none"/>
        </w:rPr>
        <w:instrText xml:space="preserve"> HYPERLINK \l "_Toc30107" </w:instrText>
      </w:r>
      <w:r>
        <w:rPr>
          <w:color w:val="auto"/>
          <w:highlight w:val="none"/>
        </w:rPr>
        <w:fldChar w:fldCharType="separate"/>
      </w:r>
      <w:r>
        <w:rPr>
          <w:rFonts w:hint="eastAsia" w:ascii="宋体" w:hAnsi="宋体" w:eastAsia="宋体" w:cs="宋体"/>
          <w:color w:val="auto"/>
          <w:szCs w:val="28"/>
          <w:highlight w:val="none"/>
        </w:rPr>
        <w:t>六、中标信息公布</w:t>
      </w:r>
      <w:r>
        <w:rPr>
          <w:color w:val="auto"/>
          <w:highlight w:val="none"/>
        </w:rPr>
        <w:tab/>
      </w:r>
      <w:r>
        <w:rPr>
          <w:color w:val="auto"/>
          <w:highlight w:val="none"/>
        </w:rPr>
        <w:fldChar w:fldCharType="begin"/>
      </w:r>
      <w:r>
        <w:rPr>
          <w:color w:val="auto"/>
          <w:highlight w:val="none"/>
        </w:rPr>
        <w:instrText xml:space="preserve"> PAGEREF _Toc30107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10479776">
      <w:pPr>
        <w:pStyle w:val="25"/>
        <w:tabs>
          <w:tab w:val="right" w:leader="dot" w:pos="8731"/>
        </w:tabs>
        <w:ind w:left="840"/>
        <w:rPr>
          <w:color w:val="auto"/>
          <w:highlight w:val="none"/>
        </w:rPr>
      </w:pPr>
      <w:r>
        <w:rPr>
          <w:color w:val="auto"/>
          <w:highlight w:val="none"/>
        </w:rPr>
        <w:fldChar w:fldCharType="begin"/>
      </w:r>
      <w:r>
        <w:rPr>
          <w:color w:val="auto"/>
          <w:highlight w:val="none"/>
        </w:rPr>
        <w:instrText xml:space="preserve"> HYPERLINK \l "_Toc229" </w:instrText>
      </w:r>
      <w:r>
        <w:rPr>
          <w:color w:val="auto"/>
          <w:highlight w:val="none"/>
        </w:rPr>
        <w:fldChar w:fldCharType="separate"/>
      </w:r>
      <w:r>
        <w:rPr>
          <w:rFonts w:hint="eastAsia" w:ascii="宋体" w:hAnsi="宋体" w:eastAsia="宋体" w:cs="宋体"/>
          <w:color w:val="auto"/>
          <w:szCs w:val="28"/>
          <w:highlight w:val="none"/>
        </w:rPr>
        <w:t>七、合同签订</w:t>
      </w:r>
      <w:r>
        <w:rPr>
          <w:color w:val="auto"/>
          <w:highlight w:val="none"/>
        </w:rPr>
        <w:tab/>
      </w:r>
      <w:r>
        <w:rPr>
          <w:color w:val="auto"/>
          <w:highlight w:val="none"/>
        </w:rPr>
        <w:fldChar w:fldCharType="begin"/>
      </w:r>
      <w:r>
        <w:rPr>
          <w:color w:val="auto"/>
          <w:highlight w:val="none"/>
        </w:rPr>
        <w:instrText xml:space="preserve"> PAGEREF _Toc229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6F8276AC">
      <w:pPr>
        <w:pStyle w:val="25"/>
        <w:tabs>
          <w:tab w:val="right" w:leader="dot" w:pos="8731"/>
        </w:tabs>
        <w:ind w:left="840"/>
        <w:rPr>
          <w:color w:val="auto"/>
          <w:highlight w:val="none"/>
        </w:rPr>
      </w:pPr>
      <w:r>
        <w:rPr>
          <w:color w:val="auto"/>
          <w:highlight w:val="none"/>
        </w:rPr>
        <w:fldChar w:fldCharType="begin"/>
      </w:r>
      <w:r>
        <w:rPr>
          <w:color w:val="auto"/>
          <w:highlight w:val="none"/>
        </w:rPr>
        <w:instrText xml:space="preserve"> HYPERLINK \l "_Toc25512" </w:instrText>
      </w:r>
      <w:r>
        <w:rPr>
          <w:color w:val="auto"/>
          <w:highlight w:val="none"/>
        </w:rPr>
        <w:fldChar w:fldCharType="separate"/>
      </w:r>
      <w:r>
        <w:rPr>
          <w:rFonts w:hint="eastAsia" w:ascii="宋体" w:hAnsi="宋体" w:eastAsia="宋体" w:cs="宋体"/>
          <w:color w:val="auto"/>
          <w:szCs w:val="28"/>
          <w:highlight w:val="none"/>
        </w:rPr>
        <w:t>八、政府采购政策</w:t>
      </w:r>
      <w:r>
        <w:rPr>
          <w:color w:val="auto"/>
          <w:highlight w:val="none"/>
        </w:rPr>
        <w:tab/>
      </w:r>
      <w:r>
        <w:rPr>
          <w:color w:val="auto"/>
          <w:highlight w:val="none"/>
        </w:rPr>
        <w:fldChar w:fldCharType="begin"/>
      </w:r>
      <w:r>
        <w:rPr>
          <w:color w:val="auto"/>
          <w:highlight w:val="none"/>
        </w:rPr>
        <w:instrText xml:space="preserve"> PAGEREF _Toc25512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5ABB18D3">
      <w:pPr>
        <w:pStyle w:val="25"/>
        <w:tabs>
          <w:tab w:val="right" w:leader="dot" w:pos="8731"/>
        </w:tabs>
        <w:ind w:left="840"/>
        <w:rPr>
          <w:color w:val="auto"/>
          <w:highlight w:val="none"/>
        </w:rPr>
      </w:pPr>
      <w:r>
        <w:rPr>
          <w:color w:val="auto"/>
          <w:highlight w:val="none"/>
        </w:rPr>
        <w:fldChar w:fldCharType="begin"/>
      </w:r>
      <w:r>
        <w:rPr>
          <w:color w:val="auto"/>
          <w:highlight w:val="none"/>
        </w:rPr>
        <w:instrText xml:space="preserve"> HYPERLINK \l "_Toc9701" </w:instrText>
      </w:r>
      <w:r>
        <w:rPr>
          <w:color w:val="auto"/>
          <w:highlight w:val="none"/>
        </w:rPr>
        <w:fldChar w:fldCharType="separate"/>
      </w:r>
      <w:r>
        <w:rPr>
          <w:rFonts w:hint="eastAsia" w:ascii="宋体" w:hAnsi="宋体" w:eastAsia="宋体" w:cs="宋体"/>
          <w:color w:val="auto"/>
          <w:szCs w:val="28"/>
          <w:highlight w:val="none"/>
        </w:rPr>
        <w:t>九、其他规定</w:t>
      </w:r>
      <w:r>
        <w:rPr>
          <w:color w:val="auto"/>
          <w:highlight w:val="none"/>
        </w:rPr>
        <w:tab/>
      </w:r>
      <w:r>
        <w:rPr>
          <w:color w:val="auto"/>
          <w:highlight w:val="none"/>
        </w:rPr>
        <w:fldChar w:fldCharType="begin"/>
      </w:r>
      <w:r>
        <w:rPr>
          <w:color w:val="auto"/>
          <w:highlight w:val="none"/>
        </w:rPr>
        <w:instrText xml:space="preserve"> PAGEREF _Toc9701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5C354F9C">
      <w:pPr>
        <w:pStyle w:val="32"/>
        <w:tabs>
          <w:tab w:val="right" w:leader="dot" w:pos="8731"/>
        </w:tabs>
        <w:rPr>
          <w:color w:val="auto"/>
          <w:highlight w:val="none"/>
        </w:rPr>
      </w:pPr>
      <w:r>
        <w:rPr>
          <w:color w:val="auto"/>
          <w:highlight w:val="none"/>
        </w:rPr>
        <w:fldChar w:fldCharType="begin"/>
      </w:r>
      <w:r>
        <w:rPr>
          <w:color w:val="auto"/>
          <w:highlight w:val="none"/>
        </w:rPr>
        <w:instrText xml:space="preserve"> HYPERLINK \l "_Toc30286" </w:instrText>
      </w:r>
      <w:r>
        <w:rPr>
          <w:color w:val="auto"/>
          <w:highlight w:val="none"/>
        </w:rPr>
        <w:fldChar w:fldCharType="separate"/>
      </w:r>
      <w:r>
        <w:rPr>
          <w:rFonts w:hint="eastAsia" w:ascii="宋体" w:hAnsi="宋体" w:eastAsia="宋体" w:cs="宋体"/>
          <w:color w:val="auto"/>
          <w:szCs w:val="32"/>
          <w:highlight w:val="none"/>
        </w:rPr>
        <w:t>第三章 资格审查</w:t>
      </w:r>
      <w:r>
        <w:rPr>
          <w:color w:val="auto"/>
          <w:highlight w:val="none"/>
        </w:rPr>
        <w:tab/>
      </w:r>
      <w:r>
        <w:rPr>
          <w:color w:val="auto"/>
          <w:highlight w:val="none"/>
        </w:rPr>
        <w:fldChar w:fldCharType="begin"/>
      </w:r>
      <w:r>
        <w:rPr>
          <w:color w:val="auto"/>
          <w:highlight w:val="none"/>
        </w:rPr>
        <w:instrText xml:space="preserve"> PAGEREF _Toc30286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4F538ACA">
      <w:pPr>
        <w:pStyle w:val="25"/>
        <w:tabs>
          <w:tab w:val="right" w:leader="dot" w:pos="8731"/>
        </w:tabs>
        <w:ind w:left="840"/>
        <w:rPr>
          <w:color w:val="auto"/>
          <w:highlight w:val="none"/>
        </w:rPr>
      </w:pPr>
      <w:r>
        <w:rPr>
          <w:color w:val="auto"/>
          <w:highlight w:val="none"/>
        </w:rPr>
        <w:fldChar w:fldCharType="begin"/>
      </w:r>
      <w:r>
        <w:rPr>
          <w:color w:val="auto"/>
          <w:highlight w:val="none"/>
        </w:rPr>
        <w:instrText xml:space="preserve"> HYPERLINK \l "_Toc31656" </w:instrText>
      </w:r>
      <w:r>
        <w:rPr>
          <w:color w:val="auto"/>
          <w:highlight w:val="none"/>
        </w:rPr>
        <w:fldChar w:fldCharType="separate"/>
      </w:r>
      <w:r>
        <w:rPr>
          <w:rFonts w:hint="eastAsia" w:ascii="宋体" w:hAnsi="宋体" w:eastAsia="宋体" w:cs="宋体"/>
          <w:color w:val="auto"/>
          <w:highlight w:val="none"/>
        </w:rPr>
        <w:t>1．资格审查主体</w:t>
      </w:r>
      <w:r>
        <w:rPr>
          <w:color w:val="auto"/>
          <w:highlight w:val="none"/>
        </w:rPr>
        <w:tab/>
      </w:r>
      <w:r>
        <w:rPr>
          <w:color w:val="auto"/>
          <w:highlight w:val="none"/>
        </w:rPr>
        <w:fldChar w:fldCharType="begin"/>
      </w:r>
      <w:r>
        <w:rPr>
          <w:color w:val="auto"/>
          <w:highlight w:val="none"/>
        </w:rPr>
        <w:instrText xml:space="preserve"> PAGEREF _Toc31656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64114789">
      <w:pPr>
        <w:pStyle w:val="25"/>
        <w:tabs>
          <w:tab w:val="right" w:leader="dot" w:pos="8731"/>
        </w:tabs>
        <w:ind w:left="840"/>
        <w:rPr>
          <w:color w:val="auto"/>
          <w:highlight w:val="none"/>
        </w:rPr>
      </w:pPr>
      <w:r>
        <w:rPr>
          <w:color w:val="auto"/>
          <w:highlight w:val="none"/>
        </w:rPr>
        <w:fldChar w:fldCharType="begin"/>
      </w:r>
      <w:r>
        <w:rPr>
          <w:color w:val="auto"/>
          <w:highlight w:val="none"/>
        </w:rPr>
        <w:instrText xml:space="preserve"> HYPERLINK \l "_Toc5131" </w:instrText>
      </w:r>
      <w:r>
        <w:rPr>
          <w:color w:val="auto"/>
          <w:highlight w:val="none"/>
        </w:rPr>
        <w:fldChar w:fldCharType="separate"/>
      </w:r>
      <w:r>
        <w:rPr>
          <w:rFonts w:hint="eastAsia" w:ascii="宋体" w:hAnsi="宋体" w:eastAsia="宋体" w:cs="宋体"/>
          <w:color w:val="auto"/>
          <w:highlight w:val="none"/>
        </w:rPr>
        <w:t>2．资格审查</w:t>
      </w:r>
      <w:r>
        <w:rPr>
          <w:color w:val="auto"/>
          <w:highlight w:val="none"/>
        </w:rPr>
        <w:tab/>
      </w:r>
      <w:r>
        <w:rPr>
          <w:color w:val="auto"/>
          <w:highlight w:val="none"/>
        </w:rPr>
        <w:fldChar w:fldCharType="begin"/>
      </w:r>
      <w:r>
        <w:rPr>
          <w:color w:val="auto"/>
          <w:highlight w:val="none"/>
        </w:rPr>
        <w:instrText xml:space="preserve"> PAGEREF _Toc5131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6B218626">
      <w:pPr>
        <w:pStyle w:val="25"/>
        <w:tabs>
          <w:tab w:val="right" w:leader="dot" w:pos="8731"/>
        </w:tabs>
        <w:ind w:left="840"/>
        <w:rPr>
          <w:color w:val="auto"/>
          <w:highlight w:val="none"/>
        </w:rPr>
      </w:pPr>
      <w:r>
        <w:rPr>
          <w:color w:val="auto"/>
          <w:highlight w:val="none"/>
        </w:rPr>
        <w:fldChar w:fldCharType="begin"/>
      </w:r>
      <w:r>
        <w:rPr>
          <w:color w:val="auto"/>
          <w:highlight w:val="none"/>
        </w:rPr>
        <w:instrText xml:space="preserve"> HYPERLINK \l "_Toc27906" </w:instrText>
      </w:r>
      <w:r>
        <w:rPr>
          <w:color w:val="auto"/>
          <w:highlight w:val="none"/>
        </w:rPr>
        <w:fldChar w:fldCharType="separate"/>
      </w:r>
      <w:r>
        <w:rPr>
          <w:rFonts w:hint="eastAsia" w:ascii="宋体" w:hAnsi="宋体" w:eastAsia="宋体" w:cs="宋体"/>
          <w:color w:val="auto"/>
          <w:highlight w:val="none"/>
        </w:rPr>
        <w:t>3．资格审查结果</w:t>
      </w:r>
      <w:r>
        <w:rPr>
          <w:color w:val="auto"/>
          <w:highlight w:val="none"/>
        </w:rPr>
        <w:tab/>
      </w:r>
      <w:r>
        <w:rPr>
          <w:color w:val="auto"/>
          <w:highlight w:val="none"/>
        </w:rPr>
        <w:fldChar w:fldCharType="begin"/>
      </w:r>
      <w:r>
        <w:rPr>
          <w:color w:val="auto"/>
          <w:highlight w:val="none"/>
        </w:rPr>
        <w:instrText xml:space="preserve"> PAGEREF _Toc27906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6E8198F1">
      <w:pPr>
        <w:pStyle w:val="32"/>
        <w:tabs>
          <w:tab w:val="right" w:leader="dot" w:pos="8731"/>
        </w:tabs>
        <w:rPr>
          <w:color w:val="auto"/>
          <w:highlight w:val="none"/>
        </w:rPr>
      </w:pPr>
      <w:r>
        <w:rPr>
          <w:color w:val="auto"/>
          <w:highlight w:val="none"/>
        </w:rPr>
        <w:fldChar w:fldCharType="begin"/>
      </w:r>
      <w:r>
        <w:rPr>
          <w:color w:val="auto"/>
          <w:highlight w:val="none"/>
        </w:rPr>
        <w:instrText xml:space="preserve"> HYPERLINK \l "_Toc8231" </w:instrText>
      </w:r>
      <w:r>
        <w:rPr>
          <w:color w:val="auto"/>
          <w:highlight w:val="none"/>
        </w:rPr>
        <w:fldChar w:fldCharType="separate"/>
      </w:r>
      <w:r>
        <w:rPr>
          <w:rFonts w:hint="eastAsia" w:ascii="宋体" w:hAnsi="宋体" w:eastAsia="宋体" w:cs="宋体"/>
          <w:color w:val="auto"/>
          <w:szCs w:val="32"/>
          <w:highlight w:val="none"/>
        </w:rPr>
        <w:t>第四章 评标方法及标准</w:t>
      </w:r>
      <w:r>
        <w:rPr>
          <w:color w:val="auto"/>
          <w:highlight w:val="none"/>
        </w:rPr>
        <w:tab/>
      </w:r>
      <w:r>
        <w:rPr>
          <w:color w:val="auto"/>
          <w:highlight w:val="none"/>
        </w:rPr>
        <w:fldChar w:fldCharType="begin"/>
      </w:r>
      <w:r>
        <w:rPr>
          <w:color w:val="auto"/>
          <w:highlight w:val="none"/>
        </w:rPr>
        <w:instrText xml:space="preserve"> PAGEREF _Toc8231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1FDD9136">
      <w:pPr>
        <w:pStyle w:val="36"/>
        <w:tabs>
          <w:tab w:val="right" w:leader="dot" w:pos="8731"/>
        </w:tabs>
        <w:ind w:left="420"/>
        <w:rPr>
          <w:color w:val="auto"/>
          <w:highlight w:val="none"/>
        </w:rPr>
      </w:pPr>
      <w:r>
        <w:rPr>
          <w:color w:val="auto"/>
          <w:highlight w:val="none"/>
        </w:rPr>
        <w:fldChar w:fldCharType="begin"/>
      </w:r>
      <w:r>
        <w:rPr>
          <w:color w:val="auto"/>
          <w:highlight w:val="none"/>
        </w:rPr>
        <w:instrText xml:space="preserve"> HYPERLINK \l "_Toc18984" </w:instrText>
      </w:r>
      <w:r>
        <w:rPr>
          <w:color w:val="auto"/>
          <w:highlight w:val="none"/>
        </w:rPr>
        <w:fldChar w:fldCharType="separate"/>
      </w:r>
      <w:r>
        <w:rPr>
          <w:rFonts w:hint="eastAsia" w:ascii="宋体" w:hAnsi="宋体" w:eastAsia="宋体" w:cs="宋体"/>
          <w:color w:val="auto"/>
          <w:szCs w:val="28"/>
          <w:highlight w:val="none"/>
        </w:rPr>
        <w:t>第一节 评标方法及标准前附表</w:t>
      </w:r>
      <w:r>
        <w:rPr>
          <w:color w:val="auto"/>
          <w:highlight w:val="none"/>
        </w:rPr>
        <w:tab/>
      </w:r>
      <w:r>
        <w:rPr>
          <w:color w:val="auto"/>
          <w:highlight w:val="none"/>
        </w:rPr>
        <w:fldChar w:fldCharType="begin"/>
      </w:r>
      <w:r>
        <w:rPr>
          <w:color w:val="auto"/>
          <w:highlight w:val="none"/>
        </w:rPr>
        <w:instrText xml:space="preserve"> PAGEREF _Toc18984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072B0CE3">
      <w:pPr>
        <w:pStyle w:val="36"/>
        <w:tabs>
          <w:tab w:val="right" w:leader="dot" w:pos="8731"/>
        </w:tabs>
        <w:ind w:left="420"/>
        <w:rPr>
          <w:color w:val="auto"/>
          <w:highlight w:val="none"/>
        </w:rPr>
      </w:pPr>
      <w:r>
        <w:rPr>
          <w:color w:val="auto"/>
          <w:highlight w:val="none"/>
        </w:rPr>
        <w:fldChar w:fldCharType="begin"/>
      </w:r>
      <w:r>
        <w:rPr>
          <w:color w:val="auto"/>
          <w:highlight w:val="none"/>
        </w:rPr>
        <w:instrText xml:space="preserve"> HYPERLINK \l "_Toc32483" </w:instrText>
      </w:r>
      <w:r>
        <w:rPr>
          <w:color w:val="auto"/>
          <w:highlight w:val="none"/>
        </w:rPr>
        <w:fldChar w:fldCharType="separate"/>
      </w:r>
      <w:r>
        <w:rPr>
          <w:rFonts w:hint="eastAsia" w:ascii="宋体" w:hAnsi="宋体" w:eastAsia="宋体" w:cs="宋体"/>
          <w:color w:val="auto"/>
          <w:szCs w:val="28"/>
          <w:highlight w:val="none"/>
        </w:rPr>
        <w:t>第二节 评标方法及标准</w:t>
      </w:r>
      <w:r>
        <w:rPr>
          <w:color w:val="auto"/>
          <w:highlight w:val="none"/>
        </w:rPr>
        <w:tab/>
      </w:r>
      <w:r>
        <w:rPr>
          <w:color w:val="auto"/>
          <w:highlight w:val="none"/>
        </w:rPr>
        <w:fldChar w:fldCharType="begin"/>
      </w:r>
      <w:r>
        <w:rPr>
          <w:color w:val="auto"/>
          <w:highlight w:val="none"/>
        </w:rPr>
        <w:instrText xml:space="preserve"> PAGEREF _Toc32483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33A33C02">
      <w:pPr>
        <w:pStyle w:val="36"/>
        <w:tabs>
          <w:tab w:val="right" w:leader="dot" w:pos="8731"/>
        </w:tabs>
        <w:ind w:left="420"/>
        <w:rPr>
          <w:color w:val="auto"/>
          <w:highlight w:val="none"/>
        </w:rPr>
      </w:pPr>
      <w:r>
        <w:rPr>
          <w:color w:val="auto"/>
          <w:highlight w:val="none"/>
        </w:rPr>
        <w:fldChar w:fldCharType="begin"/>
      </w:r>
      <w:r>
        <w:rPr>
          <w:color w:val="auto"/>
          <w:highlight w:val="none"/>
        </w:rPr>
        <w:instrText xml:space="preserve"> HYPERLINK \l "_Toc6699" </w:instrText>
      </w:r>
      <w:r>
        <w:rPr>
          <w:color w:val="auto"/>
          <w:highlight w:val="none"/>
        </w:rPr>
        <w:fldChar w:fldCharType="separate"/>
      </w:r>
      <w:r>
        <w:rPr>
          <w:rFonts w:hint="eastAsia" w:ascii="宋体" w:hAnsi="宋体" w:eastAsia="宋体" w:cs="宋体"/>
          <w:color w:val="auto"/>
          <w:szCs w:val="28"/>
          <w:highlight w:val="none"/>
        </w:rPr>
        <w:t>第三节 投标文件的符合性审查</w:t>
      </w:r>
      <w:r>
        <w:rPr>
          <w:color w:val="auto"/>
          <w:highlight w:val="none"/>
        </w:rPr>
        <w:tab/>
      </w:r>
      <w:r>
        <w:rPr>
          <w:color w:val="auto"/>
          <w:highlight w:val="none"/>
        </w:rPr>
        <w:fldChar w:fldCharType="begin"/>
      </w:r>
      <w:r>
        <w:rPr>
          <w:color w:val="auto"/>
          <w:highlight w:val="none"/>
        </w:rPr>
        <w:instrText xml:space="preserve"> PAGEREF _Toc6699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2D8E4355">
      <w:pPr>
        <w:pStyle w:val="36"/>
        <w:tabs>
          <w:tab w:val="right" w:leader="dot" w:pos="8731"/>
        </w:tabs>
        <w:ind w:left="420"/>
        <w:rPr>
          <w:color w:val="auto"/>
          <w:highlight w:val="none"/>
        </w:rPr>
      </w:pPr>
      <w:r>
        <w:rPr>
          <w:color w:val="auto"/>
          <w:highlight w:val="none"/>
        </w:rPr>
        <w:fldChar w:fldCharType="begin"/>
      </w:r>
      <w:r>
        <w:rPr>
          <w:color w:val="auto"/>
          <w:highlight w:val="none"/>
        </w:rPr>
        <w:instrText xml:space="preserve"> HYPERLINK \l "_Toc17906" </w:instrText>
      </w:r>
      <w:r>
        <w:rPr>
          <w:color w:val="auto"/>
          <w:highlight w:val="none"/>
        </w:rPr>
        <w:fldChar w:fldCharType="separate"/>
      </w:r>
      <w:r>
        <w:rPr>
          <w:rFonts w:hint="eastAsia" w:ascii="宋体" w:hAnsi="宋体" w:eastAsia="宋体" w:cs="宋体"/>
          <w:color w:val="auto"/>
          <w:szCs w:val="28"/>
          <w:highlight w:val="none"/>
        </w:rPr>
        <w:t>第四节 投标文件的比较与评价（综合评分法）</w:t>
      </w:r>
      <w:r>
        <w:rPr>
          <w:color w:val="auto"/>
          <w:highlight w:val="none"/>
        </w:rPr>
        <w:tab/>
      </w:r>
      <w:r>
        <w:rPr>
          <w:color w:val="auto"/>
          <w:highlight w:val="none"/>
        </w:rPr>
        <w:fldChar w:fldCharType="begin"/>
      </w:r>
      <w:r>
        <w:rPr>
          <w:color w:val="auto"/>
          <w:highlight w:val="none"/>
        </w:rPr>
        <w:instrText xml:space="preserve"> PAGEREF _Toc17906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7D2C1E27">
      <w:pPr>
        <w:pStyle w:val="32"/>
        <w:tabs>
          <w:tab w:val="right" w:leader="dot" w:pos="8731"/>
        </w:tabs>
        <w:rPr>
          <w:color w:val="auto"/>
          <w:highlight w:val="none"/>
        </w:rPr>
      </w:pPr>
      <w:r>
        <w:rPr>
          <w:color w:val="auto"/>
          <w:highlight w:val="none"/>
        </w:rPr>
        <w:fldChar w:fldCharType="begin"/>
      </w:r>
      <w:r>
        <w:rPr>
          <w:color w:val="auto"/>
          <w:highlight w:val="none"/>
        </w:rPr>
        <w:instrText xml:space="preserve"> HYPERLINK \l "_Toc5005" </w:instrText>
      </w:r>
      <w:r>
        <w:rPr>
          <w:color w:val="auto"/>
          <w:highlight w:val="none"/>
        </w:rPr>
        <w:fldChar w:fldCharType="separate"/>
      </w:r>
      <w:r>
        <w:rPr>
          <w:rFonts w:hint="eastAsia" w:ascii="宋体" w:hAnsi="宋体" w:eastAsia="宋体" w:cs="宋体"/>
          <w:color w:val="auto"/>
          <w:szCs w:val="32"/>
          <w:highlight w:val="none"/>
        </w:rPr>
        <w:t>第五章 采购需求</w:t>
      </w:r>
      <w:r>
        <w:rPr>
          <w:color w:val="auto"/>
          <w:highlight w:val="none"/>
        </w:rPr>
        <w:tab/>
      </w:r>
      <w:r>
        <w:rPr>
          <w:color w:val="auto"/>
          <w:highlight w:val="none"/>
        </w:rPr>
        <w:fldChar w:fldCharType="begin"/>
      </w:r>
      <w:r>
        <w:rPr>
          <w:color w:val="auto"/>
          <w:highlight w:val="none"/>
        </w:rPr>
        <w:instrText xml:space="preserve"> PAGEREF _Toc5005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6D7FCCDF">
      <w:pPr>
        <w:pStyle w:val="32"/>
        <w:tabs>
          <w:tab w:val="right" w:leader="dot" w:pos="8731"/>
        </w:tabs>
        <w:rPr>
          <w:color w:val="auto"/>
          <w:highlight w:val="none"/>
        </w:rPr>
      </w:pPr>
      <w:r>
        <w:rPr>
          <w:color w:val="auto"/>
          <w:highlight w:val="none"/>
        </w:rPr>
        <w:fldChar w:fldCharType="begin"/>
      </w:r>
      <w:r>
        <w:rPr>
          <w:color w:val="auto"/>
          <w:highlight w:val="none"/>
        </w:rPr>
        <w:instrText xml:space="preserve"> HYPERLINK \l "_Toc23952" </w:instrText>
      </w:r>
      <w:r>
        <w:rPr>
          <w:color w:val="auto"/>
          <w:highlight w:val="none"/>
        </w:rPr>
        <w:fldChar w:fldCharType="separate"/>
      </w:r>
      <w:r>
        <w:rPr>
          <w:rFonts w:hint="eastAsia" w:ascii="宋体" w:hAnsi="宋体" w:eastAsia="宋体" w:cs="宋体"/>
          <w:color w:val="auto"/>
          <w:szCs w:val="32"/>
          <w:highlight w:val="none"/>
        </w:rPr>
        <w:t>第六章 政府采购合同</w:t>
      </w:r>
      <w:r>
        <w:rPr>
          <w:color w:val="auto"/>
          <w:highlight w:val="none"/>
        </w:rPr>
        <w:tab/>
      </w:r>
      <w:r>
        <w:rPr>
          <w:color w:val="auto"/>
          <w:highlight w:val="none"/>
        </w:rPr>
        <w:fldChar w:fldCharType="begin"/>
      </w:r>
      <w:r>
        <w:rPr>
          <w:color w:val="auto"/>
          <w:highlight w:val="none"/>
        </w:rPr>
        <w:instrText xml:space="preserve"> PAGEREF _Toc23952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3A8E2E76">
      <w:pPr>
        <w:pStyle w:val="36"/>
        <w:tabs>
          <w:tab w:val="right" w:leader="dot" w:pos="8731"/>
        </w:tabs>
        <w:ind w:left="420"/>
        <w:rPr>
          <w:color w:val="auto"/>
          <w:highlight w:val="none"/>
        </w:rPr>
      </w:pPr>
      <w:r>
        <w:rPr>
          <w:color w:val="auto"/>
          <w:highlight w:val="none"/>
        </w:rPr>
        <w:fldChar w:fldCharType="begin"/>
      </w:r>
      <w:r>
        <w:rPr>
          <w:color w:val="auto"/>
          <w:highlight w:val="none"/>
        </w:rPr>
        <w:instrText xml:space="preserve"> HYPERLINK \l "_Toc21538" </w:instrText>
      </w:r>
      <w:r>
        <w:rPr>
          <w:color w:val="auto"/>
          <w:highlight w:val="none"/>
        </w:rPr>
        <w:fldChar w:fldCharType="separate"/>
      </w:r>
      <w:r>
        <w:rPr>
          <w:rFonts w:hint="eastAsia" w:ascii="宋体" w:hAnsi="宋体" w:eastAsia="宋体" w:cs="宋体"/>
          <w:color w:val="auto"/>
          <w:szCs w:val="28"/>
          <w:highlight w:val="none"/>
        </w:rPr>
        <w:t>第一节 政府采购合同协议书</w:t>
      </w:r>
      <w:r>
        <w:rPr>
          <w:color w:val="auto"/>
          <w:highlight w:val="none"/>
        </w:rPr>
        <w:tab/>
      </w:r>
      <w:r>
        <w:rPr>
          <w:color w:val="auto"/>
          <w:highlight w:val="none"/>
        </w:rPr>
        <w:fldChar w:fldCharType="begin"/>
      </w:r>
      <w:r>
        <w:rPr>
          <w:color w:val="auto"/>
          <w:highlight w:val="none"/>
        </w:rPr>
        <w:instrText xml:space="preserve"> PAGEREF _Toc17166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14:paraId="58050AEE">
      <w:pPr>
        <w:pStyle w:val="36"/>
        <w:tabs>
          <w:tab w:val="right" w:leader="dot" w:pos="8731"/>
        </w:tabs>
        <w:ind w:left="420"/>
        <w:rPr>
          <w:color w:val="auto"/>
          <w:highlight w:val="none"/>
        </w:rPr>
      </w:pPr>
      <w:r>
        <w:rPr>
          <w:color w:val="auto"/>
          <w:highlight w:val="none"/>
        </w:rPr>
        <w:fldChar w:fldCharType="begin"/>
      </w:r>
      <w:r>
        <w:rPr>
          <w:color w:val="auto"/>
          <w:highlight w:val="none"/>
        </w:rPr>
        <w:instrText xml:space="preserve"> HYPERLINK \l "_Toc17166" </w:instrText>
      </w:r>
      <w:r>
        <w:rPr>
          <w:color w:val="auto"/>
          <w:highlight w:val="none"/>
        </w:rPr>
        <w:fldChar w:fldCharType="separate"/>
      </w:r>
      <w:r>
        <w:rPr>
          <w:rFonts w:hint="eastAsia" w:ascii="宋体" w:hAnsi="宋体" w:eastAsia="宋体" w:cs="宋体"/>
          <w:color w:val="auto"/>
          <w:szCs w:val="28"/>
          <w:highlight w:val="none"/>
        </w:rPr>
        <w:t>第二节 政府采购合同通用条款</w:t>
      </w:r>
      <w:r>
        <w:rPr>
          <w:color w:val="auto"/>
          <w:highlight w:val="none"/>
        </w:rPr>
        <w:tab/>
      </w:r>
      <w:r>
        <w:rPr>
          <w:color w:val="auto"/>
          <w:highlight w:val="none"/>
        </w:rPr>
        <w:fldChar w:fldCharType="begin"/>
      </w:r>
      <w:r>
        <w:rPr>
          <w:color w:val="auto"/>
          <w:highlight w:val="none"/>
        </w:rPr>
        <w:instrText xml:space="preserve"> PAGEREF _Toc17166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14:paraId="30AB5B42">
      <w:pPr>
        <w:pStyle w:val="36"/>
        <w:tabs>
          <w:tab w:val="right" w:leader="dot" w:pos="8731"/>
        </w:tabs>
        <w:ind w:left="420"/>
        <w:rPr>
          <w:color w:val="auto"/>
          <w:highlight w:val="none"/>
        </w:rPr>
      </w:pPr>
      <w:r>
        <w:rPr>
          <w:color w:val="auto"/>
          <w:highlight w:val="none"/>
        </w:rPr>
        <w:fldChar w:fldCharType="begin"/>
      </w:r>
      <w:r>
        <w:rPr>
          <w:color w:val="auto"/>
          <w:highlight w:val="none"/>
        </w:rPr>
        <w:instrText xml:space="preserve"> HYPERLINK \l "_Toc19726" </w:instrText>
      </w:r>
      <w:r>
        <w:rPr>
          <w:color w:val="auto"/>
          <w:highlight w:val="none"/>
        </w:rPr>
        <w:fldChar w:fldCharType="separate"/>
      </w:r>
      <w:r>
        <w:rPr>
          <w:rFonts w:hint="eastAsia" w:ascii="宋体" w:hAnsi="宋体" w:eastAsia="宋体" w:cs="宋体"/>
          <w:color w:val="auto"/>
          <w:szCs w:val="28"/>
          <w:highlight w:val="none"/>
        </w:rPr>
        <w:t>第三节 政府采购合同专用条款</w:t>
      </w:r>
      <w:r>
        <w:rPr>
          <w:color w:val="auto"/>
          <w:highlight w:val="none"/>
        </w:rPr>
        <w:tab/>
      </w:r>
      <w:r>
        <w:rPr>
          <w:color w:val="auto"/>
          <w:highlight w:val="none"/>
        </w:rPr>
        <w:fldChar w:fldCharType="begin"/>
      </w:r>
      <w:r>
        <w:rPr>
          <w:color w:val="auto"/>
          <w:highlight w:val="none"/>
        </w:rPr>
        <w:instrText xml:space="preserve"> PAGEREF _Toc19726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14:paraId="58D1F789">
      <w:pPr>
        <w:pStyle w:val="32"/>
        <w:tabs>
          <w:tab w:val="right" w:leader="dot" w:pos="8731"/>
        </w:tabs>
        <w:rPr>
          <w:color w:val="auto"/>
          <w:highlight w:val="none"/>
        </w:rPr>
      </w:pPr>
      <w:r>
        <w:rPr>
          <w:color w:val="auto"/>
          <w:highlight w:val="none"/>
        </w:rPr>
        <w:fldChar w:fldCharType="begin"/>
      </w:r>
      <w:r>
        <w:rPr>
          <w:color w:val="auto"/>
          <w:highlight w:val="none"/>
        </w:rPr>
        <w:instrText xml:space="preserve"> HYPERLINK \l "_Toc32433" </w:instrText>
      </w:r>
      <w:r>
        <w:rPr>
          <w:color w:val="auto"/>
          <w:highlight w:val="none"/>
        </w:rPr>
        <w:fldChar w:fldCharType="separate"/>
      </w:r>
      <w:r>
        <w:rPr>
          <w:rFonts w:hint="eastAsia" w:ascii="宋体" w:hAnsi="宋体" w:eastAsia="宋体" w:cs="宋体"/>
          <w:bCs/>
          <w:color w:val="auto"/>
          <w:szCs w:val="32"/>
          <w:highlight w:val="none"/>
        </w:rPr>
        <w:t>第七章 投标文件的组成</w:t>
      </w:r>
      <w:r>
        <w:rPr>
          <w:color w:val="auto"/>
          <w:highlight w:val="none"/>
        </w:rPr>
        <w:tab/>
      </w:r>
      <w:r>
        <w:rPr>
          <w:color w:val="auto"/>
          <w:highlight w:val="none"/>
        </w:rPr>
        <w:fldChar w:fldCharType="begin"/>
      </w:r>
      <w:r>
        <w:rPr>
          <w:color w:val="auto"/>
          <w:highlight w:val="none"/>
        </w:rPr>
        <w:instrText xml:space="preserve"> PAGEREF _Toc32433 \h </w:instrText>
      </w:r>
      <w:r>
        <w:rPr>
          <w:color w:val="auto"/>
          <w:highlight w:val="none"/>
        </w:rPr>
        <w:fldChar w:fldCharType="separate"/>
      </w:r>
      <w:r>
        <w:rPr>
          <w:color w:val="auto"/>
          <w:highlight w:val="none"/>
        </w:rPr>
        <w:t>99</w:t>
      </w:r>
      <w:r>
        <w:rPr>
          <w:color w:val="auto"/>
          <w:highlight w:val="none"/>
        </w:rPr>
        <w:fldChar w:fldCharType="end"/>
      </w:r>
      <w:r>
        <w:rPr>
          <w:color w:val="auto"/>
          <w:highlight w:val="none"/>
        </w:rPr>
        <w:fldChar w:fldCharType="end"/>
      </w:r>
    </w:p>
    <w:p w14:paraId="622422D0">
      <w:pPr>
        <w:pStyle w:val="36"/>
        <w:tabs>
          <w:tab w:val="right" w:leader="dot" w:pos="8731"/>
        </w:tabs>
        <w:ind w:left="420"/>
        <w:rPr>
          <w:color w:val="auto"/>
          <w:highlight w:val="none"/>
        </w:rPr>
      </w:pPr>
      <w:r>
        <w:rPr>
          <w:color w:val="auto"/>
          <w:highlight w:val="none"/>
        </w:rPr>
        <w:fldChar w:fldCharType="begin"/>
      </w:r>
      <w:r>
        <w:rPr>
          <w:color w:val="auto"/>
          <w:highlight w:val="none"/>
        </w:rPr>
        <w:instrText xml:space="preserve"> HYPERLINK \l "_Toc16142" </w:instrText>
      </w:r>
      <w:r>
        <w:rPr>
          <w:color w:val="auto"/>
          <w:highlight w:val="none"/>
        </w:rPr>
        <w:fldChar w:fldCharType="separate"/>
      </w:r>
      <w:r>
        <w:rPr>
          <w:rFonts w:hint="eastAsia" w:ascii="宋体" w:hAnsi="宋体" w:eastAsia="宋体" w:cs="宋体"/>
          <w:color w:val="auto"/>
          <w:szCs w:val="44"/>
          <w:highlight w:val="none"/>
        </w:rPr>
        <w:t>第一部分 资格证明文件</w:t>
      </w:r>
      <w:r>
        <w:rPr>
          <w:color w:val="auto"/>
          <w:highlight w:val="none"/>
        </w:rPr>
        <w:tab/>
      </w:r>
      <w:r>
        <w:rPr>
          <w:color w:val="auto"/>
          <w:highlight w:val="none"/>
        </w:rPr>
        <w:fldChar w:fldCharType="begin"/>
      </w:r>
      <w:r>
        <w:rPr>
          <w:color w:val="auto"/>
          <w:highlight w:val="none"/>
        </w:rPr>
        <w:instrText xml:space="preserve"> PAGEREF _Toc16142 \h </w:instrText>
      </w:r>
      <w:r>
        <w:rPr>
          <w:color w:val="auto"/>
          <w:highlight w:val="none"/>
        </w:rPr>
        <w:fldChar w:fldCharType="separate"/>
      </w:r>
      <w:r>
        <w:rPr>
          <w:color w:val="auto"/>
          <w:highlight w:val="none"/>
        </w:rPr>
        <w:t>100</w:t>
      </w:r>
      <w:r>
        <w:rPr>
          <w:color w:val="auto"/>
          <w:highlight w:val="none"/>
        </w:rPr>
        <w:fldChar w:fldCharType="end"/>
      </w:r>
      <w:r>
        <w:rPr>
          <w:color w:val="auto"/>
          <w:highlight w:val="none"/>
        </w:rPr>
        <w:fldChar w:fldCharType="end"/>
      </w:r>
    </w:p>
    <w:p w14:paraId="40845EEF">
      <w:pPr>
        <w:pStyle w:val="36"/>
        <w:tabs>
          <w:tab w:val="right" w:leader="dot" w:pos="8731"/>
        </w:tabs>
        <w:ind w:left="420"/>
        <w:rPr>
          <w:color w:val="auto"/>
          <w:highlight w:val="none"/>
        </w:rPr>
      </w:pPr>
      <w:r>
        <w:rPr>
          <w:color w:val="auto"/>
          <w:highlight w:val="none"/>
        </w:rPr>
        <w:fldChar w:fldCharType="begin"/>
      </w:r>
      <w:r>
        <w:rPr>
          <w:color w:val="auto"/>
          <w:highlight w:val="none"/>
        </w:rPr>
        <w:instrText xml:space="preserve"> HYPERLINK \l "_Toc13026" </w:instrText>
      </w:r>
      <w:r>
        <w:rPr>
          <w:color w:val="auto"/>
          <w:highlight w:val="none"/>
        </w:rPr>
        <w:fldChar w:fldCharType="separate"/>
      </w:r>
      <w:r>
        <w:rPr>
          <w:rFonts w:hint="eastAsia" w:ascii="宋体" w:hAnsi="宋体" w:eastAsia="宋体" w:cs="宋体"/>
          <w:color w:val="auto"/>
          <w:szCs w:val="44"/>
          <w:highlight w:val="none"/>
        </w:rPr>
        <w:t>第二部分 商务文件</w:t>
      </w:r>
      <w:r>
        <w:rPr>
          <w:color w:val="auto"/>
          <w:highlight w:val="none"/>
        </w:rPr>
        <w:tab/>
      </w:r>
      <w:r>
        <w:rPr>
          <w:color w:val="auto"/>
          <w:highlight w:val="none"/>
        </w:rPr>
        <w:fldChar w:fldCharType="begin"/>
      </w:r>
      <w:r>
        <w:rPr>
          <w:color w:val="auto"/>
          <w:highlight w:val="none"/>
        </w:rPr>
        <w:instrText xml:space="preserve"> PAGEREF _Toc13026 \h </w:instrText>
      </w:r>
      <w:r>
        <w:rPr>
          <w:color w:val="auto"/>
          <w:highlight w:val="none"/>
        </w:rPr>
        <w:fldChar w:fldCharType="separate"/>
      </w:r>
      <w:r>
        <w:rPr>
          <w:color w:val="auto"/>
          <w:highlight w:val="none"/>
        </w:rPr>
        <w:t>111</w:t>
      </w:r>
      <w:r>
        <w:rPr>
          <w:color w:val="auto"/>
          <w:highlight w:val="none"/>
        </w:rPr>
        <w:fldChar w:fldCharType="end"/>
      </w:r>
      <w:r>
        <w:rPr>
          <w:color w:val="auto"/>
          <w:highlight w:val="none"/>
        </w:rPr>
        <w:fldChar w:fldCharType="end"/>
      </w:r>
    </w:p>
    <w:p w14:paraId="0AAB2042">
      <w:pPr>
        <w:pStyle w:val="36"/>
        <w:tabs>
          <w:tab w:val="right" w:leader="dot" w:pos="8731"/>
        </w:tabs>
        <w:ind w:left="420"/>
        <w:rPr>
          <w:color w:val="auto"/>
          <w:highlight w:val="none"/>
        </w:rPr>
      </w:pPr>
      <w:r>
        <w:rPr>
          <w:color w:val="auto"/>
          <w:highlight w:val="none"/>
        </w:rPr>
        <w:fldChar w:fldCharType="begin"/>
      </w:r>
      <w:r>
        <w:rPr>
          <w:color w:val="auto"/>
          <w:highlight w:val="none"/>
        </w:rPr>
        <w:instrText xml:space="preserve"> HYPERLINK \l "_Toc22760" </w:instrText>
      </w:r>
      <w:r>
        <w:rPr>
          <w:color w:val="auto"/>
          <w:highlight w:val="none"/>
        </w:rPr>
        <w:fldChar w:fldCharType="separate"/>
      </w:r>
      <w:r>
        <w:rPr>
          <w:rFonts w:hint="eastAsia" w:ascii="宋体" w:hAnsi="宋体" w:eastAsia="宋体" w:cs="宋体"/>
          <w:color w:val="auto"/>
          <w:szCs w:val="44"/>
          <w:highlight w:val="none"/>
        </w:rPr>
        <w:t>第</w:t>
      </w:r>
      <w:r>
        <w:rPr>
          <w:rFonts w:hint="eastAsia" w:ascii="宋体" w:hAnsi="宋体" w:cs="宋体"/>
          <w:color w:val="auto"/>
          <w:szCs w:val="44"/>
          <w:highlight w:val="none"/>
        </w:rPr>
        <w:t>三</w:t>
      </w:r>
      <w:r>
        <w:rPr>
          <w:rFonts w:hint="eastAsia" w:ascii="宋体" w:hAnsi="宋体" w:eastAsia="宋体" w:cs="宋体"/>
          <w:color w:val="auto"/>
          <w:szCs w:val="44"/>
          <w:highlight w:val="none"/>
        </w:rPr>
        <w:t xml:space="preserve">部分 </w:t>
      </w:r>
      <w:r>
        <w:rPr>
          <w:rFonts w:hint="eastAsia" w:ascii="宋体" w:hAnsi="宋体" w:cs="宋体"/>
          <w:color w:val="auto"/>
          <w:szCs w:val="44"/>
          <w:highlight w:val="none"/>
        </w:rPr>
        <w:t>技术</w:t>
      </w:r>
      <w:r>
        <w:rPr>
          <w:rFonts w:hint="eastAsia" w:ascii="宋体" w:hAnsi="宋体" w:eastAsia="宋体" w:cs="宋体"/>
          <w:color w:val="auto"/>
          <w:szCs w:val="44"/>
          <w:highlight w:val="none"/>
        </w:rPr>
        <w:t>文件</w:t>
      </w:r>
      <w:r>
        <w:rPr>
          <w:color w:val="auto"/>
          <w:highlight w:val="none"/>
        </w:rPr>
        <w:tab/>
      </w:r>
      <w:r>
        <w:rPr>
          <w:color w:val="auto"/>
          <w:highlight w:val="none"/>
        </w:rPr>
        <w:fldChar w:fldCharType="begin"/>
      </w:r>
      <w:r>
        <w:rPr>
          <w:color w:val="auto"/>
          <w:highlight w:val="none"/>
        </w:rPr>
        <w:instrText xml:space="preserve"> PAGEREF _Toc22760 \h </w:instrText>
      </w:r>
      <w:r>
        <w:rPr>
          <w:color w:val="auto"/>
          <w:highlight w:val="none"/>
        </w:rPr>
        <w:fldChar w:fldCharType="separate"/>
      </w:r>
      <w:r>
        <w:rPr>
          <w:color w:val="auto"/>
          <w:highlight w:val="none"/>
        </w:rPr>
        <w:t>123</w:t>
      </w:r>
      <w:r>
        <w:rPr>
          <w:color w:val="auto"/>
          <w:highlight w:val="none"/>
        </w:rPr>
        <w:fldChar w:fldCharType="end"/>
      </w:r>
      <w:r>
        <w:rPr>
          <w:color w:val="auto"/>
          <w:highlight w:val="none"/>
        </w:rPr>
        <w:fldChar w:fldCharType="end"/>
      </w:r>
    </w:p>
    <w:p w14:paraId="777CE551">
      <w:pPr>
        <w:pStyle w:val="25"/>
        <w:tabs>
          <w:tab w:val="right" w:leader="dot" w:pos="8731"/>
        </w:tabs>
        <w:ind w:left="840"/>
        <w:rPr>
          <w:color w:val="auto"/>
          <w:highlight w:val="none"/>
        </w:rPr>
      </w:pPr>
    </w:p>
    <w:p w14:paraId="580386D9">
      <w:pPr>
        <w:pStyle w:val="26"/>
        <w:adjustRightInd w:val="0"/>
        <w:snapToGrid w:val="0"/>
        <w:spacing w:line="360" w:lineRule="auto"/>
        <w:outlineLvl w:val="0"/>
        <w:rPr>
          <w:rFonts w:hAnsi="宋体" w:cs="宋体"/>
          <w:color w:val="auto"/>
          <w:highlight w:val="none"/>
        </w:rPr>
      </w:pPr>
      <w:r>
        <w:rPr>
          <w:rFonts w:hint="eastAsia" w:hAnsi="宋体" w:cs="宋体"/>
          <w:color w:val="auto"/>
          <w:highlight w:val="none"/>
        </w:rPr>
        <w:fldChar w:fldCharType="end"/>
      </w:r>
      <w:r>
        <w:rPr>
          <w:rFonts w:hint="eastAsia" w:hAnsi="宋体" w:cs="宋体"/>
          <w:color w:val="auto"/>
          <w:highlight w:val="none"/>
        </w:rPr>
        <w:t xml:space="preserve"> </w:t>
      </w:r>
    </w:p>
    <w:p w14:paraId="20287BAB">
      <w:pPr>
        <w:pStyle w:val="4"/>
        <w:rPr>
          <w:rFonts w:ascii="宋体" w:hAnsi="宋体" w:cs="宋体"/>
          <w:color w:val="auto"/>
          <w:highlight w:val="none"/>
        </w:rPr>
        <w:sectPr>
          <w:headerReference r:id="rId5" w:type="default"/>
          <w:footerReference r:id="rId6" w:type="default"/>
          <w:pgSz w:w="11905" w:h="16838"/>
          <w:pgMar w:top="1440" w:right="1587" w:bottom="1440" w:left="1587" w:header="1020" w:footer="567" w:gutter="0"/>
          <w:pgBorders>
            <w:top w:val="none" w:sz="0" w:space="0"/>
            <w:left w:val="none" w:sz="0" w:space="0"/>
            <w:bottom w:val="none" w:sz="0" w:space="0"/>
            <w:right w:val="none" w:sz="0" w:space="0"/>
          </w:pgBorders>
          <w:pgNumType w:start="1"/>
          <w:cols w:space="0" w:num="1"/>
          <w:docGrid w:type="lines" w:linePitch="317" w:charSpace="0"/>
        </w:sectPr>
      </w:pPr>
      <w:bookmarkStart w:id="0" w:name="_Toc21001314"/>
      <w:bookmarkStart w:id="1" w:name="_Toc53472201"/>
      <w:bookmarkStart w:id="2" w:name="_Toc20816073"/>
      <w:bookmarkStart w:id="3" w:name="_Toc20988241"/>
      <w:bookmarkStart w:id="4" w:name="_Toc20642243"/>
      <w:bookmarkStart w:id="5" w:name="_Toc34720698"/>
      <w:bookmarkStart w:id="6" w:name="_Toc21000471"/>
      <w:bookmarkStart w:id="7" w:name="_Toc35421027"/>
    </w:p>
    <w:p w14:paraId="5D2CFD47">
      <w:pPr>
        <w:pStyle w:val="4"/>
        <w:rPr>
          <w:rFonts w:ascii="宋体" w:hAnsi="宋体" w:cs="宋体"/>
          <w:color w:val="auto"/>
          <w:sz w:val="32"/>
          <w:szCs w:val="32"/>
          <w:highlight w:val="none"/>
        </w:rPr>
      </w:pPr>
      <w:bookmarkStart w:id="8" w:name="_Toc4738"/>
      <w:r>
        <w:rPr>
          <w:rFonts w:hint="eastAsia" w:ascii="宋体" w:hAnsi="宋体" w:cs="宋体"/>
          <w:color w:val="auto"/>
          <w:sz w:val="32"/>
          <w:szCs w:val="32"/>
          <w:highlight w:val="none"/>
        </w:rPr>
        <w:t>第一章 投标邀请</w:t>
      </w:r>
      <w:bookmarkEnd w:id="8"/>
    </w:p>
    <w:p w14:paraId="25D75948">
      <w:pPr>
        <w:pStyle w:val="26"/>
        <w:adjustRightInd w:val="0"/>
        <w:snapToGrid w:val="0"/>
        <w:spacing w:line="360" w:lineRule="auto"/>
        <w:jc w:val="center"/>
        <w:rPr>
          <w:rFonts w:hAnsi="宋体" w:cs="宋体"/>
          <w:iCs/>
          <w:color w:val="auto"/>
          <w:highlight w:val="none"/>
        </w:rPr>
      </w:pPr>
    </w:p>
    <w:p w14:paraId="04773F13">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湖南铁路科技职业技术学院</w:t>
      </w:r>
      <w:r>
        <w:rPr>
          <w:rFonts w:hint="eastAsia" w:ascii="宋体" w:hAnsi="宋体"/>
          <w:color w:val="auto"/>
          <w:szCs w:val="21"/>
          <w:highlight w:val="none"/>
        </w:rPr>
        <w:t>的</w:t>
      </w:r>
      <w:r>
        <w:rPr>
          <w:rFonts w:hint="eastAsia" w:ascii="宋体" w:hAnsi="宋体"/>
          <w:color w:val="auto"/>
          <w:szCs w:val="21"/>
          <w:highlight w:val="none"/>
          <w:u w:val="single"/>
          <w:lang w:eastAsia="zh-CN"/>
        </w:rPr>
        <w:t>2024年-2026年度物业服务采购项目</w:t>
      </w:r>
      <w:r>
        <w:rPr>
          <w:rFonts w:hint="eastAsia" w:ascii="宋体" w:hAnsi="宋体"/>
          <w:color w:val="auto"/>
          <w:szCs w:val="21"/>
          <w:highlight w:val="none"/>
        </w:rPr>
        <w:t>进行公开招标采购，现邀请合格投标人参加投标。</w:t>
      </w:r>
    </w:p>
    <w:p w14:paraId="7FC92D03">
      <w:pPr>
        <w:adjustRightInd w:val="0"/>
        <w:snapToGrid w:val="0"/>
        <w:spacing w:line="360" w:lineRule="auto"/>
        <w:ind w:firstLine="422" w:firstLineChars="200"/>
        <w:outlineLvl w:val="1"/>
        <w:rPr>
          <w:rFonts w:ascii="宋体" w:hAnsi="宋体"/>
          <w:b/>
          <w:color w:val="auto"/>
          <w:szCs w:val="21"/>
          <w:highlight w:val="none"/>
        </w:rPr>
      </w:pPr>
      <w:bookmarkStart w:id="9" w:name="_Toc18507"/>
      <w:bookmarkStart w:id="10" w:name="_Toc20446"/>
      <w:r>
        <w:rPr>
          <w:rFonts w:hint="eastAsia" w:ascii="宋体" w:hAnsi="宋体"/>
          <w:b/>
          <w:color w:val="auto"/>
          <w:szCs w:val="21"/>
          <w:highlight w:val="none"/>
        </w:rPr>
        <w:t>一、采购项目基本信息</w:t>
      </w:r>
      <w:bookmarkEnd w:id="9"/>
      <w:bookmarkEnd w:id="10"/>
    </w:p>
    <w:p w14:paraId="0ABF0BC9">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1、采购项目名称：</w:t>
      </w:r>
      <w:r>
        <w:rPr>
          <w:rFonts w:hint="eastAsia" w:ascii="宋体" w:hAnsi="宋体"/>
          <w:color w:val="auto"/>
          <w:szCs w:val="21"/>
          <w:highlight w:val="none"/>
          <w:lang w:eastAsia="zh-CN"/>
        </w:rPr>
        <w:t>2024年-2026年度物业服务采购项目</w:t>
      </w:r>
      <w:r>
        <w:rPr>
          <w:rFonts w:hint="eastAsia" w:ascii="宋体" w:hAnsi="宋体"/>
          <w:color w:val="auto"/>
          <w:szCs w:val="21"/>
          <w:highlight w:val="none"/>
        </w:rPr>
        <w:t xml:space="preserve"> </w:t>
      </w:r>
    </w:p>
    <w:p w14:paraId="6A3D181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2、政府采购计划编号：</w:t>
      </w:r>
      <w:r>
        <w:rPr>
          <w:rFonts w:hint="eastAsia" w:ascii="宋体" w:hAnsi="宋体"/>
          <w:color w:val="auto"/>
          <w:szCs w:val="21"/>
          <w:highlight w:val="none"/>
          <w:lang w:eastAsia="zh-CN"/>
        </w:rPr>
        <w:t>株财采计[2024]000303号</w:t>
      </w:r>
      <w:r>
        <w:rPr>
          <w:rFonts w:hint="eastAsia" w:ascii="宋体" w:hAnsi="宋体"/>
          <w:color w:val="auto"/>
          <w:szCs w:val="21"/>
          <w:highlight w:val="none"/>
        </w:rPr>
        <w:t xml:space="preserve">  </w:t>
      </w:r>
    </w:p>
    <w:p w14:paraId="43584203">
      <w:pPr>
        <w:adjustRightInd w:val="0"/>
        <w:snapToGrid w:val="0"/>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3、</w:t>
      </w:r>
      <w:r>
        <w:rPr>
          <w:rFonts w:hint="eastAsia" w:ascii="宋体" w:hAnsi="宋体"/>
          <w:color w:val="auto"/>
          <w:szCs w:val="21"/>
          <w:highlight w:val="none"/>
          <w:lang w:eastAsia="zh-CN"/>
        </w:rPr>
        <w:t>采购代理编号</w:t>
      </w:r>
      <w:r>
        <w:rPr>
          <w:rFonts w:hint="eastAsia" w:ascii="宋体" w:hAnsi="宋体"/>
          <w:color w:val="auto"/>
          <w:szCs w:val="21"/>
          <w:highlight w:val="none"/>
        </w:rPr>
        <w:t>：</w:t>
      </w:r>
      <w:r>
        <w:rPr>
          <w:rFonts w:hint="eastAsia" w:ascii="宋体" w:hAnsi="宋体"/>
          <w:color w:val="auto"/>
          <w:szCs w:val="21"/>
          <w:highlight w:val="none"/>
          <w:lang w:eastAsia="zh-CN"/>
        </w:rPr>
        <w:t>2982-20241023-273</w:t>
      </w:r>
    </w:p>
    <w:p w14:paraId="086F4A5F">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4、采购项目预算：</w:t>
      </w:r>
      <w:r>
        <w:rPr>
          <w:rFonts w:hint="eastAsia" w:ascii="宋体" w:hAnsi="宋体"/>
          <w:bCs/>
          <w:color w:val="auto"/>
          <w:szCs w:val="21"/>
          <w:highlight w:val="none"/>
          <w:u w:val="single"/>
          <w:lang w:val="en-US" w:eastAsia="zh-CN"/>
        </w:rPr>
        <w:t>4390000</w:t>
      </w:r>
      <w:r>
        <w:rPr>
          <w:rFonts w:hint="eastAsia" w:ascii="宋体" w:hAnsi="宋体"/>
          <w:bCs/>
          <w:color w:val="auto"/>
          <w:szCs w:val="21"/>
          <w:highlight w:val="none"/>
        </w:rPr>
        <w:t xml:space="preserve">元 </w:t>
      </w:r>
    </w:p>
    <w:p w14:paraId="2642651C">
      <w:pPr>
        <w:adjustRightInd w:val="0"/>
        <w:snapToGrid w:val="0"/>
        <w:spacing w:line="360" w:lineRule="auto"/>
        <w:ind w:firstLine="840" w:firstLineChars="400"/>
        <w:rPr>
          <w:rFonts w:ascii="宋体" w:hAnsi="宋体"/>
          <w:bCs/>
          <w:color w:val="auto"/>
          <w:szCs w:val="21"/>
          <w:highlight w:val="none"/>
        </w:rPr>
      </w:pPr>
      <w:r>
        <w:rPr>
          <w:rFonts w:hint="eastAsia" w:ascii="宋体" w:hAnsi="宋体"/>
          <w:iCs/>
          <w:color w:val="auto"/>
          <w:szCs w:val="21"/>
          <w:highlight w:val="none"/>
        </w:rPr>
        <w:sym w:font="Wingdings" w:char="00A8"/>
      </w:r>
      <w:r>
        <w:rPr>
          <w:rFonts w:hint="eastAsia" w:ascii="宋体" w:hAnsi="宋体"/>
          <w:iCs/>
          <w:color w:val="auto"/>
          <w:szCs w:val="21"/>
          <w:highlight w:val="none"/>
        </w:rPr>
        <w:t>支持</w:t>
      </w:r>
      <w:r>
        <w:rPr>
          <w:rFonts w:hint="eastAsia" w:ascii="宋体" w:hAnsi="宋体"/>
          <w:bCs/>
          <w:color w:val="auto"/>
          <w:szCs w:val="21"/>
          <w:highlight w:val="none"/>
        </w:rPr>
        <w:t>预付款，预付比例：</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p>
    <w:p w14:paraId="4F83B6BC">
      <w:pPr>
        <w:adjustRightInd w:val="0"/>
        <w:snapToGrid w:val="0"/>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5、本项目</w:t>
      </w:r>
      <w:r>
        <w:rPr>
          <w:rFonts w:hint="eastAsia" w:ascii="宋体" w:hAnsi="宋体"/>
          <w:color w:val="auto"/>
          <w:szCs w:val="21"/>
          <w:highlight w:val="none"/>
        </w:rPr>
        <w:t xml:space="preserve">对应的中小企业划分标准所属行业： </w:t>
      </w:r>
      <w:r>
        <w:rPr>
          <w:rFonts w:hint="eastAsia" w:ascii="宋体" w:hAnsi="宋体"/>
          <w:color w:val="auto"/>
          <w:szCs w:val="21"/>
          <w:highlight w:val="none"/>
          <w:u w:val="single"/>
          <w:lang w:val="en-US" w:eastAsia="zh-CN"/>
        </w:rPr>
        <w:t>物业管理</w:t>
      </w:r>
    </w:p>
    <w:p w14:paraId="655C0556">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6、评标方法：</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最低评标价法 </w:t>
      </w:r>
      <w:r>
        <w:rPr>
          <w:rFonts w:hint="eastAsia" w:ascii="宋体" w:hAnsi="宋体"/>
          <w:iCs/>
          <w:color w:val="auto"/>
          <w:szCs w:val="21"/>
          <w:highlight w:val="none"/>
        </w:rPr>
        <w:sym w:font="Wingdings" w:char="00FE"/>
      </w:r>
      <w:r>
        <w:rPr>
          <w:rFonts w:hint="eastAsia" w:ascii="宋体" w:hAnsi="宋体"/>
          <w:iCs/>
          <w:color w:val="auto"/>
          <w:szCs w:val="21"/>
          <w:highlight w:val="none"/>
        </w:rPr>
        <w:t>综合评分法</w:t>
      </w:r>
    </w:p>
    <w:p w14:paraId="2EE9CF1F">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7、合同定价方式：</w:t>
      </w:r>
      <w:r>
        <w:rPr>
          <w:rFonts w:hint="eastAsia" w:ascii="宋体" w:hAnsi="宋体"/>
          <w:iCs/>
          <w:color w:val="auto"/>
          <w:szCs w:val="21"/>
          <w:highlight w:val="none"/>
        </w:rPr>
        <w:sym w:font="Wingdings" w:char="00FE"/>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p>
    <w:p w14:paraId="01F5D1B5">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8、合同履行期限：</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本次招标服务期限为2年，合同一年一签，采购项目预算为一年总金额。</w:t>
      </w:r>
    </w:p>
    <w:p w14:paraId="4B608082">
      <w:pPr>
        <w:pStyle w:val="63"/>
        <w:rPr>
          <w:b w:val="0"/>
          <w:color w:val="auto"/>
          <w:highlight w:val="none"/>
        </w:rPr>
      </w:pPr>
      <w:r>
        <w:rPr>
          <w:rFonts w:hint="eastAsia" w:ascii="宋体" w:hAnsi="宋体"/>
          <w:b w:val="0"/>
          <w:color w:val="auto"/>
          <w:szCs w:val="21"/>
          <w:highlight w:val="none"/>
        </w:rPr>
        <w:t>9、</w:t>
      </w:r>
      <w:r>
        <w:rPr>
          <w:rFonts w:hint="eastAsia"/>
          <w:b w:val="0"/>
          <w:color w:val="auto"/>
          <w:highlight w:val="none"/>
        </w:rPr>
        <w:t>本项目分阶段要求投标人提供以下保证：</w:t>
      </w:r>
    </w:p>
    <w:p w14:paraId="254A0C90">
      <w:pPr>
        <w:pStyle w:val="63"/>
        <w:spacing w:line="360" w:lineRule="auto"/>
        <w:ind w:firstLine="843" w:firstLineChars="400"/>
        <w:rPr>
          <w:rFonts w:ascii="宋体" w:hAnsi="宋体"/>
          <w:b w:val="0"/>
          <w:iCs/>
          <w:color w:val="auto"/>
          <w:highlight w:val="none"/>
        </w:rPr>
      </w:pPr>
      <w:r>
        <w:rPr>
          <w:rFonts w:hint="eastAsia" w:ascii="宋体" w:hAnsi="宋体"/>
          <w:iCs/>
          <w:color w:val="auto"/>
          <w:szCs w:val="21"/>
          <w:highlight w:val="none"/>
        </w:rPr>
        <w:sym w:font="Wingdings" w:char="00FE"/>
      </w:r>
      <w:r>
        <w:rPr>
          <w:rFonts w:hint="eastAsia" w:ascii="宋体" w:hAnsi="宋体"/>
          <w:b w:val="0"/>
          <w:color w:val="auto"/>
          <w:highlight w:val="none"/>
        </w:rPr>
        <w:t>投标保证金：</w:t>
      </w:r>
      <w:r>
        <w:rPr>
          <w:rFonts w:hint="eastAsia" w:ascii="宋体" w:hAnsi="宋体"/>
          <w:b w:val="0"/>
          <w:iCs/>
          <w:color w:val="auto"/>
          <w:highlight w:val="none"/>
        </w:rPr>
        <w:t>采购项目预算的</w:t>
      </w:r>
      <w:r>
        <w:rPr>
          <w:rFonts w:hint="eastAsia" w:ascii="宋体" w:hAnsi="宋体"/>
          <w:b w:val="0"/>
          <w:iCs/>
          <w:color w:val="auto"/>
          <w:highlight w:val="none"/>
          <w:u w:val="single"/>
        </w:rPr>
        <w:t xml:space="preserve"> </w:t>
      </w:r>
      <w:r>
        <w:rPr>
          <w:rFonts w:hint="eastAsia" w:ascii="宋体" w:hAnsi="宋体"/>
          <w:b w:val="0"/>
          <w:iCs/>
          <w:color w:val="auto"/>
          <w:highlight w:val="none"/>
          <w:u w:val="single"/>
          <w:lang w:val="en-US" w:eastAsia="zh-CN"/>
        </w:rPr>
        <w:t>1.82</w:t>
      </w:r>
      <w:r>
        <w:rPr>
          <w:rFonts w:ascii="宋体" w:hAnsi="宋体"/>
          <w:b w:val="0"/>
          <w:iCs/>
          <w:color w:val="auto"/>
          <w:highlight w:val="none"/>
          <w:u w:val="single"/>
        </w:rPr>
        <w:t xml:space="preserve"> </w:t>
      </w:r>
      <w:r>
        <w:rPr>
          <w:rFonts w:hint="eastAsia" w:ascii="宋体" w:hAnsi="宋体"/>
          <w:b w:val="0"/>
          <w:iCs/>
          <w:color w:val="auto"/>
          <w:highlight w:val="none"/>
        </w:rPr>
        <w:t>%</w:t>
      </w:r>
      <w:r>
        <w:rPr>
          <w:rFonts w:hint="eastAsia" w:ascii="宋体" w:hAnsi="宋体"/>
          <w:b w:val="0"/>
          <w:color w:val="auto"/>
          <w:highlight w:val="none"/>
        </w:rPr>
        <w:t>；</w:t>
      </w:r>
    </w:p>
    <w:p w14:paraId="296024F0">
      <w:pPr>
        <w:pStyle w:val="63"/>
        <w:spacing w:line="360" w:lineRule="auto"/>
        <w:ind w:firstLine="843" w:firstLineChars="400"/>
        <w:rPr>
          <w:rFonts w:ascii="宋体" w:hAnsi="宋体"/>
          <w:b w:val="0"/>
          <w:iCs/>
          <w:color w:val="auto"/>
          <w:highlight w:val="none"/>
        </w:rPr>
      </w:pPr>
      <w:r>
        <w:rPr>
          <w:rFonts w:hint="eastAsia" w:ascii="宋体" w:hAnsi="宋体"/>
          <w:iCs/>
          <w:color w:val="auto"/>
          <w:szCs w:val="21"/>
          <w:highlight w:val="none"/>
        </w:rPr>
        <w:sym w:font="Wingdings" w:char="00FE"/>
      </w:r>
      <w:r>
        <w:rPr>
          <w:rFonts w:hint="eastAsia" w:ascii="宋体" w:hAnsi="宋体"/>
          <w:b w:val="0"/>
          <w:color w:val="auto"/>
          <w:highlight w:val="none"/>
        </w:rPr>
        <w:t>履约保证金：</w:t>
      </w:r>
      <w:r>
        <w:rPr>
          <w:rFonts w:hint="eastAsia" w:ascii="宋体" w:hAnsi="宋体"/>
          <w:b w:val="0"/>
          <w:iCs/>
          <w:color w:val="auto"/>
          <w:highlight w:val="none"/>
        </w:rPr>
        <w:t>中标金额的</w:t>
      </w:r>
      <w:r>
        <w:rPr>
          <w:rFonts w:hint="eastAsia" w:ascii="宋体" w:hAnsi="宋体"/>
          <w:b w:val="0"/>
          <w:iCs/>
          <w:color w:val="auto"/>
          <w:highlight w:val="none"/>
          <w:u w:val="single"/>
          <w:lang w:val="en-US" w:eastAsia="zh-CN"/>
        </w:rPr>
        <w:t>5</w:t>
      </w:r>
      <w:r>
        <w:rPr>
          <w:rFonts w:hint="eastAsia" w:ascii="宋体" w:hAnsi="宋体"/>
          <w:b w:val="0"/>
          <w:iCs/>
          <w:color w:val="auto"/>
          <w:highlight w:val="none"/>
        </w:rPr>
        <w:t>%</w:t>
      </w:r>
      <w:r>
        <w:rPr>
          <w:rFonts w:hint="eastAsia" w:ascii="宋体" w:hAnsi="宋体"/>
          <w:b w:val="0"/>
          <w:color w:val="auto"/>
          <w:highlight w:val="none"/>
        </w:rPr>
        <w:t>；</w:t>
      </w:r>
    </w:p>
    <w:p w14:paraId="32E74638">
      <w:pPr>
        <w:pStyle w:val="63"/>
        <w:spacing w:line="360" w:lineRule="auto"/>
        <w:ind w:firstLine="843" w:firstLineChars="400"/>
        <w:rPr>
          <w:rFonts w:ascii="宋体" w:hAnsi="宋体"/>
          <w:b w:val="0"/>
          <w:iCs/>
          <w:color w:val="auto"/>
          <w:highlight w:val="none"/>
        </w:rPr>
      </w:pPr>
      <w:r>
        <w:rPr>
          <w:rFonts w:hint="eastAsia" w:ascii="宋体" w:hAnsi="宋体"/>
          <w:iCs/>
          <w:color w:val="auto"/>
          <w:szCs w:val="21"/>
          <w:highlight w:val="none"/>
        </w:rPr>
        <w:sym w:font="Wingdings" w:char="00A8"/>
      </w:r>
      <w:r>
        <w:rPr>
          <w:rFonts w:hint="eastAsia" w:ascii="宋体" w:hAnsi="宋体"/>
          <w:b w:val="0"/>
          <w:iCs/>
          <w:color w:val="auto"/>
          <w:highlight w:val="none"/>
        </w:rPr>
        <w:t>质量保证金：合同金额的</w:t>
      </w:r>
      <w:r>
        <w:rPr>
          <w:rFonts w:hint="eastAsia" w:ascii="宋体" w:hAnsi="宋体"/>
          <w:b w:val="0"/>
          <w:iCs/>
          <w:color w:val="auto"/>
          <w:highlight w:val="none"/>
          <w:u w:val="single"/>
        </w:rPr>
        <w:t xml:space="preserve"> </w:t>
      </w:r>
      <w:r>
        <w:rPr>
          <w:rFonts w:ascii="宋体" w:hAnsi="宋体"/>
          <w:b w:val="0"/>
          <w:iCs/>
          <w:color w:val="auto"/>
          <w:highlight w:val="none"/>
          <w:u w:val="single"/>
        </w:rPr>
        <w:t xml:space="preserve"> </w:t>
      </w:r>
      <w:r>
        <w:rPr>
          <w:rFonts w:hint="eastAsia" w:ascii="宋体" w:hAnsi="宋体"/>
          <w:b w:val="0"/>
          <w:iCs/>
          <w:color w:val="auto"/>
          <w:highlight w:val="none"/>
          <w:u w:val="single"/>
        </w:rPr>
        <w:t xml:space="preserve">/ </w:t>
      </w:r>
      <w:r>
        <w:rPr>
          <w:rFonts w:hint="eastAsia" w:ascii="宋体" w:hAnsi="宋体"/>
          <w:b w:val="0"/>
          <w:iCs/>
          <w:color w:val="auto"/>
          <w:highlight w:val="none"/>
        </w:rPr>
        <w:t>%。</w:t>
      </w:r>
    </w:p>
    <w:p w14:paraId="233677ED">
      <w:pPr>
        <w:adjustRightInd w:val="0"/>
        <w:snapToGrid w:val="0"/>
        <w:spacing w:line="360" w:lineRule="auto"/>
        <w:ind w:firstLine="422" w:firstLineChars="200"/>
        <w:outlineLvl w:val="1"/>
        <w:rPr>
          <w:rFonts w:ascii="宋体" w:hAnsi="宋体"/>
          <w:b/>
          <w:color w:val="auto"/>
          <w:szCs w:val="21"/>
          <w:highlight w:val="none"/>
        </w:rPr>
      </w:pPr>
      <w:bookmarkStart w:id="11" w:name="_Toc21394"/>
      <w:bookmarkStart w:id="12" w:name="_Toc25737"/>
      <w:r>
        <w:rPr>
          <w:rFonts w:hint="eastAsia" w:ascii="宋体" w:hAnsi="宋体"/>
          <w:b/>
          <w:color w:val="auto"/>
          <w:szCs w:val="21"/>
          <w:highlight w:val="none"/>
        </w:rPr>
        <w:t>二、采购人的采购需求</w:t>
      </w:r>
      <w:bookmarkEnd w:id="11"/>
      <w:bookmarkEnd w:id="12"/>
    </w:p>
    <w:tbl>
      <w:tblPr>
        <w:tblStyle w:val="45"/>
        <w:tblW w:w="9777" w:type="dxa"/>
        <w:tblInd w:w="-1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209"/>
        <w:gridCol w:w="1930"/>
        <w:gridCol w:w="1755"/>
        <w:gridCol w:w="671"/>
        <w:gridCol w:w="1476"/>
        <w:gridCol w:w="840"/>
        <w:gridCol w:w="816"/>
      </w:tblGrid>
      <w:tr w14:paraId="4CD6DA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080" w:type="dxa"/>
            <w:tcBorders>
              <w:tl2br w:val="nil"/>
              <w:tr2bl w:val="nil"/>
            </w:tcBorders>
            <w:vAlign w:val="center"/>
          </w:tcPr>
          <w:p w14:paraId="328B1949">
            <w:pPr>
              <w:adjustRightInd w:val="0"/>
              <w:snapToGrid w:val="0"/>
              <w:jc w:val="center"/>
              <w:rPr>
                <w:color w:val="auto"/>
                <w:szCs w:val="21"/>
                <w:highlight w:val="none"/>
              </w:rPr>
            </w:pPr>
            <w:r>
              <w:rPr>
                <w:rFonts w:hint="eastAsia"/>
                <w:color w:val="auto"/>
                <w:szCs w:val="21"/>
                <w:highlight w:val="none"/>
              </w:rPr>
              <w:t>包名称</w:t>
            </w:r>
          </w:p>
        </w:tc>
        <w:tc>
          <w:tcPr>
            <w:tcW w:w="1209" w:type="dxa"/>
            <w:tcBorders>
              <w:tl2br w:val="nil"/>
              <w:tr2bl w:val="nil"/>
            </w:tcBorders>
            <w:vAlign w:val="center"/>
          </w:tcPr>
          <w:p w14:paraId="77AAFF2D">
            <w:pPr>
              <w:adjustRightInd w:val="0"/>
              <w:snapToGrid w:val="0"/>
              <w:jc w:val="center"/>
              <w:rPr>
                <w:color w:val="auto"/>
                <w:szCs w:val="21"/>
                <w:highlight w:val="none"/>
              </w:rPr>
            </w:pPr>
            <w:r>
              <w:rPr>
                <w:rFonts w:hint="eastAsia" w:ascii="宋体" w:hAnsi="宋体"/>
                <w:bCs/>
                <w:color w:val="auto"/>
                <w:szCs w:val="21"/>
                <w:highlight w:val="none"/>
              </w:rPr>
              <w:t>最高限价（元）</w:t>
            </w:r>
          </w:p>
        </w:tc>
        <w:tc>
          <w:tcPr>
            <w:tcW w:w="1930" w:type="dxa"/>
            <w:tcBorders>
              <w:tl2br w:val="nil"/>
              <w:tr2bl w:val="nil"/>
            </w:tcBorders>
            <w:vAlign w:val="center"/>
          </w:tcPr>
          <w:p w14:paraId="0ECC14D9">
            <w:pPr>
              <w:adjustRightInd w:val="0"/>
              <w:snapToGrid w:val="0"/>
              <w:jc w:val="center"/>
              <w:rPr>
                <w:color w:val="auto"/>
                <w:szCs w:val="21"/>
                <w:highlight w:val="none"/>
              </w:rPr>
            </w:pPr>
            <w:r>
              <w:rPr>
                <w:rFonts w:hint="eastAsia"/>
                <w:color w:val="auto"/>
                <w:szCs w:val="21"/>
                <w:highlight w:val="none"/>
              </w:rPr>
              <w:t>标的名称</w:t>
            </w:r>
          </w:p>
        </w:tc>
        <w:tc>
          <w:tcPr>
            <w:tcW w:w="1755" w:type="dxa"/>
            <w:tcBorders>
              <w:tl2br w:val="nil"/>
              <w:tr2bl w:val="nil"/>
            </w:tcBorders>
            <w:vAlign w:val="center"/>
          </w:tcPr>
          <w:p w14:paraId="1DDB9144">
            <w:pPr>
              <w:adjustRightInd w:val="0"/>
              <w:snapToGrid w:val="0"/>
              <w:jc w:val="center"/>
              <w:rPr>
                <w:color w:val="auto"/>
                <w:szCs w:val="21"/>
                <w:highlight w:val="none"/>
              </w:rPr>
            </w:pPr>
            <w:r>
              <w:rPr>
                <w:rFonts w:hint="eastAsia"/>
                <w:color w:val="auto"/>
                <w:szCs w:val="21"/>
                <w:highlight w:val="none"/>
              </w:rPr>
              <w:t>简要技术要求</w:t>
            </w:r>
          </w:p>
        </w:tc>
        <w:tc>
          <w:tcPr>
            <w:tcW w:w="671" w:type="dxa"/>
            <w:tcBorders>
              <w:tl2br w:val="nil"/>
              <w:tr2bl w:val="nil"/>
            </w:tcBorders>
            <w:vAlign w:val="center"/>
          </w:tcPr>
          <w:p w14:paraId="77D6D14C">
            <w:pPr>
              <w:adjustRightInd w:val="0"/>
              <w:snapToGrid w:val="0"/>
              <w:jc w:val="center"/>
              <w:rPr>
                <w:rFonts w:ascii="宋体" w:hAnsi="宋体" w:cs="宋体"/>
                <w:color w:val="auto"/>
                <w:kern w:val="0"/>
                <w:szCs w:val="21"/>
                <w:highlight w:val="none"/>
              </w:rPr>
            </w:pPr>
            <w:r>
              <w:rPr>
                <w:rFonts w:hint="eastAsia"/>
                <w:color w:val="auto"/>
                <w:szCs w:val="21"/>
                <w:highlight w:val="none"/>
              </w:rPr>
              <w:t>数量</w:t>
            </w:r>
          </w:p>
        </w:tc>
        <w:tc>
          <w:tcPr>
            <w:tcW w:w="1476" w:type="dxa"/>
            <w:tcBorders>
              <w:tl2br w:val="nil"/>
              <w:tr2bl w:val="nil"/>
            </w:tcBorders>
            <w:vAlign w:val="center"/>
          </w:tcPr>
          <w:p w14:paraId="348CBCE8">
            <w:pPr>
              <w:adjustRightInd w:val="0"/>
              <w:snapToGrid w:val="0"/>
              <w:jc w:val="center"/>
              <w:rPr>
                <w:color w:val="auto"/>
                <w:szCs w:val="21"/>
                <w:highlight w:val="none"/>
              </w:rPr>
            </w:pPr>
            <w:r>
              <w:rPr>
                <w:rFonts w:hint="eastAsia"/>
                <w:color w:val="auto"/>
                <w:szCs w:val="21"/>
                <w:highlight w:val="none"/>
              </w:rPr>
              <w:t>标的预算（元）</w:t>
            </w:r>
          </w:p>
        </w:tc>
        <w:tc>
          <w:tcPr>
            <w:tcW w:w="840" w:type="dxa"/>
            <w:tcBorders>
              <w:tl2br w:val="nil"/>
              <w:tr2bl w:val="nil"/>
            </w:tcBorders>
            <w:vAlign w:val="center"/>
          </w:tcPr>
          <w:p w14:paraId="50E82B1E">
            <w:pPr>
              <w:adjustRightInd w:val="0"/>
              <w:snapToGrid w:val="0"/>
              <w:jc w:val="center"/>
              <w:rPr>
                <w:color w:val="auto"/>
                <w:szCs w:val="21"/>
                <w:highlight w:val="none"/>
              </w:rPr>
            </w:pPr>
            <w:r>
              <w:rPr>
                <w:rFonts w:hint="eastAsia"/>
                <w:color w:val="auto"/>
                <w:szCs w:val="21"/>
                <w:highlight w:val="none"/>
              </w:rPr>
              <w:t>节能产品</w:t>
            </w:r>
          </w:p>
        </w:tc>
        <w:tc>
          <w:tcPr>
            <w:tcW w:w="816" w:type="dxa"/>
            <w:tcBorders>
              <w:tl2br w:val="nil"/>
              <w:tr2bl w:val="nil"/>
            </w:tcBorders>
            <w:vAlign w:val="center"/>
          </w:tcPr>
          <w:p w14:paraId="12787173">
            <w:pPr>
              <w:adjustRightInd w:val="0"/>
              <w:snapToGrid w:val="0"/>
              <w:jc w:val="center"/>
              <w:rPr>
                <w:color w:val="auto"/>
                <w:szCs w:val="21"/>
                <w:highlight w:val="none"/>
              </w:rPr>
            </w:pPr>
            <w:r>
              <w:rPr>
                <w:rFonts w:hint="eastAsia"/>
                <w:color w:val="auto"/>
                <w:szCs w:val="21"/>
                <w:highlight w:val="none"/>
              </w:rPr>
              <w:t>进口产品</w:t>
            </w:r>
          </w:p>
        </w:tc>
      </w:tr>
      <w:tr w14:paraId="68B5B0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8" w:hRule="atLeast"/>
        </w:trPr>
        <w:tc>
          <w:tcPr>
            <w:tcW w:w="1080" w:type="dxa"/>
            <w:tcBorders>
              <w:tl2br w:val="nil"/>
              <w:tr2bl w:val="nil"/>
            </w:tcBorders>
            <w:vAlign w:val="center"/>
          </w:tcPr>
          <w:p w14:paraId="0BC37769">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包1</w:t>
            </w:r>
          </w:p>
        </w:tc>
        <w:tc>
          <w:tcPr>
            <w:tcW w:w="1209" w:type="dxa"/>
            <w:tcBorders>
              <w:tl2br w:val="nil"/>
              <w:tr2bl w:val="nil"/>
            </w:tcBorders>
            <w:vAlign w:val="center"/>
          </w:tcPr>
          <w:p w14:paraId="52A3E753">
            <w:pPr>
              <w:adjustRightInd w:val="0"/>
              <w:snapToGrid w:val="0"/>
              <w:spacing w:beforeLines="50" w:line="360" w:lineRule="auto"/>
              <w:jc w:val="center"/>
              <w:rPr>
                <w:rFonts w:ascii="宋体" w:hAnsi="宋体" w:cs="宋体"/>
                <w:color w:val="auto"/>
                <w:szCs w:val="21"/>
                <w:highlight w:val="none"/>
              </w:rPr>
            </w:pPr>
            <w:r>
              <w:rPr>
                <w:rFonts w:hint="eastAsia" w:ascii="宋体" w:hAnsi="宋体"/>
                <w:bCs/>
                <w:color w:val="auto"/>
                <w:szCs w:val="21"/>
                <w:highlight w:val="none"/>
                <w:u w:val="none"/>
                <w:lang w:val="en-US" w:eastAsia="zh-CN"/>
              </w:rPr>
              <w:t>4390000</w:t>
            </w:r>
            <w:r>
              <w:rPr>
                <w:rFonts w:hint="eastAsia" w:ascii="宋体" w:hAnsi="宋体"/>
                <w:bCs/>
                <w:color w:val="auto"/>
                <w:szCs w:val="21"/>
                <w:highlight w:val="none"/>
                <w:u w:val="none"/>
              </w:rPr>
              <w:t>元</w:t>
            </w:r>
          </w:p>
        </w:tc>
        <w:tc>
          <w:tcPr>
            <w:tcW w:w="1930" w:type="dxa"/>
            <w:tcBorders>
              <w:tl2br w:val="nil"/>
              <w:tr2bl w:val="nil"/>
            </w:tcBorders>
            <w:vAlign w:val="center"/>
          </w:tcPr>
          <w:p w14:paraId="65FA92FF">
            <w:pPr>
              <w:adjustRightInd w:val="0"/>
              <w:snapToGrid w:val="0"/>
              <w:spacing w:beforeLines="50" w:line="360" w:lineRule="auto"/>
              <w:jc w:val="center"/>
              <w:rPr>
                <w:rFonts w:hint="eastAsia" w:ascii="宋体" w:hAnsi="宋体" w:eastAsia="宋体" w:cs="宋体"/>
                <w:color w:val="auto"/>
                <w:szCs w:val="21"/>
                <w:highlight w:val="none"/>
                <w:lang w:val="en-US" w:eastAsia="zh-CN"/>
              </w:rPr>
            </w:pPr>
            <w:r>
              <w:rPr>
                <w:rFonts w:hint="eastAsia" w:ascii="宋体" w:hAnsi="宋体"/>
                <w:color w:val="auto"/>
                <w:szCs w:val="21"/>
                <w:highlight w:val="none"/>
                <w:lang w:val="en-US" w:eastAsia="zh-CN"/>
              </w:rPr>
              <w:t>物业管理服务</w:t>
            </w:r>
          </w:p>
        </w:tc>
        <w:tc>
          <w:tcPr>
            <w:tcW w:w="1755" w:type="dxa"/>
            <w:tcBorders>
              <w:tl2br w:val="nil"/>
              <w:tr2bl w:val="nil"/>
            </w:tcBorders>
            <w:vAlign w:val="center"/>
          </w:tcPr>
          <w:p w14:paraId="75B9DC95">
            <w:pPr>
              <w:adjustRightInd w:val="0"/>
              <w:snapToGrid w:val="0"/>
              <w:spacing w:beforeLines="50" w:line="360" w:lineRule="auto"/>
              <w:rPr>
                <w:rFonts w:ascii="宋体" w:hAnsi="宋体" w:cs="宋体"/>
                <w:color w:val="auto"/>
                <w:szCs w:val="21"/>
                <w:highlight w:val="none"/>
              </w:rPr>
            </w:pPr>
            <w:r>
              <w:rPr>
                <w:rFonts w:hint="eastAsia" w:ascii="宋体" w:hAnsi="宋体" w:cs="宋体"/>
                <w:color w:val="auto"/>
                <w:szCs w:val="21"/>
                <w:highlight w:val="none"/>
              </w:rPr>
              <w:t>详见采</w:t>
            </w:r>
            <w:bookmarkStart w:id="131" w:name="_GoBack"/>
            <w:bookmarkEnd w:id="131"/>
            <w:r>
              <w:rPr>
                <w:rFonts w:hint="eastAsia" w:ascii="宋体" w:hAnsi="宋体" w:cs="宋体"/>
                <w:color w:val="auto"/>
                <w:szCs w:val="21"/>
                <w:highlight w:val="none"/>
              </w:rPr>
              <w:t>购需求</w:t>
            </w:r>
          </w:p>
        </w:tc>
        <w:tc>
          <w:tcPr>
            <w:tcW w:w="671" w:type="dxa"/>
            <w:tcBorders>
              <w:tl2br w:val="nil"/>
              <w:tr2bl w:val="nil"/>
            </w:tcBorders>
            <w:vAlign w:val="center"/>
          </w:tcPr>
          <w:p w14:paraId="6712F2E1">
            <w:pPr>
              <w:adjustRightInd w:val="0"/>
              <w:snapToGrid w:val="0"/>
              <w:spacing w:beforeLines="50"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1476" w:type="dxa"/>
            <w:tcBorders>
              <w:tl2br w:val="nil"/>
              <w:tr2bl w:val="nil"/>
            </w:tcBorders>
            <w:vAlign w:val="center"/>
          </w:tcPr>
          <w:p w14:paraId="6838071B">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4390000元</w:t>
            </w:r>
          </w:p>
        </w:tc>
        <w:tc>
          <w:tcPr>
            <w:tcW w:w="840" w:type="dxa"/>
            <w:tcBorders>
              <w:tl2br w:val="nil"/>
              <w:tr2bl w:val="nil"/>
            </w:tcBorders>
            <w:vAlign w:val="center"/>
          </w:tcPr>
          <w:p w14:paraId="6CDA9FA6">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iCs/>
                <w:color w:val="auto"/>
                <w:szCs w:val="21"/>
                <w:highlight w:val="none"/>
              </w:rPr>
              <w:sym w:font="Wingdings" w:char="00A8"/>
            </w:r>
          </w:p>
        </w:tc>
        <w:tc>
          <w:tcPr>
            <w:tcW w:w="816" w:type="dxa"/>
            <w:tcBorders>
              <w:tl2br w:val="nil"/>
              <w:tr2bl w:val="nil"/>
            </w:tcBorders>
            <w:vAlign w:val="center"/>
          </w:tcPr>
          <w:p w14:paraId="6070FFFD">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iCs/>
                <w:color w:val="auto"/>
                <w:szCs w:val="21"/>
                <w:highlight w:val="none"/>
              </w:rPr>
              <w:sym w:font="Wingdings" w:char="00A8"/>
            </w:r>
          </w:p>
        </w:tc>
      </w:tr>
    </w:tbl>
    <w:p w14:paraId="463D62C3">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说明：</w:t>
      </w:r>
    </w:p>
    <w:p w14:paraId="76D5C48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1.节能产品实行</w:t>
      </w:r>
      <w:r>
        <w:rPr>
          <w:rFonts w:hint="eastAsia" w:ascii="宋体" w:hAnsi="宋体"/>
          <w:iCs/>
          <w:color w:val="auto"/>
          <w:szCs w:val="21"/>
          <w:highlight w:val="none"/>
        </w:rPr>
        <w:t>强制采购的</w:t>
      </w:r>
      <w:r>
        <w:rPr>
          <w:rFonts w:hint="eastAsia" w:ascii="宋体" w:hAnsi="宋体"/>
          <w:color w:val="auto"/>
          <w:szCs w:val="21"/>
          <w:highlight w:val="none"/>
        </w:rPr>
        <w:t>，需提供国家认证机构出具的、处于有效期内的节能产品证书。</w:t>
      </w:r>
    </w:p>
    <w:p w14:paraId="6D13E55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2.同意购买进口产品的，不限制满足采购需求的国内产品参与投标。</w:t>
      </w:r>
    </w:p>
    <w:p w14:paraId="6834294B">
      <w:pPr>
        <w:adjustRightInd w:val="0"/>
        <w:snapToGrid w:val="0"/>
        <w:spacing w:line="360" w:lineRule="auto"/>
        <w:ind w:firstLine="422" w:firstLineChars="200"/>
        <w:outlineLvl w:val="1"/>
        <w:rPr>
          <w:rFonts w:ascii="宋体" w:hAnsi="宋体"/>
          <w:b/>
          <w:color w:val="auto"/>
          <w:szCs w:val="21"/>
          <w:highlight w:val="none"/>
        </w:rPr>
      </w:pPr>
      <w:bookmarkStart w:id="13" w:name="_Toc19438"/>
      <w:bookmarkStart w:id="14" w:name="_Toc15388"/>
      <w:r>
        <w:rPr>
          <w:rFonts w:hint="eastAsia" w:ascii="宋体" w:hAnsi="宋体"/>
          <w:b/>
          <w:color w:val="auto"/>
          <w:szCs w:val="21"/>
          <w:highlight w:val="none"/>
        </w:rPr>
        <w:t>三、采购项目需落实的政府采购政策</w:t>
      </w:r>
      <w:r>
        <w:rPr>
          <w:rFonts w:hint="eastAsia" w:ascii="宋体" w:hAnsi="宋体"/>
          <w:color w:val="auto"/>
          <w:szCs w:val="21"/>
          <w:highlight w:val="none"/>
        </w:rPr>
        <w:t>：</w:t>
      </w:r>
      <w:bookmarkEnd w:id="13"/>
      <w:bookmarkEnd w:id="14"/>
    </w:p>
    <w:p w14:paraId="4E628023">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1、优先采购：节能产品、环境标志产品享受加分或价格折扣。</w:t>
      </w:r>
    </w:p>
    <w:p w14:paraId="2A6DCE46">
      <w:pPr>
        <w:adjustRightInd w:val="0"/>
        <w:snapToGrid w:val="0"/>
        <w:spacing w:line="360" w:lineRule="auto"/>
        <w:ind w:firstLine="420" w:firstLineChars="200"/>
        <w:rPr>
          <w:rFonts w:ascii="宋体" w:hAnsi="宋体"/>
          <w:b/>
          <w:bCs/>
          <w:color w:val="auto"/>
          <w:szCs w:val="21"/>
          <w:highlight w:val="none"/>
        </w:rPr>
      </w:pPr>
      <w:r>
        <w:rPr>
          <w:rFonts w:hint="eastAsia" w:ascii="宋体" w:hAnsi="宋体"/>
          <w:color w:val="auto"/>
          <w:szCs w:val="21"/>
          <w:highlight w:val="none"/>
        </w:rPr>
        <w:t>2、支持中小企业：中小企业享受预留采购份额或价格折扣。</w:t>
      </w:r>
    </w:p>
    <w:p w14:paraId="24FCC623">
      <w:pPr>
        <w:adjustRightInd w:val="0"/>
        <w:snapToGrid w:val="0"/>
        <w:spacing w:line="360" w:lineRule="auto"/>
        <w:ind w:firstLine="422" w:firstLineChars="200"/>
        <w:outlineLvl w:val="1"/>
        <w:rPr>
          <w:rFonts w:ascii="宋体" w:hAnsi="宋体"/>
          <w:color w:val="auto"/>
          <w:szCs w:val="21"/>
          <w:highlight w:val="none"/>
        </w:rPr>
      </w:pPr>
      <w:bookmarkStart w:id="15" w:name="_Toc147"/>
      <w:bookmarkStart w:id="16" w:name="_Toc19583"/>
      <w:r>
        <w:rPr>
          <w:rFonts w:hint="eastAsia" w:ascii="宋体" w:hAnsi="宋体"/>
          <w:b/>
          <w:color w:val="auto"/>
          <w:szCs w:val="21"/>
          <w:highlight w:val="none"/>
        </w:rPr>
        <w:t>四、投标人的资格要求</w:t>
      </w:r>
      <w:r>
        <w:rPr>
          <w:rFonts w:hint="eastAsia" w:ascii="宋体" w:hAnsi="宋体"/>
          <w:color w:val="auto"/>
          <w:szCs w:val="21"/>
          <w:highlight w:val="none"/>
        </w:rPr>
        <w:t>：</w:t>
      </w:r>
      <w:bookmarkEnd w:id="15"/>
      <w:bookmarkEnd w:id="16"/>
    </w:p>
    <w:p w14:paraId="0CDAF61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1、投标人的基本资格条件：投标人必须是在中华人民共和国境内注册登记的法人、其他组织或者自然人，且应当符合《政府采购法》第二十二条第一款的规定。</w:t>
      </w:r>
    </w:p>
    <w:p w14:paraId="5651F72E">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2、落实政府采购政策需满足的资格要求：</w:t>
      </w:r>
    </w:p>
    <w:p w14:paraId="224499A5">
      <w:pPr>
        <w:adjustRightInd w:val="0"/>
        <w:snapToGrid w:val="0"/>
        <w:spacing w:line="360" w:lineRule="auto"/>
        <w:ind w:firstLine="630" w:firstLineChars="300"/>
        <w:rPr>
          <w:rFonts w:ascii="宋体" w:hAnsi="宋体"/>
          <w:color w:val="auto"/>
          <w:szCs w:val="21"/>
          <w:highlight w:val="none"/>
        </w:rPr>
      </w:pPr>
      <w:r>
        <w:rPr>
          <w:rFonts w:hint="eastAsia" w:ascii="宋体" w:hAnsi="宋体"/>
          <w:iCs/>
          <w:color w:val="auto"/>
          <w:szCs w:val="21"/>
          <w:highlight w:val="none"/>
        </w:rPr>
        <w:sym w:font="Wingdings" w:char="00FE"/>
      </w:r>
      <w:r>
        <w:rPr>
          <w:rFonts w:hint="eastAsia" w:ascii="宋体" w:hAnsi="宋体"/>
          <w:iCs/>
          <w:color w:val="auto"/>
          <w:szCs w:val="21"/>
          <w:highlight w:val="none"/>
        </w:rPr>
        <w:t>专门面向</w:t>
      </w:r>
      <w:r>
        <w:rPr>
          <w:rFonts w:hint="eastAsia" w:ascii="宋体" w:hAnsi="宋体"/>
          <w:bCs/>
          <w:color w:val="auto"/>
          <w:szCs w:val="21"/>
          <w:highlight w:val="none"/>
        </w:rPr>
        <w:t>：</w:t>
      </w:r>
      <w:r>
        <w:rPr>
          <w:rFonts w:hint="eastAsia" w:ascii="宋体" w:hAnsi="宋体"/>
          <w:iCs/>
          <w:color w:val="auto"/>
          <w:szCs w:val="21"/>
          <w:highlight w:val="none"/>
        </w:rPr>
        <w:sym w:font="Wingdings" w:char="00FE"/>
      </w:r>
      <w:r>
        <w:rPr>
          <w:rFonts w:hint="eastAsia" w:ascii="宋体" w:hAnsi="宋体"/>
          <w:iCs/>
          <w:color w:val="auto"/>
          <w:szCs w:val="21"/>
          <w:highlight w:val="none"/>
        </w:rPr>
        <w:t>中小企业</w:t>
      </w:r>
      <w:r>
        <w:rPr>
          <w:rFonts w:hint="eastAsia" w:ascii="宋体" w:hAnsi="宋体"/>
          <w:b/>
          <w:bCs/>
          <w:iCs/>
          <w:color w:val="auto"/>
          <w:szCs w:val="21"/>
          <w:highlight w:val="none"/>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小微企业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监狱企业 </w:t>
      </w:r>
      <w:r>
        <w:rPr>
          <w:rFonts w:hint="eastAsia" w:ascii="宋体" w:hAnsi="宋体"/>
          <w:iCs/>
          <w:color w:val="auto"/>
          <w:szCs w:val="21"/>
          <w:highlight w:val="none"/>
        </w:rPr>
        <w:sym w:font="Wingdings" w:char="00A8"/>
      </w:r>
      <w:r>
        <w:rPr>
          <w:rFonts w:hint="eastAsia" w:ascii="宋体" w:hAnsi="宋体"/>
          <w:iCs/>
          <w:color w:val="auto"/>
          <w:szCs w:val="21"/>
          <w:highlight w:val="none"/>
        </w:rPr>
        <w:t>福利性单位。</w:t>
      </w:r>
    </w:p>
    <w:p w14:paraId="52D806D1">
      <w:pPr>
        <w:adjustRightInd w:val="0"/>
        <w:snapToGrid w:val="0"/>
        <w:spacing w:line="360" w:lineRule="auto"/>
        <w:ind w:firstLine="630" w:firstLineChars="300"/>
        <w:rPr>
          <w:rFonts w:ascii="宋体" w:hAnsi="宋体"/>
          <w:bCs/>
          <w:color w:val="auto"/>
          <w:szCs w:val="21"/>
          <w:highlight w:val="none"/>
        </w:rPr>
      </w:pPr>
      <w:r>
        <w:rPr>
          <w:rFonts w:hint="eastAsia" w:ascii="宋体" w:hAnsi="宋体"/>
          <w:iCs/>
          <w:color w:val="auto"/>
          <w:szCs w:val="21"/>
          <w:highlight w:val="none"/>
        </w:rPr>
        <w:sym w:font="Wingdings" w:char="00A8"/>
      </w:r>
      <w:r>
        <w:rPr>
          <w:rFonts w:hint="eastAsia" w:ascii="宋体" w:hAnsi="宋体"/>
          <w:iCs/>
          <w:color w:val="auto"/>
          <w:szCs w:val="21"/>
          <w:highlight w:val="none"/>
        </w:rPr>
        <w:t>强制</w:t>
      </w:r>
      <w:r>
        <w:rPr>
          <w:rFonts w:hint="eastAsia" w:ascii="宋体" w:hAnsi="宋体"/>
          <w:bCs/>
          <w:color w:val="auto"/>
          <w:szCs w:val="21"/>
          <w:highlight w:val="none"/>
        </w:rPr>
        <w:t>分包：大型企业应将采购份额的</w:t>
      </w:r>
      <w:r>
        <w:rPr>
          <w:rFonts w:hint="eastAsia" w:ascii="宋体" w:hAnsi="宋体"/>
          <w:bCs/>
          <w:color w:val="auto"/>
          <w:szCs w:val="21"/>
          <w:highlight w:val="none"/>
          <w:u w:val="single"/>
        </w:rPr>
        <w:t xml:space="preserve"> / </w:t>
      </w:r>
      <w:r>
        <w:rPr>
          <w:rFonts w:hint="eastAsia" w:ascii="宋体" w:hAnsi="宋体"/>
          <w:bCs/>
          <w:color w:val="auto"/>
          <w:szCs w:val="21"/>
          <w:highlight w:val="none"/>
        </w:rPr>
        <w:t>%分包给中小企业。</w:t>
      </w:r>
    </w:p>
    <w:p w14:paraId="18704BA3">
      <w:pPr>
        <w:numPr>
          <w:ilvl w:val="0"/>
          <w:numId w:val="1"/>
        </w:numPr>
        <w:adjustRightInd w:val="0"/>
        <w:snapToGrid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采购项目的特定资格条件：本项目为专门面向中小企业采购，所属行业为</w:t>
      </w:r>
      <w:r>
        <w:rPr>
          <w:rFonts w:hint="eastAsia" w:ascii="宋体" w:hAnsi="宋体"/>
          <w:b/>
          <w:bCs/>
          <w:color w:val="auto"/>
          <w:szCs w:val="21"/>
          <w:highlight w:val="none"/>
          <w:lang w:eastAsia="zh-CN"/>
        </w:rPr>
        <w:t>物业管理</w:t>
      </w:r>
      <w:r>
        <w:rPr>
          <w:rFonts w:hint="eastAsia" w:ascii="宋体" w:hAnsi="宋体"/>
          <w:b/>
          <w:bCs/>
          <w:color w:val="auto"/>
          <w:szCs w:val="21"/>
          <w:highlight w:val="none"/>
        </w:rPr>
        <w:t>，中小微企规模认定按照《中小企业划型标准规定》（工信部联企业〔2011〕300号）执行。投标人须提供《</w:t>
      </w:r>
      <w:r>
        <w:rPr>
          <w:rFonts w:hint="eastAsia" w:ascii="宋体" w:hAnsi="宋体"/>
          <w:b/>
          <w:bCs/>
          <w:color w:val="auto"/>
          <w:szCs w:val="21"/>
          <w:highlight w:val="none"/>
          <w:lang w:eastAsia="zh-CN"/>
        </w:rPr>
        <w:t>湖南省政府采购供应商资格承诺函</w:t>
      </w:r>
      <w:r>
        <w:rPr>
          <w:rFonts w:hint="eastAsia" w:ascii="宋体" w:hAnsi="宋体"/>
          <w:b/>
          <w:bCs/>
          <w:color w:val="auto"/>
          <w:szCs w:val="21"/>
          <w:highlight w:val="none"/>
        </w:rPr>
        <w:t>》。</w:t>
      </w:r>
    </w:p>
    <w:p w14:paraId="63257987">
      <w:pPr>
        <w:numPr>
          <w:ilvl w:val="0"/>
          <w:numId w:val="1"/>
        </w:num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单位负责人为同一人或者存在直接控股、管理关系的不同投标人，不得参加同一合同项下的政府采购活动。</w:t>
      </w:r>
    </w:p>
    <w:p w14:paraId="2E09E1F5">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5、为本采购项目提供整体设计、规范编制或者项目管理、监理、检测等服务的，不得再参加此项目的其他采购活动。</w:t>
      </w:r>
    </w:p>
    <w:p w14:paraId="6C45BA6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6、列入失信被执行人、重大税收违法失信主体名单、政府采购严重违法失信行为记录名单的，拒绝其参与政府采购活动。</w:t>
      </w:r>
    </w:p>
    <w:p w14:paraId="3D54B8B3">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7、联合体投标。本次招标</w:t>
      </w:r>
      <w:r>
        <w:rPr>
          <w:rFonts w:hint="eastAsia" w:ascii="宋体" w:hAnsi="宋体"/>
          <w:color w:val="auto"/>
          <w:szCs w:val="21"/>
          <w:highlight w:val="none"/>
          <w:u w:val="single"/>
        </w:rPr>
        <w:t>不接受</w:t>
      </w:r>
      <w:r>
        <w:rPr>
          <w:rFonts w:hint="eastAsia" w:ascii="宋体" w:hAnsi="宋体"/>
          <w:color w:val="auto"/>
          <w:szCs w:val="21"/>
          <w:highlight w:val="none"/>
        </w:rPr>
        <w:t>联合体投标。</w:t>
      </w:r>
    </w:p>
    <w:p w14:paraId="37230E69">
      <w:pPr>
        <w:adjustRightInd w:val="0"/>
        <w:snapToGrid w:val="0"/>
        <w:spacing w:line="360" w:lineRule="auto"/>
        <w:ind w:firstLine="422" w:firstLineChars="200"/>
        <w:outlineLvl w:val="1"/>
        <w:rPr>
          <w:rFonts w:ascii="宋体" w:hAnsi="宋体"/>
          <w:b/>
          <w:color w:val="auto"/>
          <w:szCs w:val="21"/>
          <w:highlight w:val="none"/>
        </w:rPr>
      </w:pPr>
      <w:bookmarkStart w:id="17" w:name="_Toc1171"/>
      <w:bookmarkStart w:id="18" w:name="_Toc3711"/>
      <w:r>
        <w:rPr>
          <w:rFonts w:hint="eastAsia" w:ascii="宋体" w:hAnsi="宋体"/>
          <w:b/>
          <w:color w:val="auto"/>
          <w:szCs w:val="21"/>
          <w:highlight w:val="none"/>
        </w:rPr>
        <w:t>五、获取招标文件的时间、期限、地点及方式</w:t>
      </w:r>
      <w:bookmarkEnd w:id="17"/>
      <w:bookmarkEnd w:id="18"/>
    </w:p>
    <w:p w14:paraId="0AD1EDF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有意参加投标者，</w:t>
      </w:r>
      <w:r>
        <w:rPr>
          <w:rFonts w:hint="eastAsia" w:ascii="宋体" w:hAnsi="宋体"/>
          <w:b/>
          <w:bCs/>
          <w:color w:val="auto"/>
          <w:szCs w:val="21"/>
          <w:highlight w:val="none"/>
        </w:rPr>
        <w:t>于2024年</w:t>
      </w:r>
      <w:r>
        <w:rPr>
          <w:rFonts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10</w:t>
      </w:r>
      <w:r>
        <w:rPr>
          <w:rFonts w:ascii="宋体" w:hAnsi="宋体"/>
          <w:b/>
          <w:bCs/>
          <w:color w:val="auto"/>
          <w:szCs w:val="21"/>
          <w:highlight w:val="none"/>
          <w:u w:val="single"/>
        </w:rPr>
        <w:t xml:space="preserve"> </w:t>
      </w:r>
      <w:r>
        <w:rPr>
          <w:rFonts w:hint="eastAsia" w:ascii="宋体" w:hAnsi="宋体"/>
          <w:b/>
          <w:bCs/>
          <w:color w:val="auto"/>
          <w:szCs w:val="21"/>
          <w:highlight w:val="none"/>
        </w:rPr>
        <w:t>月</w:t>
      </w:r>
      <w:r>
        <w:rPr>
          <w:rFonts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24</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日至2024年</w:t>
      </w:r>
      <w:r>
        <w:rPr>
          <w:rFonts w:hint="eastAsia"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10</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月</w:t>
      </w:r>
      <w:r>
        <w:rPr>
          <w:rFonts w:hint="eastAsia"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31</w:t>
      </w:r>
      <w:r>
        <w:rPr>
          <w:rFonts w:ascii="宋体" w:hAnsi="宋体"/>
          <w:b/>
          <w:bCs/>
          <w:color w:val="auto"/>
          <w:szCs w:val="21"/>
          <w:highlight w:val="none"/>
          <w:u w:val="single"/>
        </w:rPr>
        <w:t xml:space="preserve"> </w:t>
      </w:r>
      <w:r>
        <w:rPr>
          <w:rFonts w:hint="eastAsia" w:ascii="宋体" w:hAnsi="宋体"/>
          <w:b/>
          <w:bCs/>
          <w:color w:val="auto"/>
          <w:szCs w:val="21"/>
          <w:highlight w:val="none"/>
        </w:rPr>
        <w:t>日，全天</w:t>
      </w:r>
      <w:r>
        <w:rPr>
          <w:rFonts w:hint="eastAsia" w:ascii="宋体" w:hAnsi="宋体"/>
          <w:color w:val="auto"/>
          <w:szCs w:val="21"/>
          <w:highlight w:val="none"/>
        </w:rPr>
        <w:t>，在http://www.zzzyjy.cn获取招标文件。</w:t>
      </w:r>
    </w:p>
    <w:p w14:paraId="7A01F915">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sym w:font="Wingdings" w:char="00FE"/>
      </w:r>
      <w:r>
        <w:rPr>
          <w:rFonts w:hint="eastAsia" w:ascii="宋体" w:hAnsi="宋体"/>
          <w:color w:val="auto"/>
          <w:szCs w:val="21"/>
          <w:highlight w:val="none"/>
        </w:rPr>
        <w:t>本项目实行电子交易，有意参加投标者，在http://www.zzzyjy.cn获取电子版招标文件。</w:t>
      </w:r>
    </w:p>
    <w:p w14:paraId="6416F279">
      <w:pPr>
        <w:tabs>
          <w:tab w:val="left" w:pos="4700"/>
          <w:tab w:val="left" w:pos="6000"/>
          <w:tab w:val="left" w:pos="7160"/>
          <w:tab w:val="left" w:pos="8520"/>
        </w:tabs>
        <w:autoSpaceDE w:val="0"/>
        <w:autoSpaceDN w:val="0"/>
        <w:adjustRightInd w:val="0"/>
        <w:snapToGrid w:val="0"/>
        <w:spacing w:line="360" w:lineRule="auto"/>
        <w:ind w:right="-23" w:firstLine="420" w:firstLineChars="200"/>
        <w:jc w:val="left"/>
        <w:rPr>
          <w:color w:val="auto"/>
          <w:highlight w:val="none"/>
        </w:rPr>
      </w:pPr>
      <w:r>
        <w:rPr>
          <w:rFonts w:hint="eastAsia" w:ascii="宋体" w:hAnsi="宋体"/>
          <w:iCs/>
          <w:color w:val="auto"/>
          <w:szCs w:val="21"/>
          <w:highlight w:val="none"/>
        </w:rPr>
        <w:sym w:font="Wingdings" w:char="00A8"/>
      </w:r>
      <w:r>
        <w:rPr>
          <w:rFonts w:hint="eastAsia" w:ascii="宋体" w:hAnsi="宋体"/>
          <w:iCs/>
          <w:color w:val="auto"/>
          <w:szCs w:val="21"/>
          <w:highlight w:val="none"/>
        </w:rPr>
        <w:t>本项目进行资格预审，招标文件将向所有通过资格预审的投标人提供。</w:t>
      </w:r>
    </w:p>
    <w:p w14:paraId="43C1F13C">
      <w:pPr>
        <w:adjustRightInd w:val="0"/>
        <w:snapToGrid w:val="0"/>
        <w:spacing w:line="360" w:lineRule="auto"/>
        <w:ind w:firstLine="422" w:firstLineChars="200"/>
        <w:outlineLvl w:val="1"/>
        <w:rPr>
          <w:rFonts w:ascii="宋体" w:hAnsi="宋体"/>
          <w:b/>
          <w:color w:val="auto"/>
          <w:szCs w:val="21"/>
          <w:highlight w:val="none"/>
        </w:rPr>
      </w:pPr>
      <w:bookmarkStart w:id="19" w:name="_Toc15221"/>
      <w:bookmarkStart w:id="20" w:name="_Toc11129"/>
      <w:r>
        <w:rPr>
          <w:rFonts w:hint="eastAsia" w:ascii="宋体" w:hAnsi="宋体"/>
          <w:b/>
          <w:color w:val="auto"/>
          <w:szCs w:val="21"/>
          <w:highlight w:val="none"/>
        </w:rPr>
        <w:t>六、投标截止时间、开标时间及地点</w:t>
      </w:r>
      <w:bookmarkEnd w:id="19"/>
      <w:bookmarkEnd w:id="20"/>
    </w:p>
    <w:p w14:paraId="4D955794">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1、提交投标文件的截止时间：</w:t>
      </w:r>
      <w:r>
        <w:rPr>
          <w:rFonts w:hint="eastAsia" w:ascii="宋体" w:hAnsi="宋体"/>
          <w:b/>
          <w:bCs/>
          <w:color w:val="auto"/>
          <w:szCs w:val="21"/>
          <w:highlight w:val="none"/>
        </w:rPr>
        <w:t>2024年</w:t>
      </w:r>
      <w:r>
        <w:rPr>
          <w:rFonts w:hint="eastAsia"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11</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月</w:t>
      </w:r>
      <w:r>
        <w:rPr>
          <w:rFonts w:hint="eastAsia"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14</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日</w:t>
      </w:r>
      <w:r>
        <w:rPr>
          <w:rFonts w:hint="eastAsia" w:ascii="宋体" w:hAnsi="宋体"/>
          <w:b/>
          <w:bCs/>
          <w:color w:val="auto"/>
          <w:szCs w:val="21"/>
          <w:highlight w:val="none"/>
          <w:u w:val="single"/>
          <w:lang w:val="en-US" w:eastAsia="zh-CN"/>
        </w:rPr>
        <w:t xml:space="preserve"> 9 </w:t>
      </w:r>
      <w:r>
        <w:rPr>
          <w:rFonts w:hint="eastAsia" w:ascii="宋体" w:hAnsi="宋体"/>
          <w:b/>
          <w:bCs/>
          <w:color w:val="auto"/>
          <w:szCs w:val="21"/>
          <w:highlight w:val="none"/>
        </w:rPr>
        <w:t>：00</w:t>
      </w:r>
      <w:r>
        <w:rPr>
          <w:rFonts w:hint="eastAsia" w:ascii="宋体" w:hAnsi="宋体"/>
          <w:color w:val="auto"/>
          <w:szCs w:val="21"/>
          <w:highlight w:val="none"/>
        </w:rPr>
        <w:t>（北京时间）；</w:t>
      </w:r>
    </w:p>
    <w:p w14:paraId="3F4F2CE4">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2、提交投标文件地点：株洲市公共资源交易平台（http://www.zzzyjy.cn/）</w:t>
      </w:r>
    </w:p>
    <w:p w14:paraId="5BAD29D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3、开标时间：</w:t>
      </w:r>
      <w:r>
        <w:rPr>
          <w:rFonts w:hint="eastAsia" w:ascii="宋体" w:hAnsi="宋体"/>
          <w:b/>
          <w:bCs/>
          <w:color w:val="auto"/>
          <w:szCs w:val="21"/>
          <w:highlight w:val="none"/>
        </w:rPr>
        <w:t>2024年</w:t>
      </w:r>
      <w:r>
        <w:rPr>
          <w:rFonts w:hint="eastAsia"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11</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月</w:t>
      </w:r>
      <w:r>
        <w:rPr>
          <w:rFonts w:hint="eastAsia"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14</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日</w:t>
      </w:r>
      <w:r>
        <w:rPr>
          <w:rFonts w:hint="eastAsia" w:ascii="宋体" w:hAnsi="宋体"/>
          <w:b/>
          <w:bCs/>
          <w:color w:val="auto"/>
          <w:szCs w:val="21"/>
          <w:highlight w:val="none"/>
          <w:u w:val="single"/>
          <w:lang w:val="en-US" w:eastAsia="zh-CN"/>
        </w:rPr>
        <w:t xml:space="preserve"> 9 </w:t>
      </w:r>
      <w:r>
        <w:rPr>
          <w:rFonts w:hint="eastAsia" w:ascii="宋体" w:hAnsi="宋体"/>
          <w:b/>
          <w:bCs/>
          <w:color w:val="auto"/>
          <w:szCs w:val="21"/>
          <w:highlight w:val="none"/>
        </w:rPr>
        <w:t>：00</w:t>
      </w:r>
      <w:r>
        <w:rPr>
          <w:rFonts w:hint="eastAsia" w:ascii="宋体" w:hAnsi="宋体"/>
          <w:color w:val="auto"/>
          <w:szCs w:val="21"/>
          <w:highlight w:val="none"/>
        </w:rPr>
        <w:t xml:space="preserve">（北京时间）。 </w:t>
      </w:r>
    </w:p>
    <w:p w14:paraId="2BDDD959">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4、开标地点：株洲市公共资源交易中心网上开标大厅（http://www.zzzyjy.cn:89/BidOpening/bidopeninghallaction/hall/login），所有投标人应准时在线参加开标。</w:t>
      </w:r>
    </w:p>
    <w:p w14:paraId="5930A290">
      <w:pPr>
        <w:adjustRightInd w:val="0"/>
        <w:snapToGrid w:val="0"/>
        <w:spacing w:line="360" w:lineRule="auto"/>
        <w:ind w:firstLine="422" w:firstLineChars="200"/>
        <w:outlineLvl w:val="1"/>
        <w:rPr>
          <w:rFonts w:ascii="宋体" w:hAnsi="宋体"/>
          <w:color w:val="auto"/>
          <w:szCs w:val="21"/>
          <w:highlight w:val="none"/>
        </w:rPr>
      </w:pPr>
      <w:bookmarkStart w:id="21" w:name="_Toc13920"/>
      <w:bookmarkStart w:id="22" w:name="_Toc5129"/>
      <w:r>
        <w:rPr>
          <w:rFonts w:hint="eastAsia" w:ascii="宋体" w:hAnsi="宋体"/>
          <w:b/>
          <w:color w:val="auto"/>
          <w:szCs w:val="21"/>
          <w:highlight w:val="none"/>
        </w:rPr>
        <w:t>七、公告期限</w:t>
      </w:r>
      <w:r>
        <w:rPr>
          <w:rFonts w:hint="eastAsia" w:ascii="宋体" w:hAnsi="宋体"/>
          <w:color w:val="auto"/>
          <w:szCs w:val="21"/>
          <w:highlight w:val="none"/>
        </w:rPr>
        <w:t>：</w:t>
      </w:r>
      <w:bookmarkEnd w:id="21"/>
      <w:bookmarkEnd w:id="22"/>
    </w:p>
    <w:p w14:paraId="36EC072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1、本招标公告在中国湖南政府采购网（www.ccgp-hunan.gov.cn）发布。公告期限从本招标公告发布之日起5个工作日。</w:t>
      </w:r>
    </w:p>
    <w:p w14:paraId="61E56C7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2、在其他媒体发布的招标公告，公告内容以本招标公告指定媒体发布的公告为准；公告期限自本招标公告指定媒体最先发布公告之日起算。</w:t>
      </w:r>
    </w:p>
    <w:p w14:paraId="7C90718D">
      <w:pPr>
        <w:adjustRightInd w:val="0"/>
        <w:snapToGrid w:val="0"/>
        <w:spacing w:line="360" w:lineRule="auto"/>
        <w:ind w:firstLine="422" w:firstLineChars="200"/>
        <w:outlineLvl w:val="1"/>
        <w:rPr>
          <w:rFonts w:ascii="宋体" w:hAnsi="宋体"/>
          <w:color w:val="auto"/>
          <w:szCs w:val="21"/>
          <w:highlight w:val="none"/>
        </w:rPr>
      </w:pPr>
      <w:bookmarkStart w:id="23" w:name="_Toc8387"/>
      <w:bookmarkStart w:id="24" w:name="_Toc28715"/>
      <w:r>
        <w:rPr>
          <w:rFonts w:hint="eastAsia" w:ascii="宋体" w:hAnsi="宋体"/>
          <w:b/>
          <w:color w:val="auto"/>
          <w:szCs w:val="21"/>
          <w:highlight w:val="none"/>
        </w:rPr>
        <w:t>八、询问及质疑</w:t>
      </w:r>
      <w:r>
        <w:rPr>
          <w:rFonts w:hint="eastAsia" w:ascii="宋体" w:hAnsi="宋体"/>
          <w:color w:val="auto"/>
          <w:szCs w:val="21"/>
          <w:highlight w:val="none"/>
        </w:rPr>
        <w:t>：</w:t>
      </w:r>
      <w:bookmarkEnd w:id="23"/>
      <w:bookmarkEnd w:id="24"/>
    </w:p>
    <w:p w14:paraId="515C0F2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1、投标人对政府采购活动事项如有疑问的，可以向采购人、采购代理机构提出询问。采购人、采购代理机构将在3个工作日内作出答复。</w:t>
      </w:r>
    </w:p>
    <w:p w14:paraId="363A148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2、投标人对电子交易平台办理CA证书、操作等如有疑问，请咨询电子交易平台服务机构。</w:t>
      </w:r>
    </w:p>
    <w:p w14:paraId="55623063">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潜在投标人认为招标文件或招标公告使自己的合法权益受到损害的，可以在收到招标文件之日或招标公告期限届满之日起7个工作日内，按《湖南省财政厅关于印发＜政府采购质疑答复和投诉处理操作规程＞的通知》(湘财购〔2019〕20号)规定，以纸质书面形式向采购人、采购代理机构提出质疑。</w:t>
      </w:r>
    </w:p>
    <w:p w14:paraId="354377FF">
      <w:pPr>
        <w:adjustRightInd w:val="0"/>
        <w:snapToGrid w:val="0"/>
        <w:spacing w:line="360" w:lineRule="auto"/>
        <w:ind w:firstLine="422" w:firstLineChars="200"/>
        <w:outlineLvl w:val="1"/>
        <w:rPr>
          <w:rFonts w:ascii="宋体" w:hAnsi="宋体"/>
          <w:b/>
          <w:color w:val="auto"/>
          <w:szCs w:val="21"/>
          <w:highlight w:val="none"/>
        </w:rPr>
      </w:pPr>
      <w:bookmarkStart w:id="25" w:name="_Toc19652"/>
      <w:bookmarkStart w:id="26" w:name="_Toc29520"/>
      <w:r>
        <w:rPr>
          <w:rFonts w:hint="eastAsia" w:ascii="宋体" w:hAnsi="宋体"/>
          <w:b/>
          <w:color w:val="auto"/>
          <w:szCs w:val="21"/>
          <w:highlight w:val="none"/>
        </w:rPr>
        <w:t>九、投标说明</w:t>
      </w:r>
      <w:bookmarkEnd w:id="25"/>
      <w:bookmarkEnd w:id="26"/>
    </w:p>
    <w:p w14:paraId="4E4C7F0C">
      <w:pPr>
        <w:tabs>
          <w:tab w:val="left" w:pos="4700"/>
          <w:tab w:val="left" w:pos="6000"/>
          <w:tab w:val="left" w:pos="7160"/>
          <w:tab w:val="left" w:pos="8520"/>
        </w:tabs>
        <w:autoSpaceDE w:val="0"/>
        <w:autoSpaceDN w:val="0"/>
        <w:adjustRightInd w:val="0"/>
        <w:snapToGrid w:val="0"/>
        <w:spacing w:line="360" w:lineRule="auto"/>
        <w:ind w:right="-23" w:firstLine="420" w:firstLineChars="200"/>
        <w:jc w:val="left"/>
        <w:rPr>
          <w:rFonts w:ascii="宋体" w:hAnsi="宋体"/>
          <w:color w:val="auto"/>
          <w:szCs w:val="21"/>
          <w:highlight w:val="none"/>
        </w:rPr>
      </w:pPr>
      <w:r>
        <w:rPr>
          <w:rFonts w:hint="eastAsia" w:ascii="宋体" w:hAnsi="宋体"/>
          <w:color w:val="auto"/>
          <w:szCs w:val="21"/>
          <w:highlight w:val="none"/>
        </w:rPr>
        <w:t>1、本公告选项：</w:t>
      </w:r>
      <w:r>
        <w:rPr>
          <w:rFonts w:hint="eastAsia" w:ascii="宋体" w:hAnsi="宋体"/>
          <w:color w:val="auto"/>
          <w:szCs w:val="21"/>
          <w:highlight w:val="none"/>
        </w:rPr>
        <w:sym w:font="Wingdings" w:char="00FE"/>
      </w:r>
      <w:r>
        <w:rPr>
          <w:rFonts w:hint="eastAsia" w:ascii="宋体" w:hAnsi="宋体"/>
          <w:color w:val="auto"/>
          <w:szCs w:val="21"/>
          <w:highlight w:val="none"/>
        </w:rPr>
        <w:t>表示选择，</w:t>
      </w:r>
      <w:r>
        <w:rPr>
          <w:rFonts w:hint="eastAsia" w:ascii="宋体" w:hAnsi="宋体"/>
          <w:color w:val="auto"/>
          <w:szCs w:val="21"/>
          <w:highlight w:val="none"/>
        </w:rPr>
        <w:sym w:font="Wingdings" w:char="00A8"/>
      </w:r>
      <w:r>
        <w:rPr>
          <w:rFonts w:hint="eastAsia" w:ascii="宋体" w:hAnsi="宋体"/>
          <w:color w:val="auto"/>
          <w:szCs w:val="21"/>
          <w:highlight w:val="none"/>
        </w:rPr>
        <w:t>表示未选择。</w:t>
      </w:r>
    </w:p>
    <w:p w14:paraId="43AC40BF">
      <w:pPr>
        <w:tabs>
          <w:tab w:val="left" w:pos="4700"/>
          <w:tab w:val="left" w:pos="6000"/>
          <w:tab w:val="left" w:pos="7160"/>
          <w:tab w:val="left" w:pos="8520"/>
        </w:tabs>
        <w:autoSpaceDE w:val="0"/>
        <w:autoSpaceDN w:val="0"/>
        <w:adjustRightInd w:val="0"/>
        <w:snapToGrid w:val="0"/>
        <w:spacing w:line="360" w:lineRule="auto"/>
        <w:ind w:right="-23" w:firstLine="420" w:firstLineChars="200"/>
        <w:jc w:val="left"/>
        <w:rPr>
          <w:color w:val="auto"/>
          <w:highlight w:val="none"/>
        </w:rPr>
      </w:pPr>
      <w:r>
        <w:rPr>
          <w:rFonts w:hint="eastAsia" w:ascii="宋体" w:hAnsi="宋体"/>
          <w:color w:val="auto"/>
          <w:szCs w:val="21"/>
          <w:highlight w:val="none"/>
        </w:rPr>
        <w:t>2、投标人参与政府采购活动，无需向采购人、代理机构、交易平台缴纳任何费用。</w:t>
      </w:r>
    </w:p>
    <w:p w14:paraId="3B083458">
      <w:pPr>
        <w:adjustRightInd w:val="0"/>
        <w:snapToGrid w:val="0"/>
        <w:spacing w:line="360" w:lineRule="auto"/>
        <w:ind w:firstLine="422" w:firstLineChars="200"/>
        <w:outlineLvl w:val="1"/>
        <w:rPr>
          <w:rFonts w:ascii="宋体" w:hAnsi="宋体"/>
          <w:b/>
          <w:color w:val="auto"/>
          <w:szCs w:val="21"/>
          <w:highlight w:val="none"/>
        </w:rPr>
      </w:pPr>
      <w:bookmarkStart w:id="27" w:name="_Toc1986"/>
      <w:bookmarkStart w:id="28" w:name="_Toc8674"/>
      <w:r>
        <w:rPr>
          <w:rFonts w:hint="eastAsia" w:ascii="宋体" w:hAnsi="宋体"/>
          <w:b/>
          <w:color w:val="auto"/>
          <w:szCs w:val="21"/>
          <w:highlight w:val="none"/>
        </w:rPr>
        <w:t>十、采购项目联系人姓名和电话</w:t>
      </w:r>
      <w:bookmarkEnd w:id="27"/>
      <w:bookmarkEnd w:id="28"/>
    </w:p>
    <w:p w14:paraId="708C3109">
      <w:pPr>
        <w:adjustRightInd w:val="0"/>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1、联系人姓名：熊齐玉</w:t>
      </w:r>
    </w:p>
    <w:p w14:paraId="2A4B8B62">
      <w:pPr>
        <w:adjustRightInd w:val="0"/>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 xml:space="preserve">2、电话：15073139239 </w:t>
      </w:r>
    </w:p>
    <w:p w14:paraId="3C869C77">
      <w:pPr>
        <w:adjustRightInd w:val="0"/>
        <w:snapToGrid w:val="0"/>
        <w:spacing w:line="360" w:lineRule="auto"/>
        <w:ind w:firstLine="413" w:firstLineChars="196"/>
        <w:outlineLvl w:val="1"/>
        <w:rPr>
          <w:rFonts w:ascii="宋体" w:hAnsi="宋体"/>
          <w:b/>
          <w:bCs/>
          <w:color w:val="auto"/>
          <w:szCs w:val="21"/>
          <w:highlight w:val="none"/>
        </w:rPr>
      </w:pPr>
      <w:bookmarkStart w:id="29" w:name="_Toc8825"/>
      <w:bookmarkStart w:id="30" w:name="_Toc26649"/>
      <w:r>
        <w:rPr>
          <w:rFonts w:hint="eastAsia" w:ascii="宋体" w:hAnsi="宋体"/>
          <w:b/>
          <w:bCs/>
          <w:color w:val="auto"/>
          <w:szCs w:val="21"/>
          <w:highlight w:val="none"/>
        </w:rPr>
        <w:t>十一、采购人、采购代理机构的名称、地址和联系方法</w:t>
      </w:r>
      <w:bookmarkEnd w:id="29"/>
      <w:bookmarkEnd w:id="30"/>
    </w:p>
    <w:p w14:paraId="3798AAC1">
      <w:pPr>
        <w:adjustRightInd w:val="0"/>
        <w:snapToGrid w:val="0"/>
        <w:spacing w:line="360" w:lineRule="auto"/>
        <w:ind w:firstLine="413" w:firstLineChars="196"/>
        <w:rPr>
          <w:rFonts w:ascii="宋体" w:hAnsi="宋体"/>
          <w:b/>
          <w:bCs/>
          <w:color w:val="auto"/>
          <w:szCs w:val="21"/>
          <w:highlight w:val="none"/>
        </w:rPr>
      </w:pPr>
      <w:r>
        <w:rPr>
          <w:rFonts w:hint="eastAsia" w:ascii="宋体" w:hAnsi="宋体"/>
          <w:b/>
          <w:bCs/>
          <w:color w:val="auto"/>
          <w:szCs w:val="21"/>
          <w:highlight w:val="none"/>
        </w:rPr>
        <w:t>1</w:t>
      </w:r>
      <w:r>
        <w:rPr>
          <w:rFonts w:hint="eastAsia" w:ascii="宋体" w:hAnsi="宋体"/>
          <w:color w:val="auto"/>
          <w:szCs w:val="21"/>
          <w:highlight w:val="none"/>
        </w:rPr>
        <w:t>、</w:t>
      </w:r>
      <w:r>
        <w:rPr>
          <w:rFonts w:hint="eastAsia" w:ascii="宋体" w:hAnsi="宋体"/>
          <w:b/>
          <w:bCs/>
          <w:color w:val="auto"/>
          <w:szCs w:val="21"/>
          <w:highlight w:val="none"/>
        </w:rPr>
        <w:t>采购人信息</w:t>
      </w:r>
    </w:p>
    <w:p w14:paraId="3569BBCC">
      <w:pPr>
        <w:adjustRightInd w:val="0"/>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（1）名  称：</w:t>
      </w:r>
      <w:r>
        <w:rPr>
          <w:rFonts w:hint="eastAsia" w:ascii="宋体" w:hAnsi="宋体"/>
          <w:color w:val="auto"/>
          <w:szCs w:val="21"/>
          <w:highlight w:val="none"/>
          <w:lang w:eastAsia="zh-CN"/>
        </w:rPr>
        <w:t>湖南铁路科技职业技术学院</w:t>
      </w:r>
      <w:r>
        <w:rPr>
          <w:rFonts w:hint="eastAsia" w:ascii="宋体" w:hAnsi="宋体"/>
          <w:color w:val="auto"/>
          <w:szCs w:val="21"/>
          <w:highlight w:val="none"/>
        </w:rPr>
        <w:t xml:space="preserve"> </w:t>
      </w:r>
    </w:p>
    <w:p w14:paraId="1B231F0F">
      <w:pPr>
        <w:adjustRightInd w:val="0"/>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（2）地  址：</w:t>
      </w:r>
      <w:r>
        <w:rPr>
          <w:rFonts w:hint="eastAsia"/>
          <w:color w:val="auto"/>
          <w:szCs w:val="21"/>
          <w:highlight w:val="none"/>
          <w:lang w:eastAsia="zh-CN"/>
        </w:rPr>
        <w:t>湖南省株洲市云龙示范区职教大学城智慧路1</w:t>
      </w:r>
      <w:r>
        <w:rPr>
          <w:rFonts w:hint="eastAsia"/>
          <w:color w:val="auto"/>
          <w:szCs w:val="21"/>
          <w:highlight w:val="none"/>
          <w:lang w:val="en-US" w:eastAsia="zh-CN"/>
        </w:rPr>
        <w:t>23</w:t>
      </w:r>
      <w:r>
        <w:rPr>
          <w:rFonts w:hint="eastAsia"/>
          <w:color w:val="auto"/>
          <w:szCs w:val="21"/>
          <w:highlight w:val="none"/>
          <w:lang w:eastAsia="zh-CN"/>
        </w:rPr>
        <w:t>号</w:t>
      </w:r>
    </w:p>
    <w:p w14:paraId="623E992A">
      <w:pPr>
        <w:adjustRightInd w:val="0"/>
        <w:snapToGrid w:val="0"/>
        <w:spacing w:line="360" w:lineRule="auto"/>
        <w:ind w:firstLine="411" w:firstLineChars="196"/>
        <w:rPr>
          <w:rFonts w:hint="eastAsia" w:ascii="宋体" w:hAnsi="宋体" w:eastAsia="宋体"/>
          <w:color w:val="auto"/>
          <w:szCs w:val="21"/>
          <w:highlight w:val="none"/>
          <w:lang w:eastAsia="zh-CN"/>
        </w:rPr>
      </w:pPr>
      <w:r>
        <w:rPr>
          <w:rFonts w:hint="eastAsia" w:ascii="宋体" w:hAnsi="宋体"/>
          <w:color w:val="auto"/>
          <w:szCs w:val="21"/>
          <w:highlight w:val="none"/>
        </w:rPr>
        <w:t>（3）联系人：</w:t>
      </w:r>
      <w:r>
        <w:rPr>
          <w:rFonts w:hint="eastAsia" w:ascii="宋体" w:hAnsi="宋体"/>
          <w:color w:val="auto"/>
          <w:szCs w:val="21"/>
          <w:highlight w:val="none"/>
          <w:lang w:eastAsia="zh-CN"/>
        </w:rPr>
        <w:t>彭育松</w:t>
      </w:r>
    </w:p>
    <w:p w14:paraId="4985CD98">
      <w:pPr>
        <w:adjustRightInd w:val="0"/>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 xml:space="preserve">（4）邮  编： 412000 </w:t>
      </w:r>
    </w:p>
    <w:p w14:paraId="581E77DE">
      <w:pPr>
        <w:adjustRightInd w:val="0"/>
        <w:snapToGrid w:val="0"/>
        <w:spacing w:line="360" w:lineRule="auto"/>
        <w:ind w:firstLine="411" w:firstLineChars="196"/>
        <w:rPr>
          <w:rFonts w:hint="eastAsia" w:ascii="宋体" w:hAnsi="宋体" w:eastAsia="宋体"/>
          <w:color w:val="auto"/>
          <w:szCs w:val="21"/>
          <w:highlight w:val="none"/>
          <w:lang w:eastAsia="zh-CN"/>
        </w:rPr>
      </w:pPr>
      <w:r>
        <w:rPr>
          <w:rFonts w:hint="eastAsia" w:ascii="宋体" w:hAnsi="宋体"/>
          <w:color w:val="auto"/>
          <w:szCs w:val="21"/>
          <w:highlight w:val="none"/>
        </w:rPr>
        <w:t>（5）电  话：</w:t>
      </w:r>
      <w:r>
        <w:rPr>
          <w:rFonts w:hint="eastAsia" w:ascii="宋体" w:hAnsi="宋体"/>
          <w:color w:val="auto"/>
          <w:kern w:val="0"/>
          <w:szCs w:val="21"/>
          <w:highlight w:val="none"/>
          <w:lang w:bidi="ar"/>
        </w:rPr>
        <w:t>0731-22780163</w:t>
      </w:r>
    </w:p>
    <w:p w14:paraId="6AF82E6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（6）电子邮箱：/         </w:t>
      </w:r>
    </w:p>
    <w:p w14:paraId="69629FF8">
      <w:pPr>
        <w:adjustRightInd w:val="0"/>
        <w:snapToGrid w:val="0"/>
        <w:spacing w:line="360" w:lineRule="auto"/>
        <w:ind w:firstLine="413" w:firstLineChars="196"/>
        <w:rPr>
          <w:rFonts w:ascii="宋体" w:hAnsi="宋体"/>
          <w:b/>
          <w:bCs/>
          <w:color w:val="auto"/>
          <w:szCs w:val="21"/>
          <w:highlight w:val="none"/>
        </w:rPr>
      </w:pPr>
      <w:r>
        <w:rPr>
          <w:rFonts w:hint="eastAsia" w:ascii="宋体" w:hAnsi="宋体"/>
          <w:b/>
          <w:bCs/>
          <w:color w:val="auto"/>
          <w:szCs w:val="21"/>
          <w:highlight w:val="none"/>
        </w:rPr>
        <w:t>2</w:t>
      </w:r>
      <w:r>
        <w:rPr>
          <w:rFonts w:hint="eastAsia" w:ascii="宋体" w:hAnsi="宋体"/>
          <w:color w:val="auto"/>
          <w:szCs w:val="21"/>
          <w:highlight w:val="none"/>
        </w:rPr>
        <w:t>、</w:t>
      </w:r>
      <w:r>
        <w:rPr>
          <w:rFonts w:hint="eastAsia" w:ascii="宋体" w:hAnsi="宋体"/>
          <w:b/>
          <w:bCs/>
          <w:color w:val="auto"/>
          <w:szCs w:val="21"/>
          <w:highlight w:val="none"/>
        </w:rPr>
        <w:t>采购代理机构信息</w:t>
      </w:r>
    </w:p>
    <w:p w14:paraId="7F40ECC2">
      <w:pPr>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（1）名 称：湖南万达项目管理有限公司</w:t>
      </w:r>
    </w:p>
    <w:p w14:paraId="6242C818">
      <w:pPr>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（2）地 址：株洲市天元区长江中央商务大厦A座五楼</w:t>
      </w:r>
    </w:p>
    <w:p w14:paraId="34DB6C66">
      <w:pPr>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（3）联系人：熊齐玉、</w:t>
      </w:r>
      <w:r>
        <w:rPr>
          <w:rFonts w:hint="eastAsia" w:ascii="宋体" w:hAnsi="宋体" w:cs="宋体"/>
          <w:color w:val="auto"/>
          <w:highlight w:val="none"/>
          <w:lang w:eastAsia="zh-CN"/>
        </w:rPr>
        <w:t>李萌、</w:t>
      </w:r>
      <w:r>
        <w:rPr>
          <w:rFonts w:hint="eastAsia" w:ascii="宋体" w:hAnsi="宋体" w:cs="宋体"/>
          <w:color w:val="auto"/>
          <w:highlight w:val="none"/>
        </w:rPr>
        <w:t>张志勇</w:t>
      </w:r>
    </w:p>
    <w:p w14:paraId="5B698054">
      <w:pPr>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（4）邮 编：412000 </w:t>
      </w:r>
    </w:p>
    <w:p w14:paraId="74BBE927">
      <w:pPr>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（5）电 话：0731-22885118</w:t>
      </w:r>
    </w:p>
    <w:p w14:paraId="309CB274">
      <w:pPr>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（6）电子邮箱：hnwd2005@163.com </w:t>
      </w:r>
    </w:p>
    <w:p w14:paraId="4853E259">
      <w:pPr>
        <w:pStyle w:val="63"/>
        <w:spacing w:line="360" w:lineRule="auto"/>
        <w:ind w:firstLine="422"/>
        <w:rPr>
          <w:rFonts w:ascii="宋体" w:hAnsi="宋体" w:cs="微软雅黑"/>
          <w:bCs/>
          <w:color w:val="auto"/>
          <w:kern w:val="0"/>
          <w:position w:val="-1"/>
          <w:highlight w:val="none"/>
        </w:rPr>
      </w:pPr>
      <w:r>
        <w:rPr>
          <w:rFonts w:hint="eastAsia" w:ascii="宋体" w:hAnsi="宋体" w:cs="微软雅黑"/>
          <w:bCs/>
          <w:color w:val="auto"/>
          <w:kern w:val="0"/>
          <w:position w:val="-1"/>
          <w:highlight w:val="none"/>
        </w:rPr>
        <w:t>3、电子交易平台服务机构信息</w:t>
      </w:r>
    </w:p>
    <w:p w14:paraId="416070B4">
      <w:pPr>
        <w:adjustRightInd w:val="0"/>
        <w:snapToGrid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（1）名  称：株洲市公共资源交易平台</w:t>
      </w:r>
    </w:p>
    <w:p w14:paraId="47519EF9">
      <w:pPr>
        <w:adjustRightInd w:val="0"/>
        <w:snapToGrid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（2）联系人：技术支持</w:t>
      </w:r>
    </w:p>
    <w:p w14:paraId="7BADA1BE">
      <w:pPr>
        <w:adjustRightInd w:val="0"/>
        <w:snapToGrid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（3）电 话：0731-28101310</w:t>
      </w:r>
    </w:p>
    <w:p w14:paraId="5D14105D">
      <w:pPr>
        <w:adjustRightInd w:val="0"/>
        <w:snapToGrid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（4）电子邮箱：3562613576@qq.com</w:t>
      </w:r>
    </w:p>
    <w:p w14:paraId="0870AD1A">
      <w:pPr>
        <w:pStyle w:val="26"/>
        <w:adjustRightInd w:val="0"/>
        <w:snapToGrid w:val="0"/>
        <w:spacing w:line="360" w:lineRule="auto"/>
        <w:jc w:val="center"/>
        <w:rPr>
          <w:rFonts w:hAnsi="宋体" w:cs="宋体"/>
          <w:b/>
          <w:color w:val="auto"/>
          <w:sz w:val="32"/>
          <w:szCs w:val="32"/>
          <w:highlight w:val="none"/>
        </w:rPr>
      </w:pPr>
      <w:r>
        <w:rPr>
          <w:rFonts w:hint="eastAsia" w:hAnsi="宋体" w:cs="宋体"/>
          <w:b/>
          <w:color w:val="auto"/>
          <w:sz w:val="32"/>
          <w:szCs w:val="32"/>
          <w:highlight w:val="none"/>
        </w:rPr>
        <w:br w:type="page"/>
      </w:r>
    </w:p>
    <w:p w14:paraId="4DB82040">
      <w:pPr>
        <w:pStyle w:val="26"/>
        <w:adjustRightInd w:val="0"/>
        <w:snapToGrid w:val="0"/>
        <w:spacing w:line="360" w:lineRule="auto"/>
        <w:jc w:val="center"/>
        <w:outlineLvl w:val="0"/>
        <w:rPr>
          <w:rFonts w:hAnsi="宋体" w:cs="宋体"/>
          <w:b/>
          <w:color w:val="auto"/>
          <w:spacing w:val="100"/>
          <w:sz w:val="32"/>
          <w:szCs w:val="32"/>
          <w:highlight w:val="none"/>
        </w:rPr>
      </w:pPr>
      <w:bookmarkStart w:id="31" w:name="_Toc31802"/>
      <w:r>
        <w:rPr>
          <w:rFonts w:hint="eastAsia" w:hAnsi="宋体" w:cs="宋体"/>
          <w:b/>
          <w:color w:val="auto"/>
          <w:sz w:val="32"/>
          <w:szCs w:val="32"/>
          <w:highlight w:val="none"/>
        </w:rPr>
        <w:t>第二章 投标须知</w:t>
      </w:r>
      <w:bookmarkEnd w:id="0"/>
      <w:bookmarkEnd w:id="1"/>
      <w:bookmarkEnd w:id="2"/>
      <w:bookmarkEnd w:id="3"/>
      <w:bookmarkEnd w:id="4"/>
      <w:bookmarkEnd w:id="5"/>
      <w:bookmarkEnd w:id="6"/>
      <w:bookmarkEnd w:id="7"/>
      <w:bookmarkEnd w:id="31"/>
    </w:p>
    <w:p w14:paraId="0C8F1E7F">
      <w:pPr>
        <w:pStyle w:val="5"/>
        <w:adjustRightInd w:val="0"/>
        <w:snapToGrid w:val="0"/>
        <w:jc w:val="center"/>
        <w:rPr>
          <w:rFonts w:ascii="宋体" w:hAnsi="宋体" w:cs="宋体"/>
          <w:color w:val="auto"/>
          <w:spacing w:val="100"/>
          <w:sz w:val="28"/>
          <w:szCs w:val="28"/>
          <w:highlight w:val="none"/>
        </w:rPr>
      </w:pPr>
      <w:bookmarkStart w:id="32" w:name="_Toc28944"/>
      <w:r>
        <w:rPr>
          <w:rFonts w:hint="eastAsia" w:ascii="宋体" w:hAnsi="宋体" w:cs="宋体"/>
          <w:color w:val="auto"/>
          <w:sz w:val="28"/>
          <w:szCs w:val="28"/>
          <w:highlight w:val="none"/>
        </w:rPr>
        <w:t>第一节 投标须知前附表</w:t>
      </w:r>
      <w:bookmarkEnd w:id="32"/>
    </w:p>
    <w:p w14:paraId="41B9BB0C">
      <w:pPr>
        <w:adjustRightInd w:val="0"/>
        <w:snapToGrid w:val="0"/>
        <w:spacing w:line="360" w:lineRule="auto"/>
        <w:ind w:right="31" w:rightChars="15" w:firstLine="420" w:firstLineChars="200"/>
        <w:rPr>
          <w:rFonts w:ascii="宋体" w:hAnsi="宋体" w:cs="宋体"/>
          <w:iCs/>
          <w:color w:val="auto"/>
          <w:szCs w:val="21"/>
          <w:highlight w:val="none"/>
        </w:rPr>
      </w:pPr>
      <w:r>
        <w:rPr>
          <w:rFonts w:hint="eastAsia" w:ascii="宋体" w:hAnsi="宋体" w:cs="宋体"/>
          <w:iCs/>
          <w:color w:val="auto"/>
          <w:szCs w:val="21"/>
          <w:highlight w:val="none"/>
        </w:rPr>
        <w:t>注：本项目启用的条款在“编列内容规定”栏内以“■”标注。</w:t>
      </w:r>
    </w:p>
    <w:tbl>
      <w:tblPr>
        <w:tblStyle w:val="45"/>
        <w:tblW w:w="89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693"/>
        <w:gridCol w:w="4678"/>
      </w:tblGrid>
      <w:tr w14:paraId="3B6F29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1560" w:type="dxa"/>
            <w:tcBorders>
              <w:tl2br w:val="nil"/>
              <w:tr2bl w:val="nil"/>
            </w:tcBorders>
            <w:vAlign w:val="center"/>
          </w:tcPr>
          <w:p w14:paraId="27E9172C">
            <w:pPr>
              <w:jc w:val="center"/>
              <w:rPr>
                <w:rFonts w:ascii="宋体" w:hAnsi="宋体" w:cs="宋体"/>
                <w:b/>
                <w:bCs/>
                <w:color w:val="auto"/>
                <w:szCs w:val="21"/>
                <w:highlight w:val="none"/>
              </w:rPr>
            </w:pPr>
            <w:r>
              <w:rPr>
                <w:rFonts w:hint="eastAsia" w:ascii="宋体" w:hAnsi="宋体" w:cs="宋体"/>
                <w:b/>
                <w:bCs/>
                <w:color w:val="auto"/>
                <w:szCs w:val="21"/>
                <w:highlight w:val="none"/>
              </w:rPr>
              <w:t>条款号</w:t>
            </w:r>
          </w:p>
        </w:tc>
        <w:tc>
          <w:tcPr>
            <w:tcW w:w="2693" w:type="dxa"/>
            <w:tcBorders>
              <w:tl2br w:val="nil"/>
              <w:tr2bl w:val="nil"/>
            </w:tcBorders>
            <w:vAlign w:val="center"/>
          </w:tcPr>
          <w:p w14:paraId="648D2BED">
            <w:pPr>
              <w:jc w:val="center"/>
              <w:rPr>
                <w:rFonts w:ascii="宋体" w:hAnsi="宋体" w:cs="宋体"/>
                <w:b/>
                <w:bCs/>
                <w:color w:val="auto"/>
                <w:szCs w:val="21"/>
                <w:highlight w:val="none"/>
              </w:rPr>
            </w:pPr>
            <w:r>
              <w:rPr>
                <w:rFonts w:hint="eastAsia" w:ascii="宋体" w:hAnsi="宋体" w:cs="宋体"/>
                <w:b/>
                <w:bCs/>
                <w:color w:val="auto"/>
                <w:szCs w:val="21"/>
                <w:highlight w:val="none"/>
              </w:rPr>
              <w:t>条款名称</w:t>
            </w:r>
          </w:p>
        </w:tc>
        <w:tc>
          <w:tcPr>
            <w:tcW w:w="4678" w:type="dxa"/>
            <w:tcBorders>
              <w:tl2br w:val="nil"/>
              <w:tr2bl w:val="nil"/>
            </w:tcBorders>
            <w:vAlign w:val="center"/>
          </w:tcPr>
          <w:p w14:paraId="37FA63A4">
            <w:pPr>
              <w:jc w:val="center"/>
              <w:rPr>
                <w:rFonts w:ascii="宋体" w:hAnsi="宋体" w:cs="宋体"/>
                <w:b/>
                <w:bCs/>
                <w:color w:val="auto"/>
                <w:szCs w:val="21"/>
                <w:highlight w:val="none"/>
              </w:rPr>
            </w:pPr>
            <w:r>
              <w:rPr>
                <w:rFonts w:hint="eastAsia" w:ascii="宋体" w:hAnsi="宋体" w:cs="宋体"/>
                <w:b/>
                <w:bCs/>
                <w:color w:val="auto"/>
                <w:szCs w:val="21"/>
                <w:highlight w:val="none"/>
              </w:rPr>
              <w:t>编列内容规定</w:t>
            </w:r>
          </w:p>
        </w:tc>
      </w:tr>
      <w:tr w14:paraId="47D062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1" w:type="dxa"/>
            <w:gridSpan w:val="3"/>
            <w:tcBorders>
              <w:tl2br w:val="nil"/>
              <w:tr2bl w:val="nil"/>
            </w:tcBorders>
            <w:vAlign w:val="center"/>
          </w:tcPr>
          <w:p w14:paraId="1CD7192A">
            <w:pPr>
              <w:rPr>
                <w:rFonts w:ascii="宋体" w:hAnsi="宋体" w:cs="宋体"/>
                <w:color w:val="auto"/>
                <w:szCs w:val="21"/>
                <w:highlight w:val="none"/>
              </w:rPr>
            </w:pPr>
            <w:r>
              <w:rPr>
                <w:rFonts w:hint="eastAsia" w:ascii="宋体" w:hAnsi="宋体" w:cs="宋体"/>
                <w:b/>
                <w:bCs/>
                <w:color w:val="auto"/>
                <w:szCs w:val="21"/>
                <w:highlight w:val="none"/>
              </w:rPr>
              <w:t>一、说明</w:t>
            </w:r>
          </w:p>
        </w:tc>
      </w:tr>
      <w:tr w14:paraId="0333C7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l2br w:val="nil"/>
              <w:tr2bl w:val="nil"/>
            </w:tcBorders>
            <w:vAlign w:val="center"/>
          </w:tcPr>
          <w:p w14:paraId="71AAFDA5">
            <w:pPr>
              <w:jc w:val="center"/>
              <w:rPr>
                <w:rFonts w:ascii="宋体" w:hAnsi="宋体" w:cs="宋体"/>
                <w:color w:val="auto"/>
                <w:szCs w:val="21"/>
                <w:highlight w:val="none"/>
              </w:rPr>
            </w:pPr>
            <w:r>
              <w:rPr>
                <w:rFonts w:hint="eastAsia" w:ascii="宋体" w:hAnsi="宋体" w:cs="宋体"/>
                <w:color w:val="auto"/>
                <w:szCs w:val="21"/>
                <w:highlight w:val="none"/>
              </w:rPr>
              <w:t>第1.1款</w:t>
            </w:r>
          </w:p>
        </w:tc>
        <w:tc>
          <w:tcPr>
            <w:tcW w:w="2693" w:type="dxa"/>
            <w:tcBorders>
              <w:tl2br w:val="nil"/>
              <w:tr2bl w:val="nil"/>
            </w:tcBorders>
            <w:vAlign w:val="center"/>
          </w:tcPr>
          <w:p w14:paraId="711CA06C">
            <w:pPr>
              <w:jc w:val="left"/>
              <w:rPr>
                <w:rFonts w:ascii="宋体" w:hAnsi="宋体" w:cs="宋体"/>
                <w:color w:val="auto"/>
                <w:szCs w:val="21"/>
                <w:highlight w:val="none"/>
              </w:rPr>
            </w:pPr>
            <w:r>
              <w:rPr>
                <w:rFonts w:hint="eastAsia" w:ascii="宋体" w:hAnsi="宋体" w:cs="宋体"/>
                <w:color w:val="auto"/>
                <w:szCs w:val="21"/>
                <w:highlight w:val="none"/>
              </w:rPr>
              <w:t>采购项目</w:t>
            </w:r>
          </w:p>
        </w:tc>
        <w:tc>
          <w:tcPr>
            <w:tcW w:w="4678" w:type="dxa"/>
            <w:tcBorders>
              <w:tl2br w:val="nil"/>
              <w:tr2bl w:val="nil"/>
            </w:tcBorders>
            <w:vAlign w:val="center"/>
          </w:tcPr>
          <w:p w14:paraId="031CCAA0">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2024年-2026年度物业服务采购项目</w:t>
            </w:r>
          </w:p>
        </w:tc>
      </w:tr>
      <w:tr w14:paraId="578C97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l2br w:val="nil"/>
              <w:tr2bl w:val="nil"/>
            </w:tcBorders>
            <w:vAlign w:val="center"/>
          </w:tcPr>
          <w:p w14:paraId="4A7BA80A">
            <w:pPr>
              <w:adjustRightInd w:val="0"/>
              <w:snapToGrid w:val="0"/>
              <w:spacing w:line="400" w:lineRule="exact"/>
              <w:jc w:val="center"/>
              <w:rPr>
                <w:rFonts w:ascii="宋体" w:hAnsi="宋体" w:cs="宋体"/>
                <w:color w:val="auto"/>
                <w:szCs w:val="21"/>
                <w:highlight w:val="none"/>
              </w:rPr>
            </w:pPr>
            <w:r>
              <w:rPr>
                <w:rFonts w:hint="eastAsia" w:ascii="宋体" w:hAnsi="宋体"/>
                <w:color w:val="auto"/>
                <w:szCs w:val="21"/>
                <w:highlight w:val="none"/>
              </w:rPr>
              <w:t>第1.2款</w:t>
            </w:r>
          </w:p>
        </w:tc>
        <w:tc>
          <w:tcPr>
            <w:tcW w:w="2693" w:type="dxa"/>
            <w:tcBorders>
              <w:tl2br w:val="nil"/>
              <w:tr2bl w:val="nil"/>
            </w:tcBorders>
            <w:vAlign w:val="center"/>
          </w:tcPr>
          <w:p w14:paraId="355A9348">
            <w:pPr>
              <w:adjustRightInd w:val="0"/>
              <w:snapToGrid w:val="0"/>
              <w:spacing w:line="400" w:lineRule="exact"/>
              <w:rPr>
                <w:rFonts w:ascii="宋体" w:hAnsi="宋体" w:cs="宋体"/>
                <w:color w:val="auto"/>
                <w:szCs w:val="21"/>
                <w:highlight w:val="none"/>
              </w:rPr>
            </w:pPr>
            <w:r>
              <w:rPr>
                <w:rFonts w:hint="eastAsia" w:ascii="宋体" w:hAnsi="宋体"/>
                <w:color w:val="auto"/>
                <w:szCs w:val="21"/>
                <w:highlight w:val="none"/>
              </w:rPr>
              <w:t>是否预留采购份额</w:t>
            </w:r>
          </w:p>
        </w:tc>
        <w:tc>
          <w:tcPr>
            <w:tcW w:w="4678" w:type="dxa"/>
            <w:tcBorders>
              <w:tl2br w:val="nil"/>
              <w:tr2bl w:val="nil"/>
            </w:tcBorders>
            <w:vAlign w:val="center"/>
          </w:tcPr>
          <w:p w14:paraId="6FB40FF1">
            <w:pPr>
              <w:adjustRightInd w:val="0"/>
              <w:snapToGrid w:val="0"/>
              <w:spacing w:line="400" w:lineRule="exact"/>
              <w:rPr>
                <w:color w:val="auto"/>
                <w:highlight w:val="none"/>
                <w:u w:val="single"/>
              </w:rPr>
            </w:pPr>
            <w:r>
              <w:rPr>
                <w:rFonts w:hint="eastAsia" w:ascii="宋体" w:hAnsi="宋体" w:cs="宋体"/>
                <w:color w:val="auto"/>
                <w:szCs w:val="21"/>
                <w:highlight w:val="none"/>
              </w:rPr>
              <w:t>■</w:t>
            </w:r>
            <w:r>
              <w:rPr>
                <w:rFonts w:hint="eastAsia"/>
                <w:color w:val="auto"/>
                <w:highlight w:val="none"/>
              </w:rPr>
              <w:t xml:space="preserve"> 是，预留方式：</w:t>
            </w:r>
            <w:r>
              <w:rPr>
                <w:rFonts w:hint="eastAsia"/>
                <w:color w:val="auto"/>
                <w:highlight w:val="none"/>
                <w:u w:val="single"/>
              </w:rPr>
              <w:t xml:space="preserve"> 整体项目专门面向中小</w:t>
            </w:r>
            <w:r>
              <w:rPr>
                <w:rFonts w:hint="eastAsia"/>
                <w:color w:val="auto"/>
                <w:highlight w:val="none"/>
                <w:u w:val="single"/>
                <w:lang w:val="en-US" w:eastAsia="zh-CN"/>
              </w:rPr>
              <w:t>企业</w:t>
            </w:r>
            <w:r>
              <w:rPr>
                <w:rFonts w:hint="eastAsia"/>
                <w:color w:val="auto"/>
                <w:highlight w:val="none"/>
                <w:u w:val="single"/>
              </w:rPr>
              <w:t>采购。</w:t>
            </w:r>
          </w:p>
          <w:p w14:paraId="37388E27">
            <w:pPr>
              <w:pStyle w:val="141"/>
              <w:spacing w:line="400" w:lineRule="exact"/>
              <w:ind w:firstLine="0" w:firstLineChars="0"/>
              <w:rPr>
                <w:rFonts w:ascii="宋体" w:hAnsi="宋体" w:cs="宋体"/>
                <w:color w:val="auto"/>
                <w:szCs w:val="21"/>
                <w:highlight w:val="none"/>
              </w:rPr>
            </w:pPr>
            <w:r>
              <w:rPr>
                <w:rFonts w:hint="eastAsia" w:ascii="宋体" w:hAnsi="宋体"/>
                <w:iCs/>
                <w:color w:val="auto"/>
                <w:highlight w:val="none"/>
              </w:rPr>
              <w:sym w:font="Wingdings" w:char="00A8"/>
            </w:r>
            <w:r>
              <w:rPr>
                <w:rFonts w:hint="eastAsia" w:ascii="宋体" w:hAnsi="宋体"/>
                <w:iCs/>
                <w:color w:val="auto"/>
                <w:highlight w:val="none"/>
              </w:rPr>
              <w:t xml:space="preserve"> 否。</w:t>
            </w:r>
          </w:p>
        </w:tc>
      </w:tr>
      <w:tr w14:paraId="02A52C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l2br w:val="nil"/>
              <w:tr2bl w:val="nil"/>
            </w:tcBorders>
            <w:vAlign w:val="center"/>
          </w:tcPr>
          <w:p w14:paraId="6B18938A">
            <w:pPr>
              <w:jc w:val="center"/>
              <w:rPr>
                <w:rFonts w:ascii="宋体" w:hAnsi="宋体" w:cs="宋体"/>
                <w:color w:val="auto"/>
                <w:szCs w:val="21"/>
                <w:highlight w:val="none"/>
              </w:rPr>
            </w:pPr>
            <w:r>
              <w:rPr>
                <w:rFonts w:hint="eastAsia" w:ascii="宋体" w:hAnsi="宋体" w:cs="宋体"/>
                <w:color w:val="auto"/>
                <w:szCs w:val="21"/>
                <w:highlight w:val="none"/>
              </w:rPr>
              <w:t>第2.1</w:t>
            </w:r>
            <w:r>
              <w:rPr>
                <w:rFonts w:hint="eastAsia" w:ascii="宋体" w:hAnsi="宋体" w:cs="宋体"/>
                <w:color w:val="auto"/>
                <w:szCs w:val="21"/>
                <w:highlight w:val="none"/>
                <w:lang w:val="zh-CN"/>
              </w:rPr>
              <w:t>款</w:t>
            </w:r>
          </w:p>
        </w:tc>
        <w:tc>
          <w:tcPr>
            <w:tcW w:w="2693" w:type="dxa"/>
            <w:tcBorders>
              <w:tl2br w:val="nil"/>
              <w:tr2bl w:val="nil"/>
            </w:tcBorders>
          </w:tcPr>
          <w:p w14:paraId="2C813113">
            <w:pPr>
              <w:jc w:val="left"/>
              <w:rPr>
                <w:rFonts w:ascii="宋体" w:hAnsi="宋体" w:cs="宋体"/>
                <w:color w:val="auto"/>
                <w:szCs w:val="21"/>
                <w:highlight w:val="none"/>
              </w:rPr>
            </w:pPr>
            <w:r>
              <w:rPr>
                <w:rFonts w:hint="eastAsia" w:ascii="宋体" w:hAnsi="宋体" w:cs="宋体"/>
                <w:color w:val="auto"/>
                <w:szCs w:val="21"/>
                <w:highlight w:val="none"/>
              </w:rPr>
              <w:t>采购项目联系人姓名和电话</w:t>
            </w:r>
          </w:p>
        </w:tc>
        <w:tc>
          <w:tcPr>
            <w:tcW w:w="4678" w:type="dxa"/>
            <w:tcBorders>
              <w:tl2br w:val="nil"/>
              <w:tr2bl w:val="nil"/>
            </w:tcBorders>
            <w:vAlign w:val="center"/>
          </w:tcPr>
          <w:p w14:paraId="51857597">
            <w:pPr>
              <w:spacing w:line="360" w:lineRule="auto"/>
              <w:rPr>
                <w:rFonts w:ascii="宋体" w:hAnsi="宋体" w:cs="宋体"/>
                <w:color w:val="auto"/>
                <w:szCs w:val="21"/>
                <w:highlight w:val="none"/>
              </w:rPr>
            </w:pPr>
            <w:r>
              <w:rPr>
                <w:rFonts w:hint="eastAsia" w:ascii="宋体" w:hAnsi="宋体" w:cs="宋体"/>
                <w:color w:val="auto"/>
                <w:szCs w:val="21"/>
                <w:highlight w:val="none"/>
              </w:rPr>
              <w:t>采购项目联系人姓名：熊齐玉</w:t>
            </w:r>
          </w:p>
          <w:p w14:paraId="7AD1C143">
            <w:pPr>
              <w:spacing w:line="360" w:lineRule="auto"/>
              <w:rPr>
                <w:rFonts w:ascii="宋体" w:hAnsi="宋体" w:cs="宋体"/>
                <w:color w:val="auto"/>
                <w:szCs w:val="21"/>
                <w:highlight w:val="none"/>
              </w:rPr>
            </w:pPr>
            <w:r>
              <w:rPr>
                <w:rFonts w:hint="eastAsia" w:ascii="宋体" w:hAnsi="宋体" w:cs="宋体"/>
                <w:color w:val="auto"/>
                <w:szCs w:val="21"/>
                <w:highlight w:val="none"/>
              </w:rPr>
              <w:t>采购项目联系人电话：15073139239</w:t>
            </w:r>
          </w:p>
        </w:tc>
      </w:tr>
      <w:tr w14:paraId="300306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l2br w:val="nil"/>
              <w:tr2bl w:val="nil"/>
            </w:tcBorders>
            <w:vAlign w:val="center"/>
          </w:tcPr>
          <w:p w14:paraId="204F0862">
            <w:pPr>
              <w:jc w:val="center"/>
              <w:rPr>
                <w:rFonts w:ascii="宋体" w:hAnsi="宋体" w:cs="宋体"/>
                <w:color w:val="auto"/>
                <w:szCs w:val="21"/>
                <w:highlight w:val="none"/>
              </w:rPr>
            </w:pPr>
            <w:r>
              <w:rPr>
                <w:rFonts w:hint="eastAsia" w:ascii="宋体" w:hAnsi="宋体" w:cs="宋体"/>
                <w:color w:val="auto"/>
                <w:szCs w:val="21"/>
                <w:highlight w:val="none"/>
              </w:rPr>
              <w:t>第2.2</w:t>
            </w:r>
            <w:r>
              <w:rPr>
                <w:rFonts w:hint="eastAsia" w:ascii="宋体" w:hAnsi="宋体" w:cs="宋体"/>
                <w:color w:val="auto"/>
                <w:szCs w:val="21"/>
                <w:highlight w:val="none"/>
                <w:lang w:val="zh-CN"/>
              </w:rPr>
              <w:t>款</w:t>
            </w:r>
          </w:p>
        </w:tc>
        <w:tc>
          <w:tcPr>
            <w:tcW w:w="2693" w:type="dxa"/>
            <w:tcBorders>
              <w:tl2br w:val="nil"/>
              <w:tr2bl w:val="nil"/>
            </w:tcBorders>
            <w:vAlign w:val="center"/>
          </w:tcPr>
          <w:p w14:paraId="338FD99A">
            <w:pPr>
              <w:jc w:val="left"/>
              <w:rPr>
                <w:rFonts w:ascii="宋体" w:hAnsi="宋体" w:cs="宋体"/>
                <w:color w:val="auto"/>
                <w:szCs w:val="21"/>
                <w:highlight w:val="none"/>
              </w:rPr>
            </w:pPr>
            <w:r>
              <w:rPr>
                <w:rFonts w:hint="eastAsia" w:ascii="宋体" w:hAnsi="宋体" w:cs="宋体"/>
                <w:color w:val="auto"/>
                <w:szCs w:val="21"/>
                <w:highlight w:val="none"/>
              </w:rPr>
              <w:t>采购人名称、地址、电话、联系人</w:t>
            </w:r>
          </w:p>
        </w:tc>
        <w:tc>
          <w:tcPr>
            <w:tcW w:w="4678" w:type="dxa"/>
            <w:tcBorders>
              <w:tl2br w:val="nil"/>
              <w:tr2bl w:val="nil"/>
            </w:tcBorders>
            <w:vAlign w:val="center"/>
          </w:tcPr>
          <w:p w14:paraId="3AEDF94F">
            <w:pPr>
              <w:spacing w:line="360" w:lineRule="auto"/>
              <w:rPr>
                <w:rFonts w:hint="eastAsia" w:eastAsia="宋体"/>
                <w:color w:val="auto"/>
                <w:highlight w:val="none"/>
                <w:lang w:eastAsia="zh-CN"/>
              </w:rPr>
            </w:pPr>
            <w:r>
              <w:rPr>
                <w:rFonts w:hint="eastAsia"/>
                <w:color w:val="auto"/>
                <w:highlight w:val="none"/>
              </w:rPr>
              <w:t>采购人名称：</w:t>
            </w:r>
            <w:r>
              <w:rPr>
                <w:rFonts w:hint="eastAsia"/>
                <w:color w:val="auto"/>
                <w:highlight w:val="none"/>
                <w:lang w:eastAsia="zh-CN"/>
              </w:rPr>
              <w:t>湖南铁路科技职业技术学院</w:t>
            </w:r>
          </w:p>
          <w:p w14:paraId="5E7F8DA0">
            <w:pPr>
              <w:spacing w:line="360" w:lineRule="auto"/>
              <w:rPr>
                <w:color w:val="auto"/>
                <w:highlight w:val="none"/>
              </w:rPr>
            </w:pPr>
            <w:r>
              <w:rPr>
                <w:rFonts w:hint="eastAsia"/>
                <w:color w:val="auto"/>
                <w:highlight w:val="none"/>
              </w:rPr>
              <w:t>地址：</w:t>
            </w:r>
            <w:r>
              <w:rPr>
                <w:rFonts w:hint="eastAsia"/>
                <w:color w:val="auto"/>
                <w:highlight w:val="none"/>
                <w:lang w:eastAsia="zh-CN"/>
              </w:rPr>
              <w:t>湖南省株洲市云龙示范区职教大学城智慧路1</w:t>
            </w:r>
            <w:r>
              <w:rPr>
                <w:rFonts w:hint="eastAsia"/>
                <w:color w:val="auto"/>
                <w:highlight w:val="none"/>
                <w:lang w:val="en-US" w:eastAsia="zh-CN"/>
              </w:rPr>
              <w:t>23</w:t>
            </w:r>
            <w:r>
              <w:rPr>
                <w:rFonts w:hint="eastAsia"/>
                <w:color w:val="auto"/>
                <w:highlight w:val="none"/>
                <w:lang w:eastAsia="zh-CN"/>
              </w:rPr>
              <w:t xml:space="preserve">号 </w:t>
            </w:r>
            <w:r>
              <w:rPr>
                <w:rFonts w:hint="eastAsia"/>
                <w:color w:val="auto"/>
                <w:highlight w:val="none"/>
              </w:rPr>
              <w:t xml:space="preserve"> </w:t>
            </w:r>
          </w:p>
          <w:p w14:paraId="625F0034">
            <w:pPr>
              <w:spacing w:line="360" w:lineRule="auto"/>
              <w:rPr>
                <w:rFonts w:hint="eastAsia" w:eastAsia="宋体"/>
                <w:color w:val="auto"/>
                <w:highlight w:val="none"/>
                <w:lang w:eastAsia="zh-CN"/>
              </w:rPr>
            </w:pPr>
            <w:r>
              <w:rPr>
                <w:rFonts w:hint="eastAsia"/>
                <w:color w:val="auto"/>
                <w:highlight w:val="none"/>
              </w:rPr>
              <w:t>联系人：</w:t>
            </w:r>
            <w:r>
              <w:rPr>
                <w:rFonts w:hint="eastAsia"/>
                <w:color w:val="auto"/>
                <w:highlight w:val="none"/>
                <w:lang w:eastAsia="zh-CN"/>
              </w:rPr>
              <w:t xml:space="preserve">彭育松 </w:t>
            </w:r>
          </w:p>
          <w:p w14:paraId="198563F1">
            <w:pPr>
              <w:spacing w:line="360" w:lineRule="auto"/>
              <w:rPr>
                <w:color w:val="auto"/>
                <w:highlight w:val="none"/>
              </w:rPr>
            </w:pPr>
            <w:r>
              <w:rPr>
                <w:rFonts w:hint="eastAsia"/>
                <w:color w:val="auto"/>
                <w:highlight w:val="none"/>
              </w:rPr>
              <w:t xml:space="preserve">邮  编： 412000 </w:t>
            </w:r>
          </w:p>
          <w:p w14:paraId="49AD9633">
            <w:pPr>
              <w:spacing w:line="360" w:lineRule="auto"/>
              <w:rPr>
                <w:rFonts w:ascii="宋体" w:hAnsi="宋体" w:cs="宋体"/>
                <w:color w:val="auto"/>
                <w:szCs w:val="21"/>
                <w:highlight w:val="none"/>
              </w:rPr>
            </w:pPr>
            <w:r>
              <w:rPr>
                <w:rFonts w:hint="eastAsia"/>
                <w:color w:val="auto"/>
                <w:highlight w:val="none"/>
              </w:rPr>
              <w:t xml:space="preserve">电  话：0731-22885118 </w:t>
            </w:r>
          </w:p>
        </w:tc>
      </w:tr>
      <w:tr w14:paraId="600990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l2br w:val="nil"/>
              <w:tr2bl w:val="nil"/>
            </w:tcBorders>
            <w:vAlign w:val="center"/>
          </w:tcPr>
          <w:p w14:paraId="35814FD4">
            <w:pPr>
              <w:jc w:val="center"/>
              <w:rPr>
                <w:rFonts w:ascii="宋体" w:hAnsi="宋体" w:cs="宋体"/>
                <w:color w:val="auto"/>
                <w:szCs w:val="21"/>
                <w:highlight w:val="none"/>
              </w:rPr>
            </w:pPr>
            <w:r>
              <w:rPr>
                <w:rFonts w:hint="eastAsia" w:ascii="宋体" w:hAnsi="宋体" w:cs="宋体"/>
                <w:color w:val="auto"/>
                <w:szCs w:val="21"/>
                <w:highlight w:val="none"/>
              </w:rPr>
              <w:t>第2.3</w:t>
            </w:r>
            <w:r>
              <w:rPr>
                <w:rFonts w:hint="eastAsia" w:ascii="宋体" w:hAnsi="宋体" w:cs="宋体"/>
                <w:color w:val="auto"/>
                <w:szCs w:val="21"/>
                <w:highlight w:val="none"/>
                <w:lang w:val="zh-CN"/>
              </w:rPr>
              <w:t>款</w:t>
            </w:r>
          </w:p>
        </w:tc>
        <w:tc>
          <w:tcPr>
            <w:tcW w:w="2693" w:type="dxa"/>
            <w:tcBorders>
              <w:tl2br w:val="nil"/>
              <w:tr2bl w:val="nil"/>
            </w:tcBorders>
            <w:vAlign w:val="center"/>
          </w:tcPr>
          <w:p w14:paraId="47555895">
            <w:pPr>
              <w:jc w:val="left"/>
              <w:rPr>
                <w:rFonts w:ascii="宋体" w:hAnsi="宋体" w:cs="宋体"/>
                <w:color w:val="auto"/>
                <w:szCs w:val="21"/>
                <w:highlight w:val="none"/>
              </w:rPr>
            </w:pPr>
            <w:r>
              <w:rPr>
                <w:rFonts w:hint="eastAsia" w:ascii="宋体" w:hAnsi="宋体" w:cs="宋体"/>
                <w:color w:val="auto"/>
                <w:szCs w:val="21"/>
                <w:highlight w:val="none"/>
              </w:rPr>
              <w:t>采购代理机构名称、地址、电话、联系人</w:t>
            </w:r>
          </w:p>
        </w:tc>
        <w:tc>
          <w:tcPr>
            <w:tcW w:w="4678" w:type="dxa"/>
            <w:tcBorders>
              <w:tl2br w:val="nil"/>
              <w:tr2bl w:val="nil"/>
            </w:tcBorders>
            <w:vAlign w:val="center"/>
          </w:tcPr>
          <w:p w14:paraId="21C2A31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采购代理机构名称：湖南万达项目管理有限公司 </w:t>
            </w:r>
          </w:p>
          <w:p w14:paraId="588B74DB">
            <w:pPr>
              <w:spacing w:line="360" w:lineRule="auto"/>
              <w:rPr>
                <w:rFonts w:ascii="宋体" w:hAnsi="宋体" w:cs="宋体"/>
                <w:color w:val="auto"/>
                <w:szCs w:val="21"/>
                <w:highlight w:val="none"/>
              </w:rPr>
            </w:pPr>
            <w:r>
              <w:rPr>
                <w:rFonts w:hint="eastAsia" w:ascii="宋体" w:hAnsi="宋体" w:cs="宋体"/>
                <w:color w:val="auto"/>
                <w:szCs w:val="21"/>
                <w:highlight w:val="none"/>
              </w:rPr>
              <w:t>地址：湖南省株洲市天元区长江中央商务大厦A座501室</w:t>
            </w:r>
          </w:p>
          <w:p w14:paraId="51404CBF">
            <w:pPr>
              <w:spacing w:line="360" w:lineRule="auto"/>
              <w:rPr>
                <w:rFonts w:ascii="宋体" w:hAnsi="宋体" w:cs="宋体"/>
                <w:color w:val="auto"/>
                <w:szCs w:val="21"/>
                <w:highlight w:val="none"/>
              </w:rPr>
            </w:pPr>
            <w:r>
              <w:rPr>
                <w:rFonts w:hint="eastAsia" w:ascii="宋体" w:hAnsi="宋体" w:cs="宋体"/>
                <w:color w:val="auto"/>
                <w:szCs w:val="21"/>
                <w:highlight w:val="none"/>
              </w:rPr>
              <w:t>联系人：熊齐玉</w:t>
            </w:r>
            <w:r>
              <w:rPr>
                <w:rFonts w:hint="eastAsia" w:ascii="宋体" w:hAnsi="宋体" w:cs="宋体"/>
                <w:color w:val="auto"/>
                <w:highlight w:val="none"/>
              </w:rPr>
              <w:t>、</w:t>
            </w:r>
            <w:r>
              <w:rPr>
                <w:rFonts w:hint="eastAsia" w:ascii="宋体" w:hAnsi="宋体" w:cs="宋体"/>
                <w:color w:val="auto"/>
                <w:highlight w:val="none"/>
                <w:lang w:eastAsia="zh-CN"/>
              </w:rPr>
              <w:t>李萌、</w:t>
            </w:r>
            <w:r>
              <w:rPr>
                <w:rFonts w:hint="eastAsia" w:ascii="宋体" w:hAnsi="宋体" w:cs="宋体"/>
                <w:color w:val="auto"/>
                <w:highlight w:val="none"/>
              </w:rPr>
              <w:t>张志勇</w:t>
            </w:r>
          </w:p>
          <w:p w14:paraId="1858109C">
            <w:pPr>
              <w:spacing w:line="360" w:lineRule="auto"/>
              <w:rPr>
                <w:rFonts w:ascii="宋体" w:hAnsi="宋体" w:cs="宋体"/>
                <w:color w:val="auto"/>
                <w:szCs w:val="21"/>
                <w:highlight w:val="none"/>
              </w:rPr>
            </w:pPr>
            <w:r>
              <w:rPr>
                <w:rFonts w:hint="eastAsia" w:ascii="宋体" w:hAnsi="宋体" w:cs="宋体"/>
                <w:color w:val="auto"/>
                <w:szCs w:val="21"/>
                <w:highlight w:val="none"/>
              </w:rPr>
              <w:t>电话：0731-22885118</w:t>
            </w:r>
          </w:p>
        </w:tc>
      </w:tr>
      <w:tr w14:paraId="094760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l2br w:val="nil"/>
              <w:tr2bl w:val="nil"/>
            </w:tcBorders>
            <w:vAlign w:val="center"/>
          </w:tcPr>
          <w:p w14:paraId="79FFFB9D">
            <w:pPr>
              <w:jc w:val="center"/>
              <w:rPr>
                <w:rFonts w:ascii="宋体" w:hAnsi="宋体" w:cs="宋体"/>
                <w:color w:val="auto"/>
                <w:szCs w:val="21"/>
                <w:highlight w:val="none"/>
              </w:rPr>
            </w:pPr>
            <w:r>
              <w:rPr>
                <w:rFonts w:hint="eastAsia" w:ascii="宋体" w:hAnsi="宋体" w:cs="宋体"/>
                <w:color w:val="auto"/>
                <w:szCs w:val="21"/>
                <w:highlight w:val="none"/>
              </w:rPr>
              <w:t>第3.1</w:t>
            </w:r>
            <w:r>
              <w:rPr>
                <w:rFonts w:hint="eastAsia" w:ascii="宋体" w:hAnsi="宋体" w:cs="宋体"/>
                <w:color w:val="auto"/>
                <w:szCs w:val="21"/>
                <w:highlight w:val="none"/>
                <w:lang w:val="zh-CN"/>
              </w:rPr>
              <w:t>款</w:t>
            </w:r>
          </w:p>
        </w:tc>
        <w:tc>
          <w:tcPr>
            <w:tcW w:w="2693" w:type="dxa"/>
            <w:tcBorders>
              <w:tl2br w:val="nil"/>
              <w:tr2bl w:val="nil"/>
            </w:tcBorders>
            <w:vAlign w:val="center"/>
          </w:tcPr>
          <w:p w14:paraId="4E9B19C4">
            <w:pPr>
              <w:jc w:val="left"/>
              <w:rPr>
                <w:rFonts w:ascii="宋体" w:hAnsi="宋体" w:cs="宋体"/>
                <w:color w:val="auto"/>
                <w:szCs w:val="21"/>
                <w:highlight w:val="none"/>
              </w:rPr>
            </w:pPr>
            <w:r>
              <w:rPr>
                <w:rFonts w:hint="eastAsia" w:ascii="宋体" w:hAnsi="宋体" w:cs="宋体"/>
                <w:color w:val="auto"/>
                <w:szCs w:val="21"/>
                <w:highlight w:val="none"/>
              </w:rPr>
              <w:t>投标人资格条件</w:t>
            </w:r>
          </w:p>
        </w:tc>
        <w:tc>
          <w:tcPr>
            <w:tcW w:w="4678" w:type="dxa"/>
            <w:tcBorders>
              <w:tl2br w:val="nil"/>
              <w:tr2bl w:val="nil"/>
            </w:tcBorders>
            <w:vAlign w:val="center"/>
          </w:tcPr>
          <w:p w14:paraId="310EB933">
            <w:pPr>
              <w:spacing w:line="360" w:lineRule="auto"/>
              <w:rPr>
                <w:color w:val="auto"/>
                <w:highlight w:val="none"/>
              </w:rPr>
            </w:pPr>
            <w:r>
              <w:rPr>
                <w:rFonts w:hint="eastAsia"/>
                <w:color w:val="auto"/>
                <w:highlight w:val="none"/>
              </w:rPr>
              <w:t>1、投标人的基本资格条件：投标人必须是在中华人民共和国境内注册登记的法人、其他组织或者自然人，且应当符合《政府采购法》第二十二条第一款的规定，即：</w:t>
            </w:r>
          </w:p>
          <w:p w14:paraId="4D191782">
            <w:pPr>
              <w:spacing w:line="360" w:lineRule="auto"/>
              <w:rPr>
                <w:color w:val="auto"/>
                <w:highlight w:val="none"/>
              </w:rPr>
            </w:pPr>
            <w:r>
              <w:rPr>
                <w:rFonts w:hint="eastAsia"/>
                <w:color w:val="auto"/>
                <w:highlight w:val="none"/>
              </w:rPr>
              <w:t>（1）具有独立承担民事责任的能力；</w:t>
            </w:r>
          </w:p>
          <w:p w14:paraId="6D5CB656">
            <w:pPr>
              <w:spacing w:line="360" w:lineRule="auto"/>
              <w:rPr>
                <w:color w:val="auto"/>
                <w:highlight w:val="none"/>
              </w:rPr>
            </w:pPr>
            <w:r>
              <w:rPr>
                <w:rFonts w:hint="eastAsia"/>
                <w:color w:val="auto"/>
                <w:highlight w:val="none"/>
              </w:rPr>
              <w:t>（2）具有良好的商业信誉和健全的财务会计制度；</w:t>
            </w:r>
          </w:p>
          <w:p w14:paraId="752FF8DD">
            <w:pPr>
              <w:spacing w:line="360" w:lineRule="auto"/>
              <w:rPr>
                <w:color w:val="auto"/>
                <w:highlight w:val="none"/>
              </w:rPr>
            </w:pPr>
            <w:r>
              <w:rPr>
                <w:rFonts w:hint="eastAsia"/>
                <w:color w:val="auto"/>
                <w:highlight w:val="none"/>
              </w:rPr>
              <w:t>（3）具有履行合同所必需的设备和专业技术能力；</w:t>
            </w:r>
          </w:p>
          <w:p w14:paraId="5F797B1A">
            <w:pPr>
              <w:spacing w:line="360" w:lineRule="auto"/>
              <w:rPr>
                <w:color w:val="auto"/>
                <w:highlight w:val="none"/>
              </w:rPr>
            </w:pPr>
            <w:r>
              <w:rPr>
                <w:rFonts w:hint="eastAsia"/>
                <w:color w:val="auto"/>
                <w:highlight w:val="none"/>
              </w:rPr>
              <w:t>（4）有依法缴纳税收和社会保障资金的良好记录；</w:t>
            </w:r>
          </w:p>
          <w:p w14:paraId="0971DBE2">
            <w:pPr>
              <w:spacing w:line="360" w:lineRule="auto"/>
              <w:rPr>
                <w:color w:val="auto"/>
                <w:highlight w:val="none"/>
              </w:rPr>
            </w:pPr>
            <w:r>
              <w:rPr>
                <w:rFonts w:hint="eastAsia"/>
                <w:color w:val="auto"/>
                <w:highlight w:val="none"/>
              </w:rPr>
              <w:t>（5）参加政府采购活动前三年内，在经营活动中没有 重大违法记录；</w:t>
            </w:r>
          </w:p>
          <w:p w14:paraId="0F424050">
            <w:pPr>
              <w:spacing w:line="360" w:lineRule="auto"/>
              <w:rPr>
                <w:color w:val="auto"/>
                <w:highlight w:val="none"/>
              </w:rPr>
            </w:pPr>
            <w:r>
              <w:rPr>
                <w:rFonts w:hint="eastAsia"/>
                <w:color w:val="auto"/>
                <w:highlight w:val="none"/>
              </w:rPr>
              <w:t xml:space="preserve">（6）法律、行政法规规定的其他条件。 </w:t>
            </w:r>
          </w:p>
          <w:p w14:paraId="52011F51">
            <w:pPr>
              <w:spacing w:line="360" w:lineRule="auto"/>
              <w:rPr>
                <w:color w:val="auto"/>
                <w:highlight w:val="none"/>
              </w:rPr>
            </w:pPr>
            <w:r>
              <w:rPr>
                <w:rFonts w:hint="eastAsia"/>
                <w:color w:val="auto"/>
                <w:highlight w:val="none"/>
              </w:rPr>
              <w:t>2、采购项目的特定资格条件：</w:t>
            </w:r>
            <w:r>
              <w:rPr>
                <w:rFonts w:hint="eastAsia" w:ascii="宋体" w:hAnsi="宋体" w:cs="宋体"/>
                <w:color w:val="auto"/>
                <w:highlight w:val="none"/>
              </w:rPr>
              <w:t>本项目为专门面向中小企业采购，所属行业为</w:t>
            </w:r>
            <w:r>
              <w:rPr>
                <w:rFonts w:hint="eastAsia" w:ascii="宋体" w:hAnsi="宋体" w:cs="宋体"/>
                <w:b/>
                <w:bCs/>
                <w:color w:val="auto"/>
                <w:highlight w:val="none"/>
                <w:u w:val="single"/>
                <w:lang w:eastAsia="zh-CN"/>
              </w:rPr>
              <w:t>物业管理</w:t>
            </w:r>
            <w:r>
              <w:rPr>
                <w:rFonts w:hint="eastAsia" w:ascii="宋体" w:hAnsi="宋体" w:cs="宋体"/>
                <w:color w:val="auto"/>
                <w:highlight w:val="none"/>
              </w:rPr>
              <w:t>，中小微企规模认定按照《中小企业划型标准规定》（工信部联企业〔2011〕300号）执行。投</w:t>
            </w:r>
            <w:r>
              <w:rPr>
                <w:rFonts w:hint="eastAsia" w:ascii="宋体" w:hAnsi="宋体" w:eastAsia="宋体" w:cs="宋体"/>
                <w:color w:val="auto"/>
                <w:highlight w:val="none"/>
              </w:rPr>
              <w:t>标人须提供《</w:t>
            </w:r>
            <w:r>
              <w:rPr>
                <w:rFonts w:hint="eastAsia" w:ascii="宋体" w:hAnsi="宋体" w:eastAsia="宋体" w:cs="宋体"/>
                <w:color w:val="auto"/>
                <w:highlight w:val="none"/>
                <w:lang w:eastAsia="zh-CN"/>
              </w:rPr>
              <w:t>湖南省政府采购供应商资格承诺函</w:t>
            </w:r>
            <w:r>
              <w:rPr>
                <w:rFonts w:hint="eastAsia" w:ascii="宋体" w:hAnsi="宋体" w:cs="宋体"/>
                <w:color w:val="auto"/>
                <w:highlight w:val="none"/>
              </w:rPr>
              <w:t>》。</w:t>
            </w:r>
          </w:p>
        </w:tc>
      </w:tr>
      <w:tr w14:paraId="75154F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l2br w:val="nil"/>
              <w:tr2bl w:val="nil"/>
            </w:tcBorders>
            <w:vAlign w:val="center"/>
          </w:tcPr>
          <w:p w14:paraId="788561A7">
            <w:pPr>
              <w:jc w:val="center"/>
              <w:rPr>
                <w:rFonts w:ascii="宋体" w:hAnsi="宋体" w:cs="宋体"/>
                <w:color w:val="auto"/>
                <w:szCs w:val="21"/>
                <w:highlight w:val="none"/>
              </w:rPr>
            </w:pPr>
            <w:r>
              <w:rPr>
                <w:rFonts w:hint="eastAsia" w:ascii="宋体" w:hAnsi="宋体" w:cs="宋体"/>
                <w:color w:val="auto"/>
                <w:szCs w:val="21"/>
                <w:highlight w:val="none"/>
              </w:rPr>
              <w:t>第3.2</w:t>
            </w:r>
            <w:r>
              <w:rPr>
                <w:rFonts w:hint="eastAsia" w:ascii="宋体" w:hAnsi="宋体" w:cs="宋体"/>
                <w:color w:val="auto"/>
                <w:szCs w:val="21"/>
                <w:highlight w:val="none"/>
                <w:lang w:val="zh-CN"/>
              </w:rPr>
              <w:t>款</w:t>
            </w:r>
          </w:p>
        </w:tc>
        <w:tc>
          <w:tcPr>
            <w:tcW w:w="2693" w:type="dxa"/>
            <w:tcBorders>
              <w:tl2br w:val="nil"/>
              <w:tr2bl w:val="nil"/>
            </w:tcBorders>
            <w:vAlign w:val="center"/>
          </w:tcPr>
          <w:p w14:paraId="21AF821E">
            <w:pPr>
              <w:jc w:val="left"/>
              <w:rPr>
                <w:rFonts w:ascii="宋体" w:hAnsi="宋体" w:cs="宋体"/>
                <w:color w:val="auto"/>
                <w:szCs w:val="21"/>
                <w:highlight w:val="none"/>
              </w:rPr>
            </w:pPr>
            <w:r>
              <w:rPr>
                <w:rFonts w:hint="eastAsia" w:ascii="宋体" w:hAnsi="宋体" w:cs="宋体"/>
                <w:color w:val="auto"/>
                <w:szCs w:val="21"/>
                <w:highlight w:val="none"/>
              </w:rPr>
              <w:t>接受联合体形式投标</w:t>
            </w:r>
          </w:p>
        </w:tc>
        <w:tc>
          <w:tcPr>
            <w:tcW w:w="4678" w:type="dxa"/>
            <w:tcBorders>
              <w:tl2br w:val="nil"/>
              <w:tr2bl w:val="nil"/>
            </w:tcBorders>
            <w:vAlign w:val="center"/>
          </w:tcPr>
          <w:p w14:paraId="2BB7BACA">
            <w:pPr>
              <w:spacing w:line="360" w:lineRule="auto"/>
              <w:rPr>
                <w:rFonts w:ascii="宋体" w:hAnsi="宋体" w:cs="宋体"/>
                <w:color w:val="auto"/>
                <w:szCs w:val="21"/>
                <w:highlight w:val="none"/>
              </w:rPr>
            </w:pPr>
            <w:r>
              <w:rPr>
                <w:rFonts w:hint="eastAsia" w:ascii="宋体" w:hAnsi="宋体" w:cs="宋体"/>
                <w:color w:val="auto"/>
                <w:szCs w:val="21"/>
                <w:highlight w:val="none"/>
              </w:rPr>
              <w:t>□ 接受</w:t>
            </w:r>
          </w:p>
          <w:p w14:paraId="1C9BC6DD">
            <w:pPr>
              <w:spacing w:line="360" w:lineRule="auto"/>
              <w:rPr>
                <w:rFonts w:ascii="宋体" w:hAnsi="宋体" w:cs="宋体"/>
                <w:color w:val="auto"/>
                <w:szCs w:val="21"/>
                <w:highlight w:val="none"/>
              </w:rPr>
            </w:pPr>
            <w:r>
              <w:rPr>
                <w:rFonts w:hint="eastAsia" w:ascii="宋体" w:hAnsi="宋体" w:cs="宋体"/>
                <w:color w:val="auto"/>
                <w:szCs w:val="21"/>
                <w:highlight w:val="none"/>
              </w:rPr>
              <w:t>■ 不接受</w:t>
            </w:r>
          </w:p>
        </w:tc>
      </w:tr>
      <w:tr w14:paraId="05D430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l2br w:val="nil"/>
              <w:tr2bl w:val="nil"/>
            </w:tcBorders>
            <w:vAlign w:val="center"/>
          </w:tcPr>
          <w:p w14:paraId="0A124FB8">
            <w:pPr>
              <w:jc w:val="center"/>
              <w:rPr>
                <w:rFonts w:ascii="宋体" w:hAnsi="宋体" w:cs="宋体"/>
                <w:color w:val="auto"/>
                <w:szCs w:val="21"/>
                <w:highlight w:val="none"/>
              </w:rPr>
            </w:pPr>
            <w:r>
              <w:rPr>
                <w:rFonts w:hint="eastAsia" w:ascii="宋体" w:hAnsi="宋体" w:cs="宋体"/>
                <w:color w:val="auto"/>
                <w:szCs w:val="21"/>
                <w:highlight w:val="none"/>
              </w:rPr>
              <w:t>第5.1</w:t>
            </w:r>
            <w:r>
              <w:rPr>
                <w:rFonts w:hint="eastAsia" w:ascii="宋体" w:hAnsi="宋体" w:cs="宋体"/>
                <w:color w:val="auto"/>
                <w:szCs w:val="21"/>
                <w:highlight w:val="none"/>
                <w:lang w:val="zh-CN"/>
              </w:rPr>
              <w:t>款</w:t>
            </w:r>
          </w:p>
        </w:tc>
        <w:tc>
          <w:tcPr>
            <w:tcW w:w="2693" w:type="dxa"/>
            <w:tcBorders>
              <w:tl2br w:val="nil"/>
              <w:tr2bl w:val="nil"/>
            </w:tcBorders>
            <w:vAlign w:val="center"/>
          </w:tcPr>
          <w:p w14:paraId="6624FED5">
            <w:pPr>
              <w:jc w:val="left"/>
              <w:rPr>
                <w:rFonts w:ascii="宋体" w:hAnsi="宋体" w:cs="宋体"/>
                <w:color w:val="auto"/>
                <w:szCs w:val="21"/>
                <w:highlight w:val="none"/>
              </w:rPr>
            </w:pPr>
            <w:r>
              <w:rPr>
                <w:rFonts w:hint="eastAsia" w:ascii="宋体" w:hAnsi="宋体" w:cs="宋体"/>
                <w:color w:val="auto"/>
                <w:szCs w:val="21"/>
                <w:highlight w:val="none"/>
              </w:rPr>
              <w:t>招标文件提供期限</w:t>
            </w:r>
          </w:p>
        </w:tc>
        <w:tc>
          <w:tcPr>
            <w:tcW w:w="4678" w:type="dxa"/>
            <w:tcBorders>
              <w:tl2br w:val="nil"/>
              <w:tr2bl w:val="nil"/>
            </w:tcBorders>
            <w:vAlign w:val="center"/>
          </w:tcPr>
          <w:p w14:paraId="302753C6">
            <w:pPr>
              <w:spacing w:line="360" w:lineRule="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详见本项目招标文件第一章</w:t>
            </w:r>
            <w:r>
              <w:rPr>
                <w:rFonts w:hint="eastAsia" w:ascii="宋体" w:hAnsi="宋体" w:cs="宋体"/>
                <w:color w:val="auto"/>
                <w:sz w:val="21"/>
                <w:szCs w:val="21"/>
                <w:highlight w:val="none"/>
                <w:lang w:val="en-US" w:eastAsia="zh-CN"/>
              </w:rPr>
              <w:t>“投标邀请”。</w:t>
            </w:r>
          </w:p>
        </w:tc>
      </w:tr>
      <w:tr w14:paraId="7FB718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l2br w:val="nil"/>
              <w:tr2bl w:val="nil"/>
            </w:tcBorders>
            <w:vAlign w:val="center"/>
          </w:tcPr>
          <w:p w14:paraId="3B4ECA98">
            <w:pPr>
              <w:jc w:val="center"/>
              <w:rPr>
                <w:rFonts w:ascii="宋体" w:hAnsi="宋体" w:cs="宋体"/>
                <w:color w:val="auto"/>
                <w:szCs w:val="21"/>
                <w:highlight w:val="none"/>
              </w:rPr>
            </w:pPr>
            <w:r>
              <w:rPr>
                <w:rFonts w:hint="eastAsia" w:ascii="宋体" w:hAnsi="宋体" w:cs="宋体"/>
                <w:color w:val="auto"/>
                <w:szCs w:val="21"/>
                <w:highlight w:val="none"/>
              </w:rPr>
              <w:t>第5.2</w:t>
            </w:r>
            <w:r>
              <w:rPr>
                <w:rFonts w:hint="eastAsia" w:ascii="宋体" w:hAnsi="宋体" w:cs="宋体"/>
                <w:color w:val="auto"/>
                <w:szCs w:val="21"/>
                <w:highlight w:val="none"/>
                <w:lang w:val="zh-CN"/>
              </w:rPr>
              <w:t>款</w:t>
            </w:r>
          </w:p>
        </w:tc>
        <w:tc>
          <w:tcPr>
            <w:tcW w:w="2693" w:type="dxa"/>
            <w:tcBorders>
              <w:tl2br w:val="nil"/>
              <w:tr2bl w:val="nil"/>
            </w:tcBorders>
            <w:vAlign w:val="center"/>
          </w:tcPr>
          <w:p w14:paraId="1AC5B80B">
            <w:pPr>
              <w:jc w:val="left"/>
              <w:rPr>
                <w:rFonts w:ascii="宋体" w:hAnsi="宋体" w:cs="宋体"/>
                <w:color w:val="auto"/>
                <w:szCs w:val="21"/>
                <w:highlight w:val="none"/>
              </w:rPr>
            </w:pPr>
            <w:r>
              <w:rPr>
                <w:rFonts w:hint="eastAsia" w:ascii="宋体" w:hAnsi="宋体" w:cs="宋体"/>
                <w:color w:val="auto"/>
                <w:szCs w:val="21"/>
                <w:highlight w:val="none"/>
              </w:rPr>
              <w:t>组织现场考察或者召开答疑会</w:t>
            </w:r>
          </w:p>
        </w:tc>
        <w:tc>
          <w:tcPr>
            <w:tcW w:w="4678" w:type="dxa"/>
            <w:tcBorders>
              <w:tl2br w:val="nil"/>
              <w:tr2bl w:val="nil"/>
            </w:tcBorders>
            <w:vAlign w:val="center"/>
          </w:tcPr>
          <w:p w14:paraId="210532C3">
            <w:pPr>
              <w:spacing w:line="360" w:lineRule="auto"/>
              <w:rPr>
                <w:rFonts w:ascii="宋体" w:hAnsi="宋体" w:cs="宋体"/>
                <w:color w:val="auto"/>
                <w:szCs w:val="21"/>
                <w:highlight w:val="none"/>
              </w:rPr>
            </w:pPr>
            <w:r>
              <w:rPr>
                <w:rFonts w:hint="eastAsia" w:ascii="宋体" w:hAnsi="宋体" w:cs="宋体"/>
                <w:color w:val="auto"/>
                <w:szCs w:val="21"/>
                <w:highlight w:val="none"/>
              </w:rPr>
              <w:t>■ 不组织</w:t>
            </w:r>
          </w:p>
          <w:p w14:paraId="142AF711">
            <w:pPr>
              <w:spacing w:line="360" w:lineRule="auto"/>
              <w:rPr>
                <w:rFonts w:ascii="宋体" w:hAnsi="宋体" w:cs="宋体"/>
                <w:color w:val="auto"/>
                <w:szCs w:val="21"/>
                <w:highlight w:val="none"/>
              </w:rPr>
            </w:pPr>
            <w:r>
              <w:rPr>
                <w:rFonts w:hint="eastAsia" w:ascii="宋体" w:hAnsi="宋体" w:cs="宋体"/>
                <w:color w:val="auto"/>
                <w:szCs w:val="21"/>
                <w:highlight w:val="none"/>
              </w:rPr>
              <w:t>□ 组织。</w:t>
            </w:r>
          </w:p>
          <w:p w14:paraId="481C996D">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现场考察或者召开答疑会时间：</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p>
          <w:p w14:paraId="5C0E394E">
            <w:pPr>
              <w:spacing w:line="360" w:lineRule="auto"/>
              <w:rPr>
                <w:rFonts w:ascii="宋体" w:hAnsi="宋体" w:cs="宋体"/>
                <w:color w:val="auto"/>
                <w:szCs w:val="21"/>
                <w:highlight w:val="none"/>
              </w:rPr>
            </w:pPr>
            <w:r>
              <w:rPr>
                <w:rFonts w:hint="eastAsia" w:ascii="宋体" w:hAnsi="宋体" w:cs="宋体"/>
                <w:color w:val="auto"/>
                <w:szCs w:val="21"/>
                <w:highlight w:val="none"/>
              </w:rPr>
              <w:t>地点：</w:t>
            </w:r>
            <w:r>
              <w:rPr>
                <w:rFonts w:hint="eastAsia" w:ascii="宋体" w:hAnsi="宋体" w:cs="宋体"/>
                <w:color w:val="auto"/>
                <w:szCs w:val="21"/>
                <w:highlight w:val="none"/>
                <w:u w:val="single"/>
              </w:rPr>
              <w:t xml:space="preserve">                         </w:t>
            </w:r>
          </w:p>
        </w:tc>
      </w:tr>
      <w:tr w14:paraId="726243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1" w:type="dxa"/>
            <w:gridSpan w:val="3"/>
            <w:tcBorders>
              <w:tl2br w:val="nil"/>
              <w:tr2bl w:val="nil"/>
            </w:tcBorders>
            <w:vAlign w:val="center"/>
          </w:tcPr>
          <w:p w14:paraId="1D51B19D">
            <w:pPr>
              <w:rPr>
                <w:rFonts w:ascii="宋体" w:hAnsi="宋体" w:cs="宋体"/>
                <w:color w:val="auto"/>
                <w:szCs w:val="21"/>
                <w:highlight w:val="none"/>
              </w:rPr>
            </w:pPr>
            <w:r>
              <w:rPr>
                <w:rFonts w:hint="eastAsia" w:ascii="宋体" w:hAnsi="宋体" w:cs="宋体"/>
                <w:b/>
                <w:bCs/>
                <w:color w:val="auto"/>
                <w:szCs w:val="21"/>
                <w:highlight w:val="none"/>
              </w:rPr>
              <w:t>二、招标文件</w:t>
            </w:r>
          </w:p>
        </w:tc>
      </w:tr>
      <w:tr w14:paraId="27510C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l2br w:val="nil"/>
              <w:tr2bl w:val="nil"/>
            </w:tcBorders>
            <w:vAlign w:val="center"/>
          </w:tcPr>
          <w:p w14:paraId="18E5D3B7">
            <w:pPr>
              <w:jc w:val="center"/>
              <w:rPr>
                <w:rFonts w:ascii="宋体" w:hAnsi="宋体" w:cs="宋体"/>
                <w:color w:val="auto"/>
                <w:szCs w:val="21"/>
                <w:highlight w:val="none"/>
              </w:rPr>
            </w:pPr>
            <w:r>
              <w:rPr>
                <w:rFonts w:hint="eastAsia" w:ascii="宋体" w:hAnsi="宋体" w:cs="宋体"/>
                <w:color w:val="auto"/>
                <w:szCs w:val="21"/>
                <w:highlight w:val="none"/>
              </w:rPr>
              <w:t>第7.4</w:t>
            </w:r>
            <w:r>
              <w:rPr>
                <w:rFonts w:hint="eastAsia" w:ascii="宋体" w:hAnsi="宋体" w:cs="宋体"/>
                <w:color w:val="auto"/>
                <w:szCs w:val="21"/>
                <w:highlight w:val="none"/>
                <w:lang w:val="zh-CN"/>
              </w:rPr>
              <w:t>款</w:t>
            </w:r>
          </w:p>
        </w:tc>
        <w:tc>
          <w:tcPr>
            <w:tcW w:w="2693" w:type="dxa"/>
            <w:tcBorders>
              <w:tl2br w:val="nil"/>
              <w:tr2bl w:val="nil"/>
            </w:tcBorders>
            <w:vAlign w:val="center"/>
          </w:tcPr>
          <w:p w14:paraId="015C3361">
            <w:pPr>
              <w:jc w:val="left"/>
              <w:rPr>
                <w:rFonts w:ascii="宋体" w:hAnsi="宋体" w:cs="宋体"/>
                <w:color w:val="auto"/>
                <w:szCs w:val="21"/>
                <w:highlight w:val="none"/>
              </w:rPr>
            </w:pPr>
            <w:r>
              <w:rPr>
                <w:rFonts w:hint="eastAsia" w:ascii="宋体" w:hAnsi="宋体" w:cs="宋体"/>
                <w:color w:val="auto"/>
                <w:szCs w:val="21"/>
                <w:highlight w:val="none"/>
              </w:rPr>
              <w:t>非实质性偏离的范围和幅度</w:t>
            </w:r>
          </w:p>
        </w:tc>
        <w:tc>
          <w:tcPr>
            <w:tcW w:w="4678" w:type="dxa"/>
            <w:tcBorders>
              <w:tl2br w:val="nil"/>
              <w:tr2bl w:val="nil"/>
            </w:tcBorders>
            <w:vAlign w:val="center"/>
          </w:tcPr>
          <w:p w14:paraId="6FC26858">
            <w:pPr>
              <w:spacing w:line="360" w:lineRule="auto"/>
              <w:rPr>
                <w:rFonts w:ascii="宋体" w:hAnsi="宋体" w:cs="宋体"/>
                <w:color w:val="auto"/>
                <w:szCs w:val="21"/>
                <w:highlight w:val="none"/>
              </w:rPr>
            </w:pPr>
            <w:r>
              <w:rPr>
                <w:rFonts w:hint="eastAsia" w:ascii="宋体" w:hAnsi="宋体" w:cs="宋体"/>
                <w:color w:val="auto"/>
                <w:szCs w:val="21"/>
                <w:highlight w:val="none"/>
              </w:rPr>
              <w:t>一般商务和技术条款负偏离项数之和﹥</w:t>
            </w:r>
            <w:r>
              <w:rPr>
                <w:rFonts w:hint="eastAsia" w:ascii="宋体" w:hAnsi="宋体" w:cs="宋体"/>
                <w:color w:val="auto"/>
                <w:szCs w:val="21"/>
                <w:highlight w:val="none"/>
                <w:u w:val="single"/>
              </w:rPr>
              <w:t xml:space="preserve"> 5</w:t>
            </w:r>
            <w:r>
              <w:rPr>
                <w:rFonts w:hint="eastAsia" w:ascii="宋体" w:hAnsi="宋体" w:cs="宋体"/>
                <w:color w:val="auto"/>
                <w:szCs w:val="21"/>
                <w:highlight w:val="none"/>
              </w:rPr>
              <w:t>项，其</w:t>
            </w:r>
            <w:r>
              <w:rPr>
                <w:rFonts w:hint="eastAsia" w:ascii="宋体" w:hAnsi="宋体" w:cs="宋体"/>
                <w:b/>
                <w:bCs/>
                <w:color w:val="auto"/>
                <w:szCs w:val="21"/>
                <w:highlight w:val="none"/>
              </w:rPr>
              <w:t>投标无效</w:t>
            </w:r>
            <w:r>
              <w:rPr>
                <w:rFonts w:hint="eastAsia" w:ascii="宋体" w:hAnsi="宋体" w:cs="宋体"/>
                <w:color w:val="auto"/>
                <w:szCs w:val="21"/>
                <w:highlight w:val="none"/>
              </w:rPr>
              <w:t>。</w:t>
            </w:r>
          </w:p>
        </w:tc>
      </w:tr>
      <w:tr w14:paraId="139BB1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l2br w:val="nil"/>
              <w:tr2bl w:val="nil"/>
            </w:tcBorders>
            <w:vAlign w:val="center"/>
          </w:tcPr>
          <w:p w14:paraId="3971922A">
            <w:pPr>
              <w:jc w:val="center"/>
              <w:rPr>
                <w:rFonts w:ascii="宋体" w:hAnsi="宋体" w:cs="宋体"/>
                <w:color w:val="auto"/>
                <w:szCs w:val="21"/>
                <w:highlight w:val="none"/>
              </w:rPr>
            </w:pPr>
            <w:r>
              <w:rPr>
                <w:rFonts w:hint="eastAsia" w:ascii="宋体" w:hAnsi="宋体" w:cs="宋体"/>
                <w:color w:val="auto"/>
                <w:szCs w:val="21"/>
                <w:highlight w:val="none"/>
              </w:rPr>
              <w:t>第9.1</w:t>
            </w:r>
            <w:r>
              <w:rPr>
                <w:rFonts w:hint="eastAsia" w:ascii="宋体" w:hAnsi="宋体" w:cs="宋体"/>
                <w:color w:val="auto"/>
                <w:szCs w:val="21"/>
                <w:highlight w:val="none"/>
                <w:lang w:val="zh-CN"/>
              </w:rPr>
              <w:t>款</w:t>
            </w:r>
          </w:p>
        </w:tc>
        <w:tc>
          <w:tcPr>
            <w:tcW w:w="2693" w:type="dxa"/>
            <w:tcBorders>
              <w:tl2br w:val="nil"/>
              <w:tr2bl w:val="nil"/>
            </w:tcBorders>
            <w:vAlign w:val="center"/>
          </w:tcPr>
          <w:p w14:paraId="24D92687">
            <w:pPr>
              <w:jc w:val="left"/>
              <w:rPr>
                <w:rFonts w:ascii="宋体" w:hAnsi="宋体" w:cs="宋体"/>
                <w:color w:val="auto"/>
                <w:szCs w:val="21"/>
                <w:highlight w:val="none"/>
              </w:rPr>
            </w:pPr>
            <w:r>
              <w:rPr>
                <w:rFonts w:hint="eastAsia" w:ascii="宋体" w:hAnsi="宋体" w:cs="宋体"/>
                <w:color w:val="auto"/>
                <w:szCs w:val="21"/>
                <w:highlight w:val="none"/>
              </w:rPr>
              <w:t>招标公告指定媒体</w:t>
            </w:r>
          </w:p>
        </w:tc>
        <w:tc>
          <w:tcPr>
            <w:tcW w:w="4678" w:type="dxa"/>
            <w:tcBorders>
              <w:tl2br w:val="nil"/>
              <w:tr2bl w:val="nil"/>
            </w:tcBorders>
            <w:vAlign w:val="center"/>
          </w:tcPr>
          <w:p w14:paraId="0947F354">
            <w:pPr>
              <w:spacing w:line="360" w:lineRule="auto"/>
              <w:rPr>
                <w:rFonts w:ascii="宋体" w:hAnsi="宋体" w:cs="宋体"/>
                <w:color w:val="auto"/>
                <w:szCs w:val="21"/>
                <w:highlight w:val="none"/>
              </w:rPr>
            </w:pPr>
            <w:r>
              <w:rPr>
                <w:rFonts w:hint="eastAsia" w:ascii="宋体" w:hAnsi="宋体" w:cs="宋体"/>
                <w:color w:val="auto"/>
                <w:szCs w:val="21"/>
                <w:highlight w:val="none"/>
              </w:rPr>
              <w:t>中国湖南政府采购网(www.ccgp-hunan.gov.cn)、</w:t>
            </w:r>
          </w:p>
          <w:p w14:paraId="6BE7FE27">
            <w:pPr>
              <w:spacing w:line="360" w:lineRule="auto"/>
              <w:rPr>
                <w:rFonts w:ascii="宋体" w:hAnsi="宋体" w:cs="宋体"/>
                <w:color w:val="auto"/>
                <w:szCs w:val="21"/>
                <w:highlight w:val="none"/>
              </w:rPr>
            </w:pPr>
            <w:r>
              <w:rPr>
                <w:rFonts w:hint="eastAsia" w:ascii="宋体" w:hAnsi="宋体" w:cs="宋体"/>
                <w:color w:val="auto"/>
                <w:szCs w:val="21"/>
                <w:highlight w:val="none"/>
              </w:rPr>
              <w:t>株洲市公共资源交易</w:t>
            </w:r>
            <w:r>
              <w:rPr>
                <w:rFonts w:hint="eastAsia" w:ascii="宋体" w:hAnsi="宋体" w:cs="宋体"/>
                <w:color w:val="auto"/>
                <w:szCs w:val="21"/>
                <w:highlight w:val="none"/>
                <w:lang w:val="en-US" w:eastAsia="zh-CN"/>
              </w:rPr>
              <w:t>平台</w:t>
            </w:r>
            <w:r>
              <w:rPr>
                <w:rFonts w:hint="eastAsia" w:ascii="宋体" w:hAnsi="宋体" w:cs="宋体"/>
                <w:color w:val="auto"/>
                <w:szCs w:val="21"/>
                <w:highlight w:val="none"/>
              </w:rPr>
              <w:t>（</w:t>
            </w:r>
            <w:r>
              <w:rPr>
                <w:color w:val="auto"/>
                <w:highlight w:val="none"/>
              </w:rPr>
              <w:fldChar w:fldCharType="begin"/>
            </w:r>
            <w:r>
              <w:rPr>
                <w:color w:val="auto"/>
                <w:highlight w:val="none"/>
              </w:rPr>
              <w:instrText xml:space="preserve"> HYPERLINK "http://www.zzzyjy.cn/" \h </w:instrText>
            </w:r>
            <w:r>
              <w:rPr>
                <w:color w:val="auto"/>
                <w:highlight w:val="none"/>
              </w:rPr>
              <w:fldChar w:fldCharType="separate"/>
            </w:r>
            <w:r>
              <w:rPr>
                <w:rFonts w:hint="eastAsia" w:ascii="宋体" w:hAnsi="宋体" w:cs="宋体"/>
                <w:color w:val="auto"/>
                <w:szCs w:val="21"/>
                <w:highlight w:val="none"/>
              </w:rPr>
              <w:t>http://www.zzzyjy.cn</w:t>
            </w:r>
            <w:r>
              <w:rPr>
                <w:rFonts w:hint="eastAsia" w:ascii="宋体" w:hAnsi="宋体" w:cs="宋体"/>
                <w:color w:val="auto"/>
                <w:szCs w:val="21"/>
                <w:highlight w:val="none"/>
              </w:rPr>
              <w:fldChar w:fldCharType="end"/>
            </w:r>
            <w:r>
              <w:rPr>
                <w:rFonts w:hint="eastAsia" w:ascii="宋体" w:hAnsi="宋体" w:cs="宋体"/>
                <w:color w:val="auto"/>
                <w:szCs w:val="21"/>
                <w:highlight w:val="none"/>
              </w:rPr>
              <w:t>）</w:t>
            </w:r>
          </w:p>
        </w:tc>
      </w:tr>
      <w:tr w14:paraId="54B68E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1" w:type="dxa"/>
            <w:gridSpan w:val="3"/>
            <w:tcBorders>
              <w:tl2br w:val="nil"/>
              <w:tr2bl w:val="nil"/>
            </w:tcBorders>
            <w:vAlign w:val="center"/>
          </w:tcPr>
          <w:p w14:paraId="0DE0B365">
            <w:pPr>
              <w:rPr>
                <w:rFonts w:ascii="宋体" w:hAnsi="宋体" w:cs="宋体"/>
                <w:color w:val="auto"/>
                <w:szCs w:val="21"/>
                <w:highlight w:val="none"/>
              </w:rPr>
            </w:pPr>
            <w:r>
              <w:rPr>
                <w:rFonts w:hint="eastAsia" w:ascii="宋体" w:hAnsi="宋体" w:cs="宋体"/>
                <w:b/>
                <w:bCs/>
                <w:color w:val="auto"/>
                <w:szCs w:val="21"/>
                <w:highlight w:val="none"/>
              </w:rPr>
              <w:t>三、投标文件</w:t>
            </w:r>
          </w:p>
        </w:tc>
      </w:tr>
      <w:tr w14:paraId="41E361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tcBorders>
              <w:tl2br w:val="nil"/>
              <w:tr2bl w:val="nil"/>
            </w:tcBorders>
            <w:vAlign w:val="center"/>
          </w:tcPr>
          <w:p w14:paraId="0B8FE5DE">
            <w:pPr>
              <w:jc w:val="center"/>
              <w:rPr>
                <w:rFonts w:ascii="宋体" w:hAnsi="宋体" w:cs="宋体"/>
                <w:color w:val="auto"/>
                <w:szCs w:val="21"/>
                <w:highlight w:val="none"/>
              </w:rPr>
            </w:pPr>
            <w:r>
              <w:rPr>
                <w:rFonts w:hint="eastAsia" w:ascii="宋体" w:hAnsi="宋体" w:cs="宋体"/>
                <w:color w:val="auto"/>
                <w:szCs w:val="21"/>
                <w:highlight w:val="none"/>
              </w:rPr>
              <w:t>第13.2</w:t>
            </w:r>
            <w:r>
              <w:rPr>
                <w:rFonts w:hint="eastAsia" w:ascii="宋体" w:hAnsi="宋体" w:cs="宋体"/>
                <w:color w:val="auto"/>
                <w:szCs w:val="21"/>
                <w:highlight w:val="none"/>
                <w:lang w:val="zh-CN"/>
              </w:rPr>
              <w:t>款</w:t>
            </w:r>
          </w:p>
        </w:tc>
        <w:tc>
          <w:tcPr>
            <w:tcW w:w="2693" w:type="dxa"/>
            <w:tcBorders>
              <w:tl2br w:val="nil"/>
              <w:tr2bl w:val="nil"/>
            </w:tcBorders>
            <w:vAlign w:val="center"/>
          </w:tcPr>
          <w:p w14:paraId="325DAD8A">
            <w:pPr>
              <w:jc w:val="left"/>
              <w:rPr>
                <w:rFonts w:hint="eastAsia" w:ascii="宋体" w:hAnsi="宋体" w:cs="宋体"/>
                <w:color w:val="auto"/>
                <w:szCs w:val="21"/>
                <w:highlight w:val="none"/>
              </w:rPr>
            </w:pPr>
            <w:r>
              <w:rPr>
                <w:rFonts w:hint="eastAsia" w:ascii="宋体" w:hAnsi="宋体" w:cs="宋体"/>
                <w:color w:val="auto"/>
                <w:szCs w:val="21"/>
                <w:highlight w:val="none"/>
              </w:rPr>
              <w:t>采购预算</w:t>
            </w:r>
          </w:p>
        </w:tc>
        <w:tc>
          <w:tcPr>
            <w:tcW w:w="4678" w:type="dxa"/>
            <w:tcBorders>
              <w:tl2br w:val="nil"/>
              <w:tr2bl w:val="nil"/>
            </w:tcBorders>
            <w:vAlign w:val="center"/>
          </w:tcPr>
          <w:p w14:paraId="1BAE3AE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本项目采购预算为</w:t>
            </w:r>
            <w:r>
              <w:rPr>
                <w:rFonts w:hint="eastAsia" w:ascii="宋体" w:hAnsi="宋体"/>
                <w:bCs/>
                <w:color w:val="auto"/>
                <w:szCs w:val="21"/>
                <w:highlight w:val="none"/>
                <w:u w:val="none"/>
                <w:lang w:val="en-US" w:eastAsia="zh-CN"/>
              </w:rPr>
              <w:t>4390000</w:t>
            </w:r>
            <w:r>
              <w:rPr>
                <w:rFonts w:hint="eastAsia" w:ascii="宋体" w:hAnsi="宋体"/>
                <w:bCs/>
                <w:color w:val="auto"/>
                <w:szCs w:val="21"/>
                <w:highlight w:val="none"/>
                <w:u w:val="none"/>
              </w:rPr>
              <w:t>元</w:t>
            </w:r>
            <w:r>
              <w:rPr>
                <w:rFonts w:hint="eastAsia" w:ascii="宋体" w:hAnsi="宋体"/>
                <w:bCs/>
                <w:color w:val="auto"/>
                <w:szCs w:val="21"/>
                <w:highlight w:val="none"/>
                <w:u w:val="none"/>
                <w:lang w:val="en-US" w:eastAsia="zh-CN"/>
              </w:rPr>
              <w:t>/年</w:t>
            </w:r>
            <w:r>
              <w:rPr>
                <w:rFonts w:hint="eastAsia" w:ascii="宋体" w:hAnsi="宋体" w:cs="宋体"/>
                <w:color w:val="auto"/>
                <w:szCs w:val="21"/>
                <w:highlight w:val="none"/>
              </w:rPr>
              <w:t>，其中电梯</w:t>
            </w:r>
            <w:r>
              <w:rPr>
                <w:rFonts w:hint="eastAsia" w:ascii="宋体" w:hAnsi="宋体" w:cs="宋体"/>
                <w:color w:val="auto"/>
                <w:szCs w:val="21"/>
                <w:highlight w:val="none"/>
                <w:lang w:eastAsia="zh-CN"/>
              </w:rPr>
              <w:t>维保预算为</w:t>
            </w:r>
            <w:r>
              <w:rPr>
                <w:rFonts w:hint="eastAsia" w:ascii="宋体" w:hAnsi="宋体" w:cs="宋体"/>
                <w:color w:val="auto"/>
                <w:szCs w:val="21"/>
                <w:highlight w:val="none"/>
              </w:rPr>
              <w:t>36</w:t>
            </w:r>
            <w:r>
              <w:rPr>
                <w:rFonts w:hint="eastAsia" w:ascii="宋体" w:hAnsi="宋体" w:cs="宋体"/>
                <w:color w:val="auto"/>
                <w:szCs w:val="21"/>
                <w:highlight w:val="none"/>
                <w:lang w:val="en-US" w:eastAsia="zh-CN"/>
              </w:rPr>
              <w:t>000</w:t>
            </w:r>
            <w:r>
              <w:rPr>
                <w:rFonts w:hint="eastAsia" w:ascii="宋体" w:hAnsi="宋体" w:cs="宋体"/>
                <w:color w:val="auto"/>
                <w:szCs w:val="21"/>
                <w:highlight w:val="none"/>
              </w:rPr>
              <w:t>元/年；</w:t>
            </w:r>
            <w:r>
              <w:rPr>
                <w:rFonts w:hint="eastAsia" w:ascii="宋体" w:hAnsi="宋体" w:cs="宋体"/>
                <w:color w:val="auto"/>
                <w:szCs w:val="21"/>
                <w:highlight w:val="none"/>
                <w:lang w:eastAsia="zh-CN"/>
              </w:rPr>
              <w:t>中央</w:t>
            </w:r>
            <w:r>
              <w:rPr>
                <w:rFonts w:hint="eastAsia" w:ascii="宋体" w:hAnsi="宋体" w:cs="宋体"/>
                <w:color w:val="auto"/>
                <w:szCs w:val="21"/>
                <w:highlight w:val="none"/>
              </w:rPr>
              <w:t>空调</w:t>
            </w:r>
            <w:r>
              <w:rPr>
                <w:rFonts w:hint="eastAsia" w:ascii="宋体" w:hAnsi="宋体" w:cs="宋体"/>
                <w:color w:val="auto"/>
                <w:szCs w:val="21"/>
                <w:highlight w:val="none"/>
                <w:lang w:eastAsia="zh-CN"/>
              </w:rPr>
              <w:t>维保预算为</w:t>
            </w:r>
            <w:r>
              <w:rPr>
                <w:rFonts w:hint="eastAsia" w:ascii="宋体" w:hAnsi="宋体" w:cs="宋体"/>
                <w:color w:val="auto"/>
                <w:szCs w:val="21"/>
                <w:highlight w:val="none"/>
              </w:rPr>
              <w:t>119</w:t>
            </w:r>
            <w:r>
              <w:rPr>
                <w:rFonts w:hint="eastAsia" w:ascii="宋体" w:hAnsi="宋体" w:cs="宋体"/>
                <w:color w:val="auto"/>
                <w:szCs w:val="21"/>
                <w:highlight w:val="none"/>
                <w:lang w:val="en-US" w:eastAsia="zh-CN"/>
              </w:rPr>
              <w:t>000</w:t>
            </w:r>
            <w:r>
              <w:rPr>
                <w:rFonts w:hint="eastAsia" w:ascii="宋体" w:hAnsi="宋体" w:cs="宋体"/>
                <w:color w:val="auto"/>
                <w:szCs w:val="21"/>
                <w:highlight w:val="none"/>
                <w:lang w:eastAsia="zh-CN"/>
              </w:rPr>
              <w:t>元</w:t>
            </w:r>
            <w:r>
              <w:rPr>
                <w:rFonts w:hint="eastAsia" w:ascii="宋体" w:hAnsi="宋体" w:cs="宋体"/>
                <w:color w:val="auto"/>
                <w:szCs w:val="21"/>
                <w:highlight w:val="none"/>
                <w:lang w:val="en-US" w:eastAsia="zh-CN"/>
              </w:rPr>
              <w:t>/年，其他物业服务预算为4235000元/年</w:t>
            </w:r>
            <w:r>
              <w:rPr>
                <w:rFonts w:hint="eastAsia" w:ascii="宋体" w:hAnsi="宋体" w:cs="宋体"/>
                <w:color w:val="auto"/>
                <w:szCs w:val="21"/>
                <w:highlight w:val="none"/>
              </w:rPr>
              <w:t>。</w:t>
            </w:r>
          </w:p>
        </w:tc>
      </w:tr>
      <w:tr w14:paraId="36E346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Borders>
              <w:tl2br w:val="nil"/>
              <w:tr2bl w:val="nil"/>
            </w:tcBorders>
            <w:vAlign w:val="center"/>
          </w:tcPr>
          <w:p w14:paraId="6FDDD110">
            <w:pPr>
              <w:jc w:val="center"/>
              <w:rPr>
                <w:rFonts w:ascii="宋体" w:hAnsi="宋体" w:cs="宋体"/>
                <w:color w:val="auto"/>
                <w:szCs w:val="21"/>
                <w:highlight w:val="none"/>
              </w:rPr>
            </w:pPr>
          </w:p>
        </w:tc>
        <w:tc>
          <w:tcPr>
            <w:tcW w:w="2693" w:type="dxa"/>
            <w:tcBorders>
              <w:tl2br w:val="nil"/>
              <w:tr2bl w:val="nil"/>
            </w:tcBorders>
            <w:vAlign w:val="center"/>
          </w:tcPr>
          <w:p w14:paraId="1B39CDBF">
            <w:pPr>
              <w:jc w:val="left"/>
              <w:rPr>
                <w:rFonts w:ascii="宋体" w:hAnsi="宋体" w:cs="宋体"/>
                <w:color w:val="auto"/>
                <w:szCs w:val="21"/>
                <w:highlight w:val="none"/>
              </w:rPr>
            </w:pPr>
            <w:r>
              <w:rPr>
                <w:rFonts w:hint="eastAsia" w:ascii="宋体" w:hAnsi="宋体" w:cs="宋体"/>
                <w:color w:val="auto"/>
                <w:szCs w:val="21"/>
                <w:highlight w:val="none"/>
              </w:rPr>
              <w:t>最高限价</w:t>
            </w:r>
          </w:p>
        </w:tc>
        <w:tc>
          <w:tcPr>
            <w:tcW w:w="4678" w:type="dxa"/>
            <w:tcBorders>
              <w:tl2br w:val="nil"/>
              <w:tr2bl w:val="nil"/>
            </w:tcBorders>
            <w:vAlign w:val="center"/>
          </w:tcPr>
          <w:p w14:paraId="31A0A1BB">
            <w:pPr>
              <w:spacing w:line="360" w:lineRule="auto"/>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最高限价</w:t>
            </w:r>
            <w:r>
              <w:rPr>
                <w:rFonts w:hint="eastAsia" w:ascii="宋体" w:hAnsi="宋体" w:cs="宋体"/>
                <w:color w:val="auto"/>
                <w:szCs w:val="21"/>
                <w:highlight w:val="none"/>
              </w:rPr>
              <w:t>为</w:t>
            </w:r>
            <w:r>
              <w:rPr>
                <w:rFonts w:hint="eastAsia" w:ascii="宋体" w:hAnsi="宋体"/>
                <w:bCs/>
                <w:color w:val="auto"/>
                <w:szCs w:val="21"/>
                <w:highlight w:val="none"/>
                <w:u w:val="none"/>
                <w:lang w:val="en-US" w:eastAsia="zh-CN"/>
              </w:rPr>
              <w:t>4390000</w:t>
            </w:r>
            <w:r>
              <w:rPr>
                <w:rFonts w:hint="eastAsia" w:ascii="宋体" w:hAnsi="宋体"/>
                <w:bCs/>
                <w:color w:val="auto"/>
                <w:szCs w:val="21"/>
                <w:highlight w:val="none"/>
                <w:u w:val="none"/>
              </w:rPr>
              <w:t>元</w:t>
            </w:r>
            <w:r>
              <w:rPr>
                <w:rFonts w:hint="eastAsia" w:ascii="宋体" w:hAnsi="宋体"/>
                <w:bCs/>
                <w:color w:val="auto"/>
                <w:szCs w:val="21"/>
                <w:highlight w:val="none"/>
                <w:u w:val="none"/>
                <w:lang w:val="en-US" w:eastAsia="zh-CN"/>
              </w:rPr>
              <w:t>/年</w:t>
            </w:r>
            <w:r>
              <w:rPr>
                <w:rFonts w:hint="eastAsia" w:ascii="宋体" w:hAnsi="宋体" w:cs="宋体"/>
                <w:color w:val="auto"/>
                <w:szCs w:val="21"/>
                <w:highlight w:val="none"/>
              </w:rPr>
              <w:t>，其中电梯</w:t>
            </w:r>
            <w:r>
              <w:rPr>
                <w:rFonts w:hint="eastAsia" w:ascii="宋体" w:hAnsi="宋体" w:cs="宋体"/>
                <w:color w:val="auto"/>
                <w:szCs w:val="21"/>
                <w:highlight w:val="none"/>
                <w:lang w:eastAsia="zh-CN"/>
              </w:rPr>
              <w:t>维保</w:t>
            </w:r>
            <w:r>
              <w:rPr>
                <w:rFonts w:hint="eastAsia" w:ascii="宋体" w:hAnsi="宋体" w:cs="宋体"/>
                <w:color w:val="auto"/>
                <w:szCs w:val="21"/>
                <w:highlight w:val="none"/>
                <w:lang w:val="en-US" w:eastAsia="zh-CN"/>
              </w:rPr>
              <w:t>最高限价</w:t>
            </w:r>
            <w:r>
              <w:rPr>
                <w:rFonts w:hint="eastAsia" w:ascii="宋体" w:hAnsi="宋体" w:cs="宋体"/>
                <w:color w:val="auto"/>
                <w:szCs w:val="21"/>
                <w:highlight w:val="none"/>
                <w:lang w:eastAsia="zh-CN"/>
              </w:rPr>
              <w:t>为</w:t>
            </w:r>
            <w:r>
              <w:rPr>
                <w:rFonts w:hint="eastAsia" w:ascii="宋体" w:hAnsi="宋体" w:cs="宋体"/>
                <w:color w:val="auto"/>
                <w:szCs w:val="21"/>
                <w:highlight w:val="none"/>
              </w:rPr>
              <w:t>36</w:t>
            </w:r>
            <w:r>
              <w:rPr>
                <w:rFonts w:hint="eastAsia" w:ascii="宋体" w:hAnsi="宋体" w:cs="宋体"/>
                <w:color w:val="auto"/>
                <w:szCs w:val="21"/>
                <w:highlight w:val="none"/>
                <w:lang w:val="en-US" w:eastAsia="zh-CN"/>
              </w:rPr>
              <w:t>000</w:t>
            </w:r>
            <w:r>
              <w:rPr>
                <w:rFonts w:hint="eastAsia" w:ascii="宋体" w:hAnsi="宋体" w:cs="宋体"/>
                <w:color w:val="auto"/>
                <w:szCs w:val="21"/>
                <w:highlight w:val="none"/>
              </w:rPr>
              <w:t>元/年；</w:t>
            </w:r>
            <w:r>
              <w:rPr>
                <w:rFonts w:hint="eastAsia" w:ascii="宋体" w:hAnsi="宋体" w:cs="宋体"/>
                <w:color w:val="auto"/>
                <w:szCs w:val="21"/>
                <w:highlight w:val="none"/>
                <w:lang w:eastAsia="zh-CN"/>
              </w:rPr>
              <w:t>中央</w:t>
            </w:r>
            <w:r>
              <w:rPr>
                <w:rFonts w:hint="eastAsia" w:ascii="宋体" w:hAnsi="宋体" w:cs="宋体"/>
                <w:color w:val="auto"/>
                <w:szCs w:val="21"/>
                <w:highlight w:val="none"/>
              </w:rPr>
              <w:t>空调</w:t>
            </w:r>
            <w:r>
              <w:rPr>
                <w:rFonts w:hint="eastAsia" w:ascii="宋体" w:hAnsi="宋体" w:cs="宋体"/>
                <w:color w:val="auto"/>
                <w:szCs w:val="21"/>
                <w:highlight w:val="none"/>
                <w:lang w:eastAsia="zh-CN"/>
              </w:rPr>
              <w:t>维保</w:t>
            </w:r>
            <w:r>
              <w:rPr>
                <w:rFonts w:hint="eastAsia" w:ascii="宋体" w:hAnsi="宋体" w:cs="宋体"/>
                <w:color w:val="auto"/>
                <w:szCs w:val="21"/>
                <w:highlight w:val="none"/>
                <w:lang w:val="en-US" w:eastAsia="zh-CN"/>
              </w:rPr>
              <w:t>最高限价</w:t>
            </w:r>
            <w:r>
              <w:rPr>
                <w:rFonts w:hint="eastAsia" w:ascii="宋体" w:hAnsi="宋体" w:cs="宋体"/>
                <w:color w:val="auto"/>
                <w:szCs w:val="21"/>
                <w:highlight w:val="none"/>
                <w:lang w:eastAsia="zh-CN"/>
              </w:rPr>
              <w:t>为</w:t>
            </w:r>
            <w:r>
              <w:rPr>
                <w:rFonts w:hint="eastAsia" w:ascii="宋体" w:hAnsi="宋体" w:cs="宋体"/>
                <w:color w:val="auto"/>
                <w:szCs w:val="21"/>
                <w:highlight w:val="none"/>
              </w:rPr>
              <w:t>119</w:t>
            </w:r>
            <w:r>
              <w:rPr>
                <w:rFonts w:hint="eastAsia" w:ascii="宋体" w:hAnsi="宋体" w:cs="宋体"/>
                <w:color w:val="auto"/>
                <w:szCs w:val="21"/>
                <w:highlight w:val="none"/>
                <w:lang w:val="en-US" w:eastAsia="zh-CN"/>
              </w:rPr>
              <w:t>000</w:t>
            </w:r>
            <w:r>
              <w:rPr>
                <w:rFonts w:hint="eastAsia" w:ascii="宋体" w:hAnsi="宋体" w:cs="宋体"/>
                <w:color w:val="auto"/>
                <w:szCs w:val="21"/>
                <w:highlight w:val="none"/>
                <w:lang w:eastAsia="zh-CN"/>
              </w:rPr>
              <w:t>元</w:t>
            </w:r>
            <w:r>
              <w:rPr>
                <w:rFonts w:hint="eastAsia" w:ascii="宋体" w:hAnsi="宋体" w:cs="宋体"/>
                <w:color w:val="auto"/>
                <w:szCs w:val="21"/>
                <w:highlight w:val="none"/>
                <w:lang w:val="en-US" w:eastAsia="zh-CN"/>
              </w:rPr>
              <w:t>/年，其他物业服务最高限价为4235000元/年</w:t>
            </w:r>
            <w:r>
              <w:rPr>
                <w:rFonts w:hint="eastAsia" w:ascii="宋体" w:hAnsi="宋体" w:cs="宋体"/>
                <w:color w:val="auto"/>
                <w:szCs w:val="21"/>
                <w:highlight w:val="none"/>
              </w:rPr>
              <w:t>。</w:t>
            </w:r>
          </w:p>
        </w:tc>
      </w:tr>
      <w:tr w14:paraId="28F1CF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l2br w:val="nil"/>
              <w:tr2bl w:val="nil"/>
            </w:tcBorders>
            <w:vAlign w:val="center"/>
          </w:tcPr>
          <w:p w14:paraId="21F3C9DA">
            <w:pPr>
              <w:jc w:val="center"/>
              <w:rPr>
                <w:rFonts w:ascii="宋体" w:hAnsi="宋体" w:cs="宋体"/>
                <w:color w:val="auto"/>
                <w:szCs w:val="21"/>
                <w:highlight w:val="none"/>
              </w:rPr>
            </w:pPr>
            <w:r>
              <w:rPr>
                <w:rFonts w:hint="eastAsia" w:ascii="宋体" w:hAnsi="宋体" w:cs="宋体"/>
                <w:color w:val="auto"/>
                <w:szCs w:val="21"/>
                <w:highlight w:val="none"/>
              </w:rPr>
              <w:t>第13.8款</w:t>
            </w:r>
          </w:p>
        </w:tc>
        <w:tc>
          <w:tcPr>
            <w:tcW w:w="2693" w:type="dxa"/>
            <w:tcBorders>
              <w:tl2br w:val="nil"/>
              <w:tr2bl w:val="nil"/>
            </w:tcBorders>
            <w:vAlign w:val="center"/>
          </w:tcPr>
          <w:p w14:paraId="02BAF466">
            <w:pPr>
              <w:jc w:val="left"/>
              <w:rPr>
                <w:rFonts w:ascii="宋体" w:hAnsi="宋体" w:cs="宋体"/>
                <w:color w:val="auto"/>
                <w:szCs w:val="21"/>
                <w:highlight w:val="none"/>
              </w:rPr>
            </w:pPr>
            <w:r>
              <w:rPr>
                <w:rFonts w:hint="eastAsia" w:ascii="宋体" w:hAnsi="宋体" w:cs="宋体"/>
                <w:color w:val="auto"/>
                <w:szCs w:val="21"/>
                <w:highlight w:val="none"/>
              </w:rPr>
              <w:t>投标报价的其他要求</w:t>
            </w:r>
          </w:p>
        </w:tc>
        <w:tc>
          <w:tcPr>
            <w:tcW w:w="4678" w:type="dxa"/>
            <w:tcBorders>
              <w:tl2br w:val="nil"/>
              <w:tr2bl w:val="nil"/>
            </w:tcBorders>
            <w:vAlign w:val="center"/>
          </w:tcPr>
          <w:p w14:paraId="62C05C20">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审现场合理的时间内提供书面说明，必要时提供相关证明材料；投标人不能证明其报价合理性的，评标委员会将其作为无效投标处理。</w:t>
            </w:r>
          </w:p>
        </w:tc>
      </w:tr>
      <w:tr w14:paraId="5A2C8E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l2br w:val="nil"/>
              <w:tr2bl w:val="nil"/>
            </w:tcBorders>
            <w:vAlign w:val="center"/>
          </w:tcPr>
          <w:p w14:paraId="1752F568">
            <w:pPr>
              <w:jc w:val="center"/>
              <w:rPr>
                <w:rFonts w:ascii="宋体" w:hAnsi="宋体" w:cs="宋体"/>
                <w:color w:val="auto"/>
                <w:szCs w:val="21"/>
                <w:highlight w:val="none"/>
              </w:rPr>
            </w:pPr>
            <w:r>
              <w:rPr>
                <w:rFonts w:hint="eastAsia" w:ascii="宋体" w:hAnsi="宋体" w:cs="宋体"/>
                <w:color w:val="auto"/>
                <w:szCs w:val="21"/>
                <w:highlight w:val="none"/>
              </w:rPr>
              <w:t>第14.1款</w:t>
            </w:r>
          </w:p>
        </w:tc>
        <w:tc>
          <w:tcPr>
            <w:tcW w:w="2693" w:type="dxa"/>
            <w:tcBorders>
              <w:tl2br w:val="nil"/>
              <w:tr2bl w:val="nil"/>
            </w:tcBorders>
            <w:vAlign w:val="center"/>
          </w:tcPr>
          <w:p w14:paraId="30B837B4">
            <w:pPr>
              <w:jc w:val="left"/>
              <w:rPr>
                <w:rFonts w:ascii="宋体" w:hAnsi="宋体" w:cs="宋体"/>
                <w:color w:val="auto"/>
                <w:szCs w:val="21"/>
                <w:highlight w:val="none"/>
              </w:rPr>
            </w:pPr>
            <w:r>
              <w:rPr>
                <w:rFonts w:hint="eastAsia" w:ascii="宋体" w:hAnsi="宋体" w:cs="宋体"/>
                <w:color w:val="auto"/>
                <w:szCs w:val="21"/>
                <w:highlight w:val="none"/>
              </w:rPr>
              <w:t>投标人应提供资格审查资料</w:t>
            </w:r>
          </w:p>
        </w:tc>
        <w:tc>
          <w:tcPr>
            <w:tcW w:w="4678" w:type="dxa"/>
            <w:tcBorders>
              <w:tl2br w:val="nil"/>
              <w:tr2bl w:val="nil"/>
            </w:tcBorders>
            <w:vAlign w:val="center"/>
          </w:tcPr>
          <w:p w14:paraId="57FC9E21">
            <w:pPr>
              <w:spacing w:line="360" w:lineRule="auto"/>
              <w:rPr>
                <w:rFonts w:ascii="宋体" w:hAnsi="宋体" w:cs="宋体"/>
                <w:color w:val="auto"/>
                <w:highlight w:val="none"/>
              </w:rPr>
            </w:pPr>
            <w:r>
              <w:rPr>
                <w:rFonts w:hint="eastAsia" w:ascii="宋体" w:hAnsi="宋体" w:eastAsia="宋体" w:cs="宋体"/>
                <w:color w:val="auto"/>
                <w:sz w:val="21"/>
                <w:szCs w:val="21"/>
                <w:highlight w:val="none"/>
                <w:lang w:val="ru-RU" w:eastAsia="zh-CN"/>
              </w:rPr>
              <w:t>详见招标文件第三章</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ru-RU" w:eastAsia="zh-CN"/>
              </w:rPr>
              <w:t>附表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ru-RU" w:eastAsia="zh-CN"/>
              </w:rPr>
              <w:t>资格审查</w:t>
            </w:r>
            <w:r>
              <w:rPr>
                <w:rFonts w:hint="eastAsia" w:ascii="宋体" w:hAnsi="宋体" w:eastAsia="宋体" w:cs="宋体"/>
                <w:color w:val="auto"/>
                <w:sz w:val="21"/>
                <w:szCs w:val="21"/>
                <w:highlight w:val="none"/>
                <w:lang w:val="en-US" w:eastAsia="zh-CN"/>
              </w:rPr>
              <w:t>表”</w:t>
            </w:r>
          </w:p>
        </w:tc>
      </w:tr>
      <w:tr w14:paraId="7E63D0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l2br w:val="nil"/>
              <w:tr2bl w:val="nil"/>
            </w:tcBorders>
            <w:vAlign w:val="center"/>
          </w:tcPr>
          <w:p w14:paraId="58F32B6D">
            <w:pPr>
              <w:jc w:val="center"/>
              <w:rPr>
                <w:rFonts w:ascii="宋体" w:hAnsi="宋体" w:cs="宋体"/>
                <w:color w:val="auto"/>
                <w:szCs w:val="21"/>
                <w:highlight w:val="none"/>
              </w:rPr>
            </w:pPr>
            <w:r>
              <w:rPr>
                <w:rFonts w:hint="eastAsia" w:ascii="宋体" w:hAnsi="宋体" w:cs="宋体"/>
                <w:color w:val="auto"/>
                <w:szCs w:val="21"/>
                <w:highlight w:val="none"/>
              </w:rPr>
              <w:t>第16.1</w:t>
            </w:r>
            <w:r>
              <w:rPr>
                <w:rFonts w:hint="eastAsia" w:ascii="宋体" w:hAnsi="宋体" w:cs="宋体"/>
                <w:color w:val="auto"/>
                <w:szCs w:val="21"/>
                <w:highlight w:val="none"/>
                <w:lang w:val="zh-CN"/>
              </w:rPr>
              <w:t>款</w:t>
            </w:r>
          </w:p>
        </w:tc>
        <w:tc>
          <w:tcPr>
            <w:tcW w:w="2693" w:type="dxa"/>
            <w:tcBorders>
              <w:tl2br w:val="nil"/>
              <w:tr2bl w:val="nil"/>
            </w:tcBorders>
            <w:vAlign w:val="center"/>
          </w:tcPr>
          <w:p w14:paraId="1CD215F5">
            <w:pPr>
              <w:jc w:val="left"/>
              <w:rPr>
                <w:rFonts w:ascii="宋体" w:hAnsi="宋体" w:cs="宋体"/>
                <w:color w:val="auto"/>
                <w:szCs w:val="21"/>
                <w:highlight w:val="none"/>
              </w:rPr>
            </w:pPr>
            <w:r>
              <w:rPr>
                <w:rFonts w:hint="eastAsia" w:ascii="宋体" w:hAnsi="宋体" w:cs="宋体"/>
                <w:color w:val="auto"/>
                <w:szCs w:val="21"/>
                <w:highlight w:val="none"/>
              </w:rPr>
              <w:t>投标有效期</w:t>
            </w:r>
          </w:p>
        </w:tc>
        <w:tc>
          <w:tcPr>
            <w:tcW w:w="4678" w:type="dxa"/>
            <w:tcBorders>
              <w:tl2br w:val="nil"/>
              <w:tr2bl w:val="nil"/>
            </w:tcBorders>
            <w:vAlign w:val="center"/>
          </w:tcPr>
          <w:p w14:paraId="0FB79762">
            <w:pPr>
              <w:spacing w:line="360" w:lineRule="auto"/>
              <w:rPr>
                <w:rFonts w:ascii="宋体" w:hAnsi="宋体" w:cs="宋体"/>
                <w:color w:val="auto"/>
                <w:szCs w:val="21"/>
                <w:highlight w:val="none"/>
              </w:rPr>
            </w:pPr>
            <w:r>
              <w:rPr>
                <w:rFonts w:hint="eastAsia" w:ascii="宋体" w:hAnsi="宋体" w:cs="宋体"/>
                <w:color w:val="auto"/>
                <w:szCs w:val="21"/>
                <w:highlight w:val="none"/>
              </w:rPr>
              <w:t>90日历天</w:t>
            </w:r>
          </w:p>
        </w:tc>
      </w:tr>
      <w:tr w14:paraId="0F44A0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l2br w:val="nil"/>
              <w:tr2bl w:val="nil"/>
            </w:tcBorders>
            <w:vAlign w:val="center"/>
          </w:tcPr>
          <w:p w14:paraId="131E4130">
            <w:pPr>
              <w:jc w:val="center"/>
              <w:rPr>
                <w:rFonts w:ascii="宋体" w:hAnsi="宋体" w:cs="宋体"/>
                <w:color w:val="auto"/>
                <w:szCs w:val="21"/>
                <w:highlight w:val="none"/>
              </w:rPr>
            </w:pPr>
            <w:r>
              <w:rPr>
                <w:rFonts w:hint="eastAsia" w:ascii="宋体" w:hAnsi="宋体" w:cs="宋体"/>
                <w:color w:val="auto"/>
                <w:szCs w:val="21"/>
                <w:highlight w:val="none"/>
              </w:rPr>
              <w:t>第17.1</w:t>
            </w:r>
            <w:r>
              <w:rPr>
                <w:rFonts w:hint="eastAsia" w:ascii="宋体" w:hAnsi="宋体" w:cs="宋体"/>
                <w:color w:val="auto"/>
                <w:szCs w:val="21"/>
                <w:highlight w:val="none"/>
                <w:lang w:val="zh-CN"/>
              </w:rPr>
              <w:t>款</w:t>
            </w:r>
          </w:p>
        </w:tc>
        <w:tc>
          <w:tcPr>
            <w:tcW w:w="2693" w:type="dxa"/>
            <w:tcBorders>
              <w:tl2br w:val="nil"/>
              <w:tr2bl w:val="nil"/>
            </w:tcBorders>
            <w:vAlign w:val="center"/>
          </w:tcPr>
          <w:p w14:paraId="73AF0520">
            <w:pPr>
              <w:jc w:val="left"/>
              <w:rPr>
                <w:rFonts w:ascii="宋体" w:hAnsi="宋体" w:cs="宋体"/>
                <w:color w:val="auto"/>
                <w:szCs w:val="21"/>
                <w:highlight w:val="none"/>
              </w:rPr>
            </w:pPr>
            <w:r>
              <w:rPr>
                <w:rFonts w:hint="eastAsia" w:ascii="宋体" w:hAnsi="宋体" w:cs="宋体"/>
                <w:color w:val="auto"/>
                <w:szCs w:val="21"/>
                <w:highlight w:val="none"/>
              </w:rPr>
              <w:t>投标保证金</w:t>
            </w:r>
          </w:p>
        </w:tc>
        <w:tc>
          <w:tcPr>
            <w:tcW w:w="4678" w:type="dxa"/>
            <w:tcBorders>
              <w:tl2br w:val="nil"/>
              <w:tr2bl w:val="nil"/>
            </w:tcBorders>
            <w:vAlign w:val="center"/>
          </w:tcPr>
          <w:p w14:paraId="57DD0F22">
            <w:pPr>
              <w:spacing w:line="360" w:lineRule="auto"/>
              <w:rPr>
                <w:color w:val="auto"/>
                <w:highlight w:val="none"/>
              </w:rPr>
            </w:pPr>
            <w:r>
              <w:rPr>
                <w:rFonts w:hint="eastAsia" w:ascii="宋体" w:hAnsi="宋体" w:cs="宋体"/>
                <w:color w:val="auto"/>
                <w:szCs w:val="21"/>
                <w:highlight w:val="none"/>
                <w:lang w:eastAsia="zh-CN"/>
              </w:rPr>
              <w:t>□</w:t>
            </w:r>
            <w:r>
              <w:rPr>
                <w:rFonts w:hint="eastAsia"/>
                <w:color w:val="auto"/>
                <w:highlight w:val="none"/>
              </w:rPr>
              <w:t>不要求提供</w:t>
            </w:r>
          </w:p>
          <w:p w14:paraId="19C48A1E">
            <w:pPr>
              <w:spacing w:line="360" w:lineRule="auto"/>
              <w:rPr>
                <w:color w:val="auto"/>
                <w:highlight w:val="none"/>
              </w:rPr>
            </w:pPr>
            <w:r>
              <w:rPr>
                <w:rFonts w:hint="eastAsia" w:ascii="宋体" w:hAnsi="宋体" w:cs="宋体"/>
                <w:color w:val="auto"/>
                <w:szCs w:val="21"/>
                <w:highlight w:val="none"/>
              </w:rPr>
              <w:t>■</w:t>
            </w:r>
            <w:r>
              <w:rPr>
                <w:rFonts w:hint="eastAsia"/>
                <w:color w:val="auto"/>
                <w:highlight w:val="none"/>
              </w:rPr>
              <w:t>要求提供：人民币</w:t>
            </w:r>
            <w:r>
              <w:rPr>
                <w:rFonts w:hint="eastAsia"/>
                <w:b/>
                <w:bCs/>
                <w:color w:val="auto"/>
                <w:highlight w:val="none"/>
                <w:u w:val="single"/>
                <w:lang w:eastAsia="zh-CN"/>
              </w:rPr>
              <w:t>捌万</w:t>
            </w:r>
            <w:r>
              <w:rPr>
                <w:rFonts w:hint="eastAsia"/>
                <w:color w:val="auto"/>
                <w:highlight w:val="none"/>
              </w:rPr>
              <w:t>元整（￥</w:t>
            </w:r>
            <w:r>
              <w:rPr>
                <w:rFonts w:hint="eastAsia"/>
                <w:color w:val="auto"/>
                <w:highlight w:val="none"/>
                <w:u w:val="single"/>
                <w:lang w:val="en-US" w:eastAsia="zh-CN"/>
              </w:rPr>
              <w:t>80000</w:t>
            </w:r>
            <w:r>
              <w:rPr>
                <w:rFonts w:hint="eastAsia"/>
                <w:color w:val="auto"/>
                <w:highlight w:val="none"/>
              </w:rPr>
              <w:t>元）。</w:t>
            </w:r>
          </w:p>
          <w:p w14:paraId="779A3EB3">
            <w:pPr>
              <w:spacing w:line="360" w:lineRule="auto"/>
              <w:rPr>
                <w:color w:val="auto"/>
                <w:highlight w:val="none"/>
              </w:rPr>
            </w:pPr>
            <w:r>
              <w:rPr>
                <w:rFonts w:hint="eastAsia"/>
                <w:color w:val="auto"/>
                <w:highlight w:val="none"/>
              </w:rPr>
              <w:t>递交方式：</w:t>
            </w:r>
            <w:r>
              <w:rPr>
                <w:rFonts w:hint="eastAsia" w:ascii="宋体" w:hAnsi="宋体" w:cs="宋体"/>
                <w:color w:val="auto"/>
                <w:szCs w:val="21"/>
                <w:highlight w:val="none"/>
                <w:lang w:eastAsia="zh-CN"/>
              </w:rPr>
              <w:t>☑</w:t>
            </w:r>
            <w:r>
              <w:rPr>
                <w:rFonts w:hint="eastAsia"/>
                <w:color w:val="auto"/>
                <w:highlight w:val="none"/>
              </w:rPr>
              <w:t>电子保函；</w:t>
            </w:r>
            <w:r>
              <w:rPr>
                <w:rFonts w:hint="eastAsia" w:ascii="宋体" w:hAnsi="宋体" w:cs="宋体"/>
                <w:color w:val="auto"/>
                <w:szCs w:val="21"/>
                <w:highlight w:val="none"/>
                <w:lang w:eastAsia="zh-CN"/>
              </w:rPr>
              <w:t>☑</w:t>
            </w:r>
            <w:r>
              <w:rPr>
                <w:rFonts w:hint="eastAsia"/>
                <w:color w:val="auto"/>
                <w:highlight w:val="none"/>
              </w:rPr>
              <w:t>转账；□其他；</w:t>
            </w:r>
          </w:p>
          <w:p w14:paraId="198C9CB0">
            <w:pPr>
              <w:spacing w:line="360" w:lineRule="auto"/>
              <w:rPr>
                <w:color w:val="auto"/>
                <w:highlight w:val="none"/>
              </w:rPr>
            </w:pPr>
            <w:r>
              <w:rPr>
                <w:rFonts w:hint="eastAsia"/>
                <w:color w:val="auto"/>
                <w:highlight w:val="none"/>
              </w:rPr>
              <w:t>1.1转账方式：</w:t>
            </w:r>
          </w:p>
          <w:p w14:paraId="5B6F0E90">
            <w:pPr>
              <w:spacing w:line="360" w:lineRule="auto"/>
              <w:rPr>
                <w:color w:val="auto"/>
                <w:highlight w:val="none"/>
              </w:rPr>
            </w:pPr>
            <w:r>
              <w:rPr>
                <w:rFonts w:hint="eastAsia"/>
                <w:color w:val="auto"/>
                <w:highlight w:val="none"/>
              </w:rPr>
              <w:t>账户名称：株洲市公共资源交易中心交易保证金专户</w:t>
            </w:r>
          </w:p>
          <w:p w14:paraId="59596E38">
            <w:pPr>
              <w:spacing w:line="360" w:lineRule="auto"/>
              <w:rPr>
                <w:color w:val="auto"/>
                <w:highlight w:val="none"/>
              </w:rPr>
            </w:pPr>
            <w:r>
              <w:rPr>
                <w:rFonts w:hint="eastAsia"/>
                <w:color w:val="auto"/>
                <w:highlight w:val="none"/>
              </w:rPr>
              <w:t>开户银行：中国建设银行股份有限公司株洲湘银支行</w:t>
            </w:r>
          </w:p>
          <w:p w14:paraId="69CFC272">
            <w:pPr>
              <w:spacing w:line="360" w:lineRule="auto"/>
              <w:rPr>
                <w:color w:val="auto"/>
                <w:highlight w:val="none"/>
              </w:rPr>
            </w:pPr>
            <w:r>
              <w:rPr>
                <w:rFonts w:hint="eastAsia"/>
                <w:color w:val="auto"/>
                <w:highlight w:val="none"/>
              </w:rPr>
              <w:t>银行账号：4300 1500 5620 5966 6666-11600</w:t>
            </w:r>
          </w:p>
          <w:p w14:paraId="3F2E5F05">
            <w:pPr>
              <w:spacing w:line="360" w:lineRule="auto"/>
              <w:rPr>
                <w:color w:val="auto"/>
                <w:highlight w:val="none"/>
              </w:rPr>
            </w:pPr>
            <w:r>
              <w:rPr>
                <w:rFonts w:hint="eastAsia"/>
                <w:color w:val="auto"/>
                <w:highlight w:val="none"/>
              </w:rPr>
              <w:t>该账号仅为此项目的保证金托管账户，请勿与其他项目的账号混淆，发生串户则视为无效保证金。</w:t>
            </w:r>
          </w:p>
          <w:p w14:paraId="5EE1DFAC">
            <w:pPr>
              <w:spacing w:line="360" w:lineRule="auto"/>
              <w:rPr>
                <w:color w:val="auto"/>
                <w:highlight w:val="none"/>
              </w:rPr>
            </w:pPr>
            <w:r>
              <w:rPr>
                <w:rFonts w:hint="eastAsia"/>
                <w:color w:val="auto"/>
                <w:highlight w:val="none"/>
              </w:rPr>
              <w:t>（1）在转账票据摘要处须注明：“（项目名称）投标保证金”。（如“项目名称”字符过多，转账票据摘要处填写不下的，则“取‘项目名称’前面字符”填入。）</w:t>
            </w:r>
          </w:p>
          <w:p w14:paraId="7A12BA05">
            <w:pPr>
              <w:spacing w:line="360" w:lineRule="auto"/>
              <w:rPr>
                <w:color w:val="auto"/>
                <w:highlight w:val="none"/>
              </w:rPr>
            </w:pPr>
            <w:r>
              <w:rPr>
                <w:rFonts w:hint="eastAsia"/>
                <w:color w:val="auto"/>
                <w:highlight w:val="none"/>
              </w:rPr>
              <w:t>（2）投标保证金到账截止时间为投标截止时间。（为确保投标保证金按时到账，请投标人于开标日前一个工作日下午3：00 前提交，并注意交纳保证金的银行账号中含有“-”号。）</w:t>
            </w:r>
          </w:p>
          <w:p w14:paraId="29344494">
            <w:pPr>
              <w:spacing w:line="360" w:lineRule="auto"/>
              <w:rPr>
                <w:color w:val="auto"/>
                <w:highlight w:val="none"/>
              </w:rPr>
            </w:pPr>
            <w:r>
              <w:rPr>
                <w:color w:val="auto"/>
                <w:highlight w:val="none"/>
              </w:rPr>
              <w:t xml:space="preserve">1.2 </w:t>
            </w:r>
            <w:r>
              <w:rPr>
                <w:rFonts w:hint="eastAsia"/>
                <w:color w:val="auto"/>
                <w:highlight w:val="none"/>
              </w:rPr>
              <w:t>电子保函：包括银行电子保函、电子担保保函、投标保证保险。电子保函可通过株洲市公共资源交易中心官网首页 进 入 “ 电 子 保 函 ” 模 块 进 行 申 请 ， 也 可 以 登 录</w:t>
            </w:r>
            <w:r>
              <w:rPr>
                <w:color w:val="auto"/>
                <w:highlight w:val="none"/>
              </w:rPr>
              <w:t xml:space="preserve">http://hxbh.hnhxzx.cn:20080 </w:t>
            </w:r>
            <w:r>
              <w:rPr>
                <w:rFonts w:hint="eastAsia"/>
                <w:color w:val="auto"/>
                <w:highlight w:val="none"/>
              </w:rPr>
              <w:t>进行电子保函申请。具体操作请登录株洲市公共资源交易中心门户网站—操作指南— 《株洲市电子保函服务平台政府采购投标人操作手册》了解。</w:t>
            </w:r>
          </w:p>
          <w:p w14:paraId="283EF3AC">
            <w:pPr>
              <w:spacing w:line="360" w:lineRule="auto"/>
              <w:rPr>
                <w:rFonts w:ascii="宋体" w:hAnsi="宋体" w:cs="宋体"/>
                <w:color w:val="auto"/>
                <w:szCs w:val="21"/>
                <w:highlight w:val="none"/>
              </w:rPr>
            </w:pPr>
            <w:r>
              <w:rPr>
                <w:rFonts w:hint="eastAsia"/>
                <w:color w:val="auto"/>
                <w:highlight w:val="none"/>
              </w:rPr>
              <w:t>注：投标保证金金额如与招标文件第一章投标邀请第9条投标保证金计算金额不一致的，以本条金额为准。</w:t>
            </w:r>
          </w:p>
        </w:tc>
      </w:tr>
      <w:tr w14:paraId="31D8FE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0" w:type="dxa"/>
            <w:tcBorders>
              <w:tl2br w:val="nil"/>
              <w:tr2bl w:val="nil"/>
            </w:tcBorders>
            <w:vAlign w:val="center"/>
          </w:tcPr>
          <w:p w14:paraId="1B8263DB">
            <w:pPr>
              <w:jc w:val="center"/>
              <w:rPr>
                <w:rFonts w:ascii="宋体" w:hAnsi="宋体" w:cs="宋体"/>
                <w:color w:val="auto"/>
                <w:szCs w:val="21"/>
                <w:highlight w:val="none"/>
              </w:rPr>
            </w:pPr>
            <w:r>
              <w:rPr>
                <w:rFonts w:hint="eastAsia" w:ascii="宋体" w:hAnsi="宋体" w:cs="宋体"/>
                <w:color w:val="auto"/>
                <w:szCs w:val="21"/>
                <w:highlight w:val="none"/>
              </w:rPr>
              <w:t>第18.1</w:t>
            </w:r>
            <w:r>
              <w:rPr>
                <w:rFonts w:hint="eastAsia" w:ascii="宋体" w:hAnsi="宋体" w:cs="宋体"/>
                <w:color w:val="auto"/>
                <w:szCs w:val="21"/>
                <w:highlight w:val="none"/>
                <w:lang w:val="zh-CN"/>
              </w:rPr>
              <w:t>款</w:t>
            </w:r>
          </w:p>
        </w:tc>
        <w:tc>
          <w:tcPr>
            <w:tcW w:w="2693" w:type="dxa"/>
            <w:tcBorders>
              <w:tl2br w:val="nil"/>
              <w:tr2bl w:val="nil"/>
            </w:tcBorders>
            <w:vAlign w:val="center"/>
          </w:tcPr>
          <w:p w14:paraId="5E3CA519">
            <w:pPr>
              <w:jc w:val="left"/>
              <w:rPr>
                <w:rFonts w:ascii="宋体" w:hAnsi="宋体" w:cs="宋体"/>
                <w:color w:val="auto"/>
                <w:szCs w:val="21"/>
                <w:highlight w:val="none"/>
              </w:rPr>
            </w:pPr>
            <w:r>
              <w:rPr>
                <w:rFonts w:hint="eastAsia" w:ascii="宋体" w:hAnsi="宋体" w:cs="宋体"/>
                <w:color w:val="auto"/>
                <w:szCs w:val="21"/>
                <w:highlight w:val="none"/>
              </w:rPr>
              <w:t>分包</w:t>
            </w:r>
          </w:p>
        </w:tc>
        <w:tc>
          <w:tcPr>
            <w:tcW w:w="4678" w:type="dxa"/>
            <w:tcBorders>
              <w:tl2br w:val="nil"/>
              <w:tr2bl w:val="nil"/>
            </w:tcBorders>
            <w:vAlign w:val="center"/>
          </w:tcPr>
          <w:p w14:paraId="2B52917B">
            <w:pPr>
              <w:spacing w:line="360" w:lineRule="auto"/>
              <w:rPr>
                <w:rFonts w:ascii="宋体" w:hAnsi="宋体" w:cs="宋体"/>
                <w:color w:val="auto"/>
                <w:szCs w:val="21"/>
                <w:highlight w:val="none"/>
              </w:rPr>
            </w:pPr>
            <w:r>
              <w:rPr>
                <w:rFonts w:hint="eastAsia" w:ascii="宋体" w:hAnsi="宋体" w:cs="宋体"/>
                <w:color w:val="auto"/>
                <w:szCs w:val="21"/>
                <w:highlight w:val="none"/>
              </w:rPr>
              <w:t>□ 不允许</w:t>
            </w:r>
          </w:p>
          <w:p w14:paraId="3CA60B7C">
            <w:pPr>
              <w:spacing w:line="360" w:lineRule="auto"/>
              <w:rPr>
                <w:rFonts w:ascii="宋体" w:hAnsi="宋体" w:cs="宋体"/>
                <w:color w:val="auto"/>
                <w:szCs w:val="21"/>
                <w:highlight w:val="none"/>
              </w:rPr>
            </w:pPr>
            <w:r>
              <w:rPr>
                <w:rFonts w:hint="eastAsia" w:ascii="宋体" w:hAnsi="宋体" w:cs="宋体"/>
                <w:color w:val="auto"/>
                <w:szCs w:val="21"/>
                <w:highlight w:val="none"/>
              </w:rPr>
              <w:t>■ 允许在中标后将中标项目的非主体、非关键性工作进行分包，但须满足下列条件：</w:t>
            </w:r>
          </w:p>
          <w:p w14:paraId="7BF96E96">
            <w:pPr>
              <w:spacing w:line="360" w:lineRule="auto"/>
              <w:rPr>
                <w:rFonts w:ascii="宋体" w:hAnsi="宋体" w:cs="宋体"/>
                <w:color w:val="auto"/>
                <w:szCs w:val="21"/>
                <w:highlight w:val="none"/>
              </w:rPr>
            </w:pPr>
            <w:r>
              <w:rPr>
                <w:rFonts w:hint="eastAsia" w:ascii="宋体" w:hAnsi="宋体" w:cs="宋体"/>
                <w:color w:val="auto"/>
                <w:szCs w:val="21"/>
                <w:highlight w:val="none"/>
              </w:rPr>
              <w:t>1、分包内容：</w:t>
            </w:r>
            <w:r>
              <w:rPr>
                <w:rFonts w:hint="eastAsia" w:ascii="宋体" w:hAnsi="宋体" w:cs="宋体"/>
                <w:color w:val="auto"/>
                <w:szCs w:val="21"/>
                <w:highlight w:val="none"/>
                <w:u w:val="single"/>
                <w:lang w:eastAsia="zh-CN"/>
              </w:rPr>
              <w:t>电梯维保、中央空调维保</w:t>
            </w:r>
            <w:r>
              <w:rPr>
                <w:rFonts w:hint="eastAsia" w:ascii="宋体" w:hAnsi="宋体" w:cs="宋体"/>
                <w:color w:val="auto"/>
                <w:szCs w:val="21"/>
                <w:highlight w:val="none"/>
                <w:u w:val="single"/>
              </w:rPr>
              <w:t>；</w:t>
            </w:r>
          </w:p>
          <w:p w14:paraId="16E16EC9">
            <w:pPr>
              <w:spacing w:line="360" w:lineRule="auto"/>
              <w:rPr>
                <w:rFonts w:ascii="宋体" w:hAnsi="宋体" w:cs="宋体"/>
                <w:color w:val="auto"/>
                <w:szCs w:val="21"/>
                <w:highlight w:val="none"/>
              </w:rPr>
            </w:pPr>
            <w:r>
              <w:rPr>
                <w:rFonts w:hint="eastAsia" w:ascii="宋体" w:hAnsi="宋体" w:cs="宋体"/>
                <w:color w:val="auto"/>
                <w:szCs w:val="21"/>
                <w:highlight w:val="none"/>
              </w:rPr>
              <w:t>2、分包金额：</w:t>
            </w:r>
            <w:r>
              <w:rPr>
                <w:rFonts w:hint="eastAsia" w:ascii="宋体" w:hAnsi="宋体" w:cs="宋体"/>
                <w:color w:val="auto"/>
                <w:szCs w:val="21"/>
                <w:highlight w:val="none"/>
                <w:u w:val="single"/>
              </w:rPr>
              <w:t xml:space="preserve"> 电梯维保不超过36000元/年；中央空调维保不超过119000元/年；具体以投标人投标报价为准。</w:t>
            </w:r>
          </w:p>
          <w:p w14:paraId="1E69CCF7">
            <w:pPr>
              <w:spacing w:line="360" w:lineRule="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3、分包单位资质要求：</w:t>
            </w:r>
            <w:r>
              <w:rPr>
                <w:rFonts w:hint="eastAsia" w:ascii="宋体" w:hAnsi="宋体" w:eastAsia="宋体" w:cs="宋体"/>
                <w:color w:val="auto"/>
                <w:szCs w:val="21"/>
                <w:highlight w:val="none"/>
                <w:u w:val="single"/>
                <w:lang w:eastAsia="zh-CN"/>
              </w:rPr>
              <w:t>电梯维保单位要求具备《中华人民共和国特种设备生产许可证》（许可项目为电梯安装（含修理））。</w:t>
            </w:r>
          </w:p>
          <w:p w14:paraId="7E9F7343">
            <w:pPr>
              <w:spacing w:line="360" w:lineRule="auto"/>
              <w:rPr>
                <w:rFonts w:hint="default"/>
                <w:color w:val="auto"/>
                <w:highlight w:val="none"/>
                <w:lang w:val="en-US"/>
              </w:rPr>
            </w:pPr>
            <w:r>
              <w:rPr>
                <w:rFonts w:hint="eastAsia" w:ascii="宋体" w:hAnsi="宋体" w:eastAsia="宋体" w:cs="宋体"/>
                <w:b/>
                <w:bCs/>
                <w:color w:val="auto"/>
                <w:szCs w:val="21"/>
                <w:highlight w:val="none"/>
                <w:u w:val="none"/>
                <w:lang w:val="en-US" w:eastAsia="zh-CN"/>
              </w:rPr>
              <w:t>4、投标人根据招标文件的规定和采购项目的实际情况，拟在中标后将电梯维保、中央空调维保服务工作进行分包的，应当在投标文件中载明分包承担主体，并提供分包承担主体营业执照复印件，其中电梯维保还应提供分包承担主体《中华人民共和国特种设备生产许可证》（许可项目为电梯安装（含修理））复印件；投标人不进行分包的，投标时须提供本单位的《中华人民共和国特种设备生产许可证》（许可项目为电梯安装（含修理））复印件；投标人未按上述要求提供证明材料的，视为无效投标。</w:t>
            </w:r>
          </w:p>
        </w:tc>
      </w:tr>
      <w:tr w14:paraId="61B79A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l2br w:val="nil"/>
              <w:tr2bl w:val="nil"/>
            </w:tcBorders>
            <w:vAlign w:val="center"/>
          </w:tcPr>
          <w:p w14:paraId="025FFBE1">
            <w:pPr>
              <w:jc w:val="center"/>
              <w:rPr>
                <w:rFonts w:ascii="宋体" w:hAnsi="宋体" w:cs="宋体"/>
                <w:color w:val="auto"/>
                <w:szCs w:val="21"/>
                <w:highlight w:val="none"/>
              </w:rPr>
            </w:pPr>
            <w:r>
              <w:rPr>
                <w:rFonts w:hint="eastAsia" w:ascii="宋体" w:hAnsi="宋体" w:cs="宋体"/>
                <w:color w:val="auto"/>
                <w:szCs w:val="21"/>
                <w:highlight w:val="none"/>
              </w:rPr>
              <w:t>第19.1款</w:t>
            </w:r>
          </w:p>
        </w:tc>
        <w:tc>
          <w:tcPr>
            <w:tcW w:w="2693" w:type="dxa"/>
            <w:tcBorders>
              <w:tl2br w:val="nil"/>
              <w:tr2bl w:val="nil"/>
            </w:tcBorders>
            <w:vAlign w:val="center"/>
          </w:tcPr>
          <w:p w14:paraId="63DE64D0">
            <w:pPr>
              <w:jc w:val="left"/>
              <w:rPr>
                <w:rFonts w:ascii="宋体" w:hAnsi="宋体" w:cs="宋体"/>
                <w:color w:val="auto"/>
                <w:szCs w:val="21"/>
                <w:highlight w:val="none"/>
              </w:rPr>
            </w:pPr>
            <w:r>
              <w:rPr>
                <w:rFonts w:hint="eastAsia" w:ascii="宋体" w:hAnsi="宋体" w:cs="宋体"/>
                <w:color w:val="auto"/>
                <w:szCs w:val="21"/>
                <w:highlight w:val="none"/>
              </w:rPr>
              <w:t>投标文件份数</w:t>
            </w:r>
          </w:p>
        </w:tc>
        <w:tc>
          <w:tcPr>
            <w:tcW w:w="4678" w:type="dxa"/>
            <w:tcBorders>
              <w:tl2br w:val="nil"/>
              <w:tr2bl w:val="nil"/>
            </w:tcBorders>
            <w:vAlign w:val="center"/>
          </w:tcPr>
          <w:p w14:paraId="4CEAB7C5">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电子版投标文件 1 份（系统上传）</w:t>
            </w:r>
          </w:p>
          <w:p w14:paraId="032B5FA7">
            <w:pPr>
              <w:spacing w:line="360" w:lineRule="auto"/>
              <w:rPr>
                <w:rFonts w:hint="eastAsia" w:ascii="宋体" w:hAnsi="宋体" w:eastAsia="宋体" w:cs="宋体"/>
                <w:b/>
                <w:bCs/>
                <w:color w:val="auto"/>
                <w:szCs w:val="21"/>
                <w:highlight w:val="none"/>
              </w:rPr>
            </w:pPr>
            <w:r>
              <w:rPr>
                <w:rFonts w:hint="eastAsia" w:ascii="宋体" w:hAnsi="宋体" w:eastAsia="宋体" w:cs="宋体"/>
                <w:b w:val="0"/>
                <w:bCs w:val="0"/>
                <w:color w:val="auto"/>
                <w:szCs w:val="21"/>
                <w:highlight w:val="none"/>
              </w:rPr>
              <w:t>中标人在中标后向采购代理机构提供</w:t>
            </w: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份与电子投标文件完</w:t>
            </w:r>
            <w:r>
              <w:rPr>
                <w:rFonts w:hint="eastAsia" w:ascii="宋体" w:hAnsi="宋体" w:cs="宋体"/>
                <w:b w:val="0"/>
                <w:bCs w:val="0"/>
                <w:color w:val="auto"/>
                <w:szCs w:val="21"/>
                <w:highlight w:val="none"/>
                <w:lang w:eastAsia="zh-CN"/>
              </w:rPr>
              <w:t>全</w:t>
            </w:r>
            <w:r>
              <w:rPr>
                <w:rFonts w:hint="eastAsia" w:ascii="宋体" w:hAnsi="宋体" w:eastAsia="宋体" w:cs="宋体"/>
                <w:b w:val="0"/>
                <w:bCs w:val="0"/>
                <w:color w:val="auto"/>
                <w:szCs w:val="21"/>
                <w:highlight w:val="none"/>
              </w:rPr>
              <w:t>一致的</w:t>
            </w:r>
            <w:r>
              <w:rPr>
                <w:rFonts w:hint="eastAsia" w:ascii="宋体" w:hAnsi="宋体" w:eastAsia="宋体" w:cs="宋体"/>
                <w:b w:val="0"/>
                <w:bCs w:val="0"/>
                <w:color w:val="auto"/>
                <w:szCs w:val="21"/>
                <w:highlight w:val="none"/>
                <w:lang w:val="en-US" w:eastAsia="zh-CN"/>
              </w:rPr>
              <w:t>胶装</w:t>
            </w:r>
            <w:r>
              <w:rPr>
                <w:rFonts w:hint="eastAsia" w:ascii="宋体" w:hAnsi="宋体" w:eastAsia="宋体" w:cs="宋体"/>
                <w:b w:val="0"/>
                <w:bCs w:val="0"/>
                <w:color w:val="auto"/>
                <w:szCs w:val="21"/>
                <w:highlight w:val="none"/>
              </w:rPr>
              <w:t>纸质投标文件，不分正副本。</w:t>
            </w:r>
          </w:p>
        </w:tc>
      </w:tr>
      <w:tr w14:paraId="674E8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1" w:type="dxa"/>
            <w:gridSpan w:val="3"/>
            <w:tcBorders>
              <w:tl2br w:val="nil"/>
              <w:tr2bl w:val="nil"/>
            </w:tcBorders>
            <w:vAlign w:val="center"/>
          </w:tcPr>
          <w:p w14:paraId="1F77DE53">
            <w:pPr>
              <w:rPr>
                <w:rFonts w:ascii="宋体" w:hAnsi="宋体" w:cs="宋体"/>
                <w:color w:val="auto"/>
                <w:szCs w:val="21"/>
                <w:highlight w:val="none"/>
              </w:rPr>
            </w:pPr>
            <w:r>
              <w:rPr>
                <w:rFonts w:hint="eastAsia" w:ascii="宋体" w:hAnsi="宋体" w:cs="宋体"/>
                <w:b/>
                <w:bCs/>
                <w:color w:val="auto"/>
                <w:szCs w:val="21"/>
                <w:highlight w:val="none"/>
              </w:rPr>
              <w:t>四、投标</w:t>
            </w:r>
          </w:p>
        </w:tc>
      </w:tr>
      <w:tr w14:paraId="3AB28D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l2br w:val="nil"/>
              <w:tr2bl w:val="nil"/>
            </w:tcBorders>
            <w:vAlign w:val="center"/>
          </w:tcPr>
          <w:p w14:paraId="04E4DB63">
            <w:pPr>
              <w:jc w:val="center"/>
              <w:rPr>
                <w:rFonts w:ascii="宋体" w:hAnsi="宋体" w:cs="宋体"/>
                <w:color w:val="auto"/>
                <w:szCs w:val="21"/>
                <w:highlight w:val="none"/>
              </w:rPr>
            </w:pPr>
            <w:r>
              <w:rPr>
                <w:rFonts w:hint="eastAsia" w:ascii="宋体" w:hAnsi="宋体" w:cs="宋体"/>
                <w:color w:val="auto"/>
                <w:szCs w:val="21"/>
                <w:highlight w:val="none"/>
              </w:rPr>
              <w:t>第21.1</w:t>
            </w:r>
            <w:r>
              <w:rPr>
                <w:rFonts w:hint="eastAsia" w:ascii="宋体" w:hAnsi="宋体" w:cs="宋体"/>
                <w:color w:val="auto"/>
                <w:szCs w:val="21"/>
                <w:highlight w:val="none"/>
                <w:lang w:val="zh-CN"/>
              </w:rPr>
              <w:t>款</w:t>
            </w:r>
          </w:p>
        </w:tc>
        <w:tc>
          <w:tcPr>
            <w:tcW w:w="2693" w:type="dxa"/>
            <w:tcBorders>
              <w:tl2br w:val="nil"/>
              <w:tr2bl w:val="nil"/>
            </w:tcBorders>
            <w:vAlign w:val="center"/>
          </w:tcPr>
          <w:p w14:paraId="6162BB34">
            <w:pPr>
              <w:jc w:val="left"/>
              <w:rPr>
                <w:rFonts w:ascii="宋体" w:hAnsi="宋体" w:cs="宋体"/>
                <w:color w:val="auto"/>
                <w:szCs w:val="21"/>
                <w:highlight w:val="none"/>
              </w:rPr>
            </w:pPr>
            <w:r>
              <w:rPr>
                <w:rFonts w:hint="eastAsia" w:ascii="宋体" w:hAnsi="宋体" w:cs="宋体"/>
                <w:color w:val="auto"/>
                <w:szCs w:val="21"/>
                <w:highlight w:val="none"/>
              </w:rPr>
              <w:t>投标截止时间及投标地点</w:t>
            </w:r>
          </w:p>
        </w:tc>
        <w:tc>
          <w:tcPr>
            <w:tcW w:w="4678" w:type="dxa"/>
            <w:tcBorders>
              <w:tl2br w:val="nil"/>
              <w:tr2bl w:val="nil"/>
            </w:tcBorders>
            <w:vAlign w:val="center"/>
          </w:tcPr>
          <w:p w14:paraId="09CD8D54">
            <w:pPr>
              <w:spacing w:line="360" w:lineRule="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详见本项目招标文件第一章</w:t>
            </w:r>
            <w:r>
              <w:rPr>
                <w:rFonts w:hint="eastAsia" w:ascii="宋体" w:hAnsi="宋体" w:cs="宋体"/>
                <w:color w:val="auto"/>
                <w:sz w:val="21"/>
                <w:szCs w:val="21"/>
                <w:highlight w:val="none"/>
                <w:lang w:val="en-US" w:eastAsia="zh-CN"/>
              </w:rPr>
              <w:t>“投标邀请”</w:t>
            </w:r>
          </w:p>
        </w:tc>
      </w:tr>
      <w:tr w14:paraId="0E46A3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1" w:type="dxa"/>
            <w:gridSpan w:val="3"/>
            <w:tcBorders>
              <w:tl2br w:val="nil"/>
              <w:tr2bl w:val="nil"/>
            </w:tcBorders>
            <w:vAlign w:val="center"/>
          </w:tcPr>
          <w:p w14:paraId="73B517EA">
            <w:pPr>
              <w:rPr>
                <w:rFonts w:ascii="宋体" w:hAnsi="宋体" w:cs="宋体"/>
                <w:color w:val="auto"/>
                <w:szCs w:val="21"/>
                <w:highlight w:val="none"/>
              </w:rPr>
            </w:pPr>
            <w:r>
              <w:rPr>
                <w:rFonts w:hint="eastAsia" w:ascii="宋体" w:hAnsi="宋体" w:cs="宋体"/>
                <w:b/>
                <w:bCs/>
                <w:color w:val="auto"/>
                <w:szCs w:val="21"/>
                <w:highlight w:val="none"/>
              </w:rPr>
              <w:t>五、开标、资格审查和评标</w:t>
            </w:r>
          </w:p>
        </w:tc>
      </w:tr>
      <w:tr w14:paraId="1186F6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l2br w:val="nil"/>
              <w:tr2bl w:val="nil"/>
            </w:tcBorders>
            <w:vAlign w:val="center"/>
          </w:tcPr>
          <w:p w14:paraId="0A3989F7">
            <w:pPr>
              <w:jc w:val="center"/>
              <w:rPr>
                <w:rFonts w:ascii="宋体" w:hAnsi="宋体" w:cs="宋体"/>
                <w:color w:val="auto"/>
                <w:szCs w:val="21"/>
                <w:highlight w:val="none"/>
              </w:rPr>
            </w:pPr>
            <w:r>
              <w:rPr>
                <w:rFonts w:hint="eastAsia" w:ascii="宋体" w:hAnsi="宋体" w:cs="宋体"/>
                <w:color w:val="auto"/>
                <w:szCs w:val="21"/>
                <w:highlight w:val="none"/>
              </w:rPr>
              <w:t>第24.1</w:t>
            </w:r>
            <w:r>
              <w:rPr>
                <w:rFonts w:hint="eastAsia" w:ascii="宋体" w:hAnsi="宋体" w:cs="宋体"/>
                <w:color w:val="auto"/>
                <w:szCs w:val="21"/>
                <w:highlight w:val="none"/>
                <w:lang w:val="zh-CN"/>
              </w:rPr>
              <w:t>款</w:t>
            </w:r>
          </w:p>
        </w:tc>
        <w:tc>
          <w:tcPr>
            <w:tcW w:w="2693" w:type="dxa"/>
            <w:tcBorders>
              <w:tl2br w:val="nil"/>
              <w:tr2bl w:val="nil"/>
            </w:tcBorders>
            <w:vAlign w:val="center"/>
          </w:tcPr>
          <w:p w14:paraId="7EB619EE">
            <w:pPr>
              <w:jc w:val="left"/>
              <w:rPr>
                <w:rFonts w:ascii="宋体" w:hAnsi="宋体" w:cs="宋体"/>
                <w:color w:val="auto"/>
                <w:szCs w:val="21"/>
                <w:highlight w:val="none"/>
              </w:rPr>
            </w:pPr>
            <w:r>
              <w:rPr>
                <w:rFonts w:hint="eastAsia" w:ascii="宋体" w:hAnsi="宋体" w:cs="宋体"/>
                <w:color w:val="auto"/>
                <w:szCs w:val="21"/>
                <w:highlight w:val="none"/>
              </w:rPr>
              <w:t xml:space="preserve">开标地点 </w:t>
            </w:r>
          </w:p>
        </w:tc>
        <w:tc>
          <w:tcPr>
            <w:tcW w:w="4678" w:type="dxa"/>
            <w:tcBorders>
              <w:tl2br w:val="nil"/>
              <w:tr2bl w:val="nil"/>
            </w:tcBorders>
            <w:vAlign w:val="center"/>
          </w:tcPr>
          <w:p w14:paraId="395F406A">
            <w:pPr>
              <w:spacing w:line="360" w:lineRule="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详见本项目招标文件第一章</w:t>
            </w:r>
            <w:r>
              <w:rPr>
                <w:rFonts w:hint="eastAsia" w:ascii="宋体" w:hAnsi="宋体" w:cs="宋体"/>
                <w:color w:val="auto"/>
                <w:sz w:val="21"/>
                <w:szCs w:val="21"/>
                <w:highlight w:val="none"/>
                <w:lang w:val="en-US" w:eastAsia="zh-CN"/>
              </w:rPr>
              <w:t>“投标邀请”</w:t>
            </w:r>
          </w:p>
        </w:tc>
      </w:tr>
      <w:tr w14:paraId="636B7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l2br w:val="nil"/>
              <w:tr2bl w:val="nil"/>
            </w:tcBorders>
            <w:vAlign w:val="center"/>
          </w:tcPr>
          <w:p w14:paraId="0102428C">
            <w:pPr>
              <w:jc w:val="center"/>
              <w:rPr>
                <w:rFonts w:ascii="宋体" w:hAnsi="宋体" w:cs="宋体"/>
                <w:color w:val="auto"/>
                <w:szCs w:val="21"/>
                <w:highlight w:val="none"/>
              </w:rPr>
            </w:pPr>
            <w:r>
              <w:rPr>
                <w:rFonts w:hint="eastAsia" w:ascii="宋体" w:hAnsi="宋体" w:cs="宋体"/>
                <w:color w:val="auto"/>
                <w:szCs w:val="21"/>
                <w:highlight w:val="none"/>
              </w:rPr>
              <w:t>第24.</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val="zh-CN"/>
              </w:rPr>
              <w:t>款</w:t>
            </w:r>
          </w:p>
        </w:tc>
        <w:tc>
          <w:tcPr>
            <w:tcW w:w="2693" w:type="dxa"/>
            <w:tcBorders>
              <w:tl2br w:val="nil"/>
              <w:tr2bl w:val="nil"/>
            </w:tcBorders>
            <w:vAlign w:val="center"/>
          </w:tcPr>
          <w:p w14:paraId="32C595F2">
            <w:pPr>
              <w:jc w:val="left"/>
              <w:rPr>
                <w:rFonts w:ascii="宋体" w:hAnsi="宋体" w:cs="宋体"/>
                <w:color w:val="auto"/>
                <w:szCs w:val="21"/>
                <w:highlight w:val="none"/>
              </w:rPr>
            </w:pPr>
            <w:r>
              <w:rPr>
                <w:rFonts w:hint="eastAsia" w:ascii="宋体" w:hAnsi="宋体" w:cs="宋体"/>
                <w:color w:val="auto"/>
                <w:szCs w:val="21"/>
                <w:highlight w:val="none"/>
              </w:rPr>
              <w:t>需要宣布的其他内容</w:t>
            </w:r>
          </w:p>
        </w:tc>
        <w:tc>
          <w:tcPr>
            <w:tcW w:w="4678" w:type="dxa"/>
            <w:tcBorders>
              <w:tl2br w:val="nil"/>
              <w:tr2bl w:val="nil"/>
            </w:tcBorders>
            <w:vAlign w:val="center"/>
          </w:tcPr>
          <w:p w14:paraId="1502C3CD">
            <w:pPr>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14:paraId="112913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1" w:type="dxa"/>
            <w:gridSpan w:val="3"/>
            <w:tcBorders>
              <w:tl2br w:val="nil"/>
              <w:tr2bl w:val="nil"/>
            </w:tcBorders>
            <w:vAlign w:val="center"/>
          </w:tcPr>
          <w:p w14:paraId="196DAE9F">
            <w:pPr>
              <w:rPr>
                <w:rFonts w:ascii="宋体" w:hAnsi="宋体" w:cs="宋体"/>
                <w:color w:val="auto"/>
                <w:szCs w:val="21"/>
                <w:highlight w:val="none"/>
              </w:rPr>
            </w:pPr>
            <w:r>
              <w:rPr>
                <w:rFonts w:hint="eastAsia" w:ascii="宋体" w:hAnsi="宋体" w:cs="宋体"/>
                <w:b/>
                <w:bCs/>
                <w:color w:val="auto"/>
                <w:szCs w:val="21"/>
                <w:highlight w:val="none"/>
              </w:rPr>
              <w:t>六、中标信息公布</w:t>
            </w:r>
          </w:p>
        </w:tc>
      </w:tr>
      <w:tr w14:paraId="2FDAC4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l2br w:val="nil"/>
              <w:tr2bl w:val="nil"/>
            </w:tcBorders>
            <w:vAlign w:val="center"/>
          </w:tcPr>
          <w:p w14:paraId="0914ADFB">
            <w:pPr>
              <w:jc w:val="center"/>
              <w:rPr>
                <w:rFonts w:ascii="宋体" w:hAnsi="宋体" w:cs="宋体"/>
                <w:color w:val="auto"/>
                <w:szCs w:val="21"/>
                <w:highlight w:val="none"/>
              </w:rPr>
            </w:pPr>
            <w:r>
              <w:rPr>
                <w:rFonts w:hint="eastAsia" w:ascii="宋体" w:hAnsi="宋体" w:cs="宋体"/>
                <w:color w:val="auto"/>
                <w:szCs w:val="21"/>
                <w:highlight w:val="none"/>
              </w:rPr>
              <w:t>第28.2</w:t>
            </w:r>
            <w:r>
              <w:rPr>
                <w:rFonts w:hint="eastAsia" w:ascii="宋体" w:hAnsi="宋体" w:cs="宋体"/>
                <w:color w:val="auto"/>
                <w:szCs w:val="21"/>
                <w:highlight w:val="none"/>
                <w:lang w:val="zh-CN"/>
              </w:rPr>
              <w:t>款</w:t>
            </w:r>
          </w:p>
        </w:tc>
        <w:tc>
          <w:tcPr>
            <w:tcW w:w="2693" w:type="dxa"/>
            <w:tcBorders>
              <w:tl2br w:val="nil"/>
              <w:tr2bl w:val="nil"/>
            </w:tcBorders>
            <w:vAlign w:val="center"/>
          </w:tcPr>
          <w:p w14:paraId="6D0E91CB">
            <w:pPr>
              <w:jc w:val="left"/>
              <w:rPr>
                <w:rFonts w:ascii="宋体" w:hAnsi="宋体" w:cs="宋体"/>
                <w:color w:val="auto"/>
                <w:szCs w:val="21"/>
                <w:highlight w:val="none"/>
              </w:rPr>
            </w:pPr>
            <w:r>
              <w:rPr>
                <w:rFonts w:hint="eastAsia" w:ascii="宋体" w:hAnsi="宋体" w:cs="宋体"/>
                <w:color w:val="auto"/>
                <w:szCs w:val="21"/>
                <w:highlight w:val="none"/>
              </w:rPr>
              <w:t>中标候选人并列的确定中标人的方式</w:t>
            </w:r>
          </w:p>
        </w:tc>
        <w:tc>
          <w:tcPr>
            <w:tcW w:w="4678" w:type="dxa"/>
            <w:tcBorders>
              <w:tl2br w:val="nil"/>
              <w:tr2bl w:val="nil"/>
            </w:tcBorders>
            <w:vAlign w:val="center"/>
          </w:tcPr>
          <w:p w14:paraId="650C9F48">
            <w:pPr>
              <w:spacing w:line="360" w:lineRule="auto"/>
              <w:rPr>
                <w:rFonts w:ascii="宋体" w:hAnsi="宋体" w:cs="宋体"/>
                <w:color w:val="auto"/>
                <w:szCs w:val="21"/>
                <w:highlight w:val="none"/>
              </w:rPr>
            </w:pPr>
            <w:r>
              <w:rPr>
                <w:rFonts w:hint="eastAsia" w:ascii="宋体" w:hAnsi="宋体" w:cs="宋体"/>
                <w:color w:val="auto"/>
                <w:szCs w:val="21"/>
                <w:highlight w:val="none"/>
              </w:rPr>
              <w:t>按投标报价从低到高确定排序，投标报价相同的按技术总分从高至低确定排序，技术总分相同的由评标组长现场随机抽签确定排序。</w:t>
            </w:r>
          </w:p>
        </w:tc>
      </w:tr>
      <w:tr w14:paraId="14C8FB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l2br w:val="nil"/>
              <w:tr2bl w:val="nil"/>
            </w:tcBorders>
            <w:vAlign w:val="center"/>
          </w:tcPr>
          <w:p w14:paraId="4DCEC3B4">
            <w:pPr>
              <w:jc w:val="center"/>
              <w:rPr>
                <w:rFonts w:ascii="宋体" w:hAnsi="宋体" w:cs="宋体"/>
                <w:color w:val="auto"/>
                <w:szCs w:val="21"/>
                <w:highlight w:val="none"/>
              </w:rPr>
            </w:pPr>
            <w:r>
              <w:rPr>
                <w:rFonts w:hint="eastAsia" w:ascii="宋体" w:hAnsi="宋体" w:cs="宋体"/>
                <w:color w:val="auto"/>
                <w:szCs w:val="21"/>
                <w:highlight w:val="none"/>
              </w:rPr>
              <w:t>第29.3</w:t>
            </w:r>
            <w:r>
              <w:rPr>
                <w:rFonts w:hint="eastAsia" w:ascii="宋体" w:hAnsi="宋体" w:cs="宋体"/>
                <w:color w:val="auto"/>
                <w:szCs w:val="21"/>
                <w:highlight w:val="none"/>
                <w:lang w:val="zh-CN"/>
              </w:rPr>
              <w:t>款</w:t>
            </w:r>
          </w:p>
        </w:tc>
        <w:tc>
          <w:tcPr>
            <w:tcW w:w="2693" w:type="dxa"/>
            <w:tcBorders>
              <w:tl2br w:val="nil"/>
              <w:tr2bl w:val="nil"/>
            </w:tcBorders>
            <w:vAlign w:val="center"/>
          </w:tcPr>
          <w:p w14:paraId="4BC5876C">
            <w:pPr>
              <w:jc w:val="left"/>
              <w:rPr>
                <w:rFonts w:ascii="宋体" w:hAnsi="宋体" w:cs="宋体"/>
                <w:color w:val="auto"/>
                <w:szCs w:val="21"/>
                <w:highlight w:val="none"/>
              </w:rPr>
            </w:pPr>
            <w:r>
              <w:rPr>
                <w:rFonts w:hint="eastAsia" w:ascii="宋体" w:hAnsi="宋体" w:cs="宋体"/>
                <w:color w:val="auto"/>
                <w:szCs w:val="21"/>
                <w:highlight w:val="none"/>
              </w:rPr>
              <w:t>接收质疑函的联系部门、联系电话和通讯地址</w:t>
            </w:r>
          </w:p>
        </w:tc>
        <w:tc>
          <w:tcPr>
            <w:tcW w:w="4678" w:type="dxa"/>
            <w:tcBorders>
              <w:tl2br w:val="nil"/>
              <w:tr2bl w:val="nil"/>
            </w:tcBorders>
            <w:vAlign w:val="center"/>
          </w:tcPr>
          <w:p w14:paraId="79504DC2">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1、采购人：</w:t>
            </w:r>
            <w:r>
              <w:rPr>
                <w:rFonts w:hint="eastAsia" w:ascii="宋体" w:hAnsi="宋体" w:cs="宋体"/>
                <w:color w:val="auto"/>
                <w:szCs w:val="21"/>
                <w:highlight w:val="none"/>
                <w:lang w:eastAsia="zh-CN"/>
              </w:rPr>
              <w:t>湖南铁路科技职业技术学院</w:t>
            </w:r>
          </w:p>
          <w:p w14:paraId="7150AB4A">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color w:val="auto"/>
                <w:szCs w:val="21"/>
                <w:highlight w:val="none"/>
                <w:lang w:eastAsia="zh-CN"/>
              </w:rPr>
              <w:t>湖南省株洲市云龙示范区职教大学城智慧路1</w:t>
            </w:r>
            <w:r>
              <w:rPr>
                <w:rFonts w:hint="eastAsia"/>
                <w:color w:val="auto"/>
                <w:szCs w:val="21"/>
                <w:highlight w:val="none"/>
                <w:lang w:val="en-US" w:eastAsia="zh-CN"/>
              </w:rPr>
              <w:t>23</w:t>
            </w:r>
            <w:r>
              <w:rPr>
                <w:rFonts w:hint="eastAsia"/>
                <w:color w:val="auto"/>
                <w:szCs w:val="21"/>
                <w:highlight w:val="none"/>
                <w:lang w:eastAsia="zh-CN"/>
              </w:rPr>
              <w:t xml:space="preserve">号 </w:t>
            </w:r>
          </w:p>
          <w:p w14:paraId="4DE9168D">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 xml:space="preserve">彭育松 </w:t>
            </w:r>
          </w:p>
          <w:p w14:paraId="25735ECF">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联系电话：0731-22885118  </w:t>
            </w:r>
          </w:p>
          <w:p w14:paraId="3F9FE181">
            <w:pPr>
              <w:spacing w:line="360" w:lineRule="auto"/>
              <w:rPr>
                <w:rFonts w:ascii="宋体" w:hAnsi="宋体" w:cs="宋体"/>
                <w:color w:val="auto"/>
                <w:szCs w:val="21"/>
                <w:highlight w:val="none"/>
              </w:rPr>
            </w:pPr>
            <w:r>
              <w:rPr>
                <w:rFonts w:hint="eastAsia" w:ascii="宋体" w:hAnsi="宋体" w:cs="宋体"/>
                <w:color w:val="auto"/>
                <w:szCs w:val="21"/>
                <w:highlight w:val="none"/>
              </w:rPr>
              <w:t>2、采购代理机构：湖南万达项目管理有限公司</w:t>
            </w:r>
          </w:p>
          <w:p w14:paraId="78F334EA">
            <w:pPr>
              <w:spacing w:line="360" w:lineRule="auto"/>
              <w:rPr>
                <w:rFonts w:ascii="宋体" w:hAnsi="宋体" w:cs="宋体"/>
                <w:color w:val="auto"/>
                <w:szCs w:val="21"/>
                <w:highlight w:val="none"/>
              </w:rPr>
            </w:pPr>
            <w:r>
              <w:rPr>
                <w:rFonts w:hint="eastAsia" w:ascii="宋体" w:hAnsi="宋体" w:cs="宋体"/>
                <w:color w:val="auto"/>
                <w:szCs w:val="21"/>
                <w:highlight w:val="none"/>
              </w:rPr>
              <w:t>地址：湖南省株洲市天元区长江中央商务大厦A座516室</w:t>
            </w:r>
          </w:p>
          <w:p w14:paraId="37A629DB">
            <w:pPr>
              <w:spacing w:line="360" w:lineRule="auto"/>
              <w:rPr>
                <w:rFonts w:ascii="宋体" w:hAnsi="宋体" w:cs="宋体"/>
                <w:color w:val="auto"/>
                <w:szCs w:val="21"/>
                <w:highlight w:val="none"/>
              </w:rPr>
            </w:pPr>
            <w:r>
              <w:rPr>
                <w:rFonts w:hint="eastAsia" w:ascii="宋体" w:hAnsi="宋体" w:cs="宋体"/>
                <w:color w:val="auto"/>
                <w:szCs w:val="21"/>
                <w:highlight w:val="none"/>
              </w:rPr>
              <w:t>联系人：张勤</w:t>
            </w:r>
          </w:p>
          <w:p w14:paraId="0DE81001">
            <w:pPr>
              <w:spacing w:line="360" w:lineRule="auto"/>
              <w:rPr>
                <w:rFonts w:ascii="宋体" w:hAnsi="宋体" w:cs="宋体"/>
                <w:color w:val="auto"/>
                <w:szCs w:val="21"/>
                <w:highlight w:val="none"/>
              </w:rPr>
            </w:pPr>
            <w:r>
              <w:rPr>
                <w:rFonts w:hint="eastAsia" w:ascii="宋体" w:hAnsi="宋体" w:cs="宋体"/>
                <w:color w:val="auto"/>
                <w:szCs w:val="21"/>
                <w:highlight w:val="none"/>
              </w:rPr>
              <w:t>联系电话：0731-22861466</w:t>
            </w:r>
          </w:p>
        </w:tc>
      </w:tr>
      <w:tr w14:paraId="6BFA84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1" w:type="dxa"/>
            <w:gridSpan w:val="3"/>
            <w:tcBorders>
              <w:tl2br w:val="nil"/>
              <w:tr2bl w:val="nil"/>
            </w:tcBorders>
            <w:vAlign w:val="center"/>
          </w:tcPr>
          <w:p w14:paraId="664DD493">
            <w:pPr>
              <w:rPr>
                <w:rFonts w:ascii="宋体" w:hAnsi="宋体" w:cs="宋体"/>
                <w:color w:val="auto"/>
                <w:szCs w:val="21"/>
                <w:highlight w:val="none"/>
              </w:rPr>
            </w:pPr>
            <w:r>
              <w:rPr>
                <w:rFonts w:hint="eastAsia" w:ascii="宋体" w:hAnsi="宋体" w:cs="宋体"/>
                <w:b/>
                <w:bCs/>
                <w:color w:val="auto"/>
                <w:szCs w:val="21"/>
                <w:highlight w:val="none"/>
              </w:rPr>
              <w:t>七、合同签订</w:t>
            </w:r>
          </w:p>
        </w:tc>
      </w:tr>
      <w:tr w14:paraId="61BFDD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l2br w:val="nil"/>
              <w:tr2bl w:val="nil"/>
            </w:tcBorders>
            <w:vAlign w:val="center"/>
          </w:tcPr>
          <w:p w14:paraId="15F07061">
            <w:pPr>
              <w:jc w:val="center"/>
              <w:rPr>
                <w:rFonts w:ascii="宋体" w:hAnsi="宋体" w:cs="宋体"/>
                <w:color w:val="auto"/>
                <w:szCs w:val="21"/>
                <w:highlight w:val="none"/>
              </w:rPr>
            </w:pPr>
            <w:r>
              <w:rPr>
                <w:rFonts w:hint="eastAsia" w:ascii="宋体" w:hAnsi="宋体" w:cs="宋体"/>
                <w:color w:val="auto"/>
                <w:szCs w:val="21"/>
                <w:highlight w:val="none"/>
              </w:rPr>
              <w:t>第31.1</w:t>
            </w:r>
            <w:r>
              <w:rPr>
                <w:rFonts w:hint="eastAsia" w:ascii="宋体" w:hAnsi="宋体" w:cs="宋体"/>
                <w:color w:val="auto"/>
                <w:szCs w:val="21"/>
                <w:highlight w:val="none"/>
                <w:lang w:val="zh-CN"/>
              </w:rPr>
              <w:t>款</w:t>
            </w:r>
          </w:p>
        </w:tc>
        <w:tc>
          <w:tcPr>
            <w:tcW w:w="2693" w:type="dxa"/>
            <w:tcBorders>
              <w:tl2br w:val="nil"/>
              <w:tr2bl w:val="nil"/>
            </w:tcBorders>
            <w:vAlign w:val="center"/>
          </w:tcPr>
          <w:p w14:paraId="013F640F">
            <w:pPr>
              <w:jc w:val="left"/>
              <w:rPr>
                <w:rFonts w:ascii="宋体" w:hAnsi="宋体" w:cs="宋体"/>
                <w:color w:val="auto"/>
                <w:szCs w:val="21"/>
                <w:highlight w:val="none"/>
              </w:rPr>
            </w:pPr>
            <w:r>
              <w:rPr>
                <w:rFonts w:hint="eastAsia" w:ascii="宋体" w:hAnsi="宋体" w:cs="宋体"/>
                <w:color w:val="auto"/>
                <w:szCs w:val="21"/>
                <w:highlight w:val="none"/>
              </w:rPr>
              <w:t>履约担保</w:t>
            </w:r>
          </w:p>
        </w:tc>
        <w:tc>
          <w:tcPr>
            <w:tcW w:w="4678" w:type="dxa"/>
            <w:tcBorders>
              <w:tl2br w:val="nil"/>
              <w:tr2bl w:val="nil"/>
            </w:tcBorders>
            <w:vAlign w:val="center"/>
          </w:tcPr>
          <w:p w14:paraId="555DDEF1">
            <w:pPr>
              <w:spacing w:line="360" w:lineRule="auto"/>
              <w:rPr>
                <w:rFonts w:ascii="宋体" w:hAnsi="宋体" w:cs="宋体"/>
                <w:color w:val="auto"/>
                <w:szCs w:val="21"/>
                <w:highlight w:val="none"/>
              </w:rPr>
            </w:pPr>
            <w:r>
              <w:rPr>
                <w:rFonts w:hint="eastAsia" w:ascii="宋体" w:hAnsi="宋体" w:cs="宋体"/>
                <w:color w:val="auto"/>
                <w:szCs w:val="21"/>
                <w:highlight w:val="none"/>
              </w:rPr>
              <w:t>□ 不要求提供</w:t>
            </w:r>
          </w:p>
          <w:p w14:paraId="525525E9">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要求提供</w:t>
            </w:r>
            <w:r>
              <w:rPr>
                <w:rFonts w:hint="eastAsia" w:ascii="宋体" w:hAnsi="宋体" w:cs="宋体"/>
                <w:color w:val="auto"/>
                <w:szCs w:val="21"/>
                <w:highlight w:val="none"/>
                <w:lang w:eastAsia="zh-CN"/>
              </w:rPr>
              <w:t>：</w:t>
            </w:r>
          </w:p>
          <w:p w14:paraId="55F3B8A0">
            <w:pPr>
              <w:spacing w:line="360" w:lineRule="auto"/>
              <w:rPr>
                <w:rFonts w:ascii="宋体" w:hAnsi="宋体" w:cs="宋体"/>
                <w:color w:val="auto"/>
                <w:szCs w:val="21"/>
                <w:highlight w:val="none"/>
              </w:rPr>
            </w:pPr>
            <w:r>
              <w:rPr>
                <w:rFonts w:hint="eastAsia" w:ascii="宋体" w:hAnsi="宋体" w:cs="宋体"/>
                <w:color w:val="auto"/>
                <w:szCs w:val="21"/>
                <w:highlight w:val="none"/>
              </w:rPr>
              <w:t>履约担保的形式：应当以支票、汇票、本票或者金融机构出具的保函等非现金的形式提交。</w:t>
            </w:r>
          </w:p>
          <w:p w14:paraId="3F1B4C84">
            <w:pPr>
              <w:spacing w:line="360" w:lineRule="auto"/>
              <w:rPr>
                <w:rFonts w:ascii="宋体" w:hAnsi="宋体" w:cs="宋体"/>
                <w:color w:val="auto"/>
                <w:szCs w:val="21"/>
                <w:highlight w:val="none"/>
              </w:rPr>
            </w:pPr>
            <w:r>
              <w:rPr>
                <w:rFonts w:hint="eastAsia" w:ascii="宋体" w:hAnsi="宋体" w:cs="宋体"/>
                <w:color w:val="auto"/>
                <w:szCs w:val="21"/>
                <w:highlight w:val="none"/>
              </w:rPr>
              <w:t>履约担保的金额：</w:t>
            </w:r>
            <w:r>
              <w:rPr>
                <w:rFonts w:hint="eastAsia" w:ascii="宋体" w:hAnsi="宋体" w:cs="宋体"/>
                <w:color w:val="auto"/>
                <w:szCs w:val="21"/>
                <w:highlight w:val="none"/>
                <w:lang w:val="en-US" w:eastAsia="zh-CN"/>
              </w:rPr>
              <w:t>一年</w:t>
            </w:r>
            <w:r>
              <w:rPr>
                <w:rFonts w:hint="eastAsia" w:ascii="宋体" w:hAnsi="宋体" w:cs="宋体"/>
                <w:color w:val="auto"/>
                <w:szCs w:val="21"/>
                <w:highlight w:val="none"/>
              </w:rPr>
              <w:t>政府采购合同金额的</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p>
          <w:p w14:paraId="6077FA12">
            <w:pPr>
              <w:spacing w:line="360" w:lineRule="auto"/>
              <w:rPr>
                <w:rFonts w:ascii="宋体" w:hAnsi="宋体" w:cs="宋体"/>
                <w:color w:val="auto"/>
                <w:szCs w:val="21"/>
                <w:highlight w:val="none"/>
              </w:rPr>
            </w:pPr>
            <w:r>
              <w:rPr>
                <w:rFonts w:hint="eastAsia" w:ascii="宋体" w:hAnsi="宋体" w:cs="宋体"/>
                <w:color w:val="auto"/>
                <w:szCs w:val="21"/>
                <w:highlight w:val="none"/>
              </w:rPr>
              <w:t>履约担保提交时间：中标通知书发出之日起10</w:t>
            </w:r>
            <w:r>
              <w:rPr>
                <w:rFonts w:hint="eastAsia" w:ascii="宋体" w:hAnsi="宋体" w:cs="宋体"/>
                <w:color w:val="auto"/>
                <w:szCs w:val="21"/>
                <w:highlight w:val="none"/>
                <w:lang w:eastAsia="zh-CN"/>
              </w:rPr>
              <w:t>个工作</w:t>
            </w:r>
            <w:r>
              <w:rPr>
                <w:rFonts w:hint="eastAsia" w:ascii="宋体" w:hAnsi="宋体" w:cs="宋体"/>
                <w:color w:val="auto"/>
                <w:szCs w:val="21"/>
                <w:highlight w:val="none"/>
              </w:rPr>
              <w:t>日内。</w:t>
            </w:r>
          </w:p>
          <w:p w14:paraId="4A13E3D6">
            <w:pPr>
              <w:spacing w:line="360" w:lineRule="auto"/>
              <w:rPr>
                <w:rFonts w:ascii="宋体" w:hAnsi="宋体" w:cs="宋体"/>
                <w:color w:val="auto"/>
                <w:szCs w:val="21"/>
                <w:highlight w:val="none"/>
              </w:rPr>
            </w:pPr>
            <w:r>
              <w:rPr>
                <w:rFonts w:hint="eastAsia" w:ascii="宋体" w:hAnsi="宋体" w:cs="宋体"/>
                <w:color w:val="auto"/>
                <w:szCs w:val="21"/>
                <w:highlight w:val="none"/>
              </w:rPr>
              <w:t>履约担保退还时间：</w:t>
            </w:r>
            <w:r>
              <w:rPr>
                <w:rFonts w:hint="eastAsia" w:ascii="宋体" w:hAnsi="宋体" w:cs="宋体"/>
                <w:color w:val="auto"/>
                <w:szCs w:val="21"/>
                <w:highlight w:val="none"/>
                <w:lang w:eastAsia="zh-CN"/>
              </w:rPr>
              <w:t>合同期限届满之日起</w:t>
            </w:r>
            <w:r>
              <w:rPr>
                <w:rFonts w:hint="eastAsia" w:ascii="宋体" w:hAnsi="宋体" w:cs="宋体"/>
                <w:color w:val="auto"/>
                <w:szCs w:val="21"/>
                <w:highlight w:val="none"/>
                <w:lang w:val="en-US" w:eastAsia="zh-CN"/>
              </w:rPr>
              <w:t>1个</w:t>
            </w:r>
            <w:r>
              <w:rPr>
                <w:rFonts w:hint="eastAsia" w:ascii="宋体" w:hAnsi="宋体" w:cs="宋体"/>
                <w:color w:val="auto"/>
                <w:szCs w:val="21"/>
                <w:highlight w:val="none"/>
              </w:rPr>
              <w:t>月内。</w:t>
            </w:r>
          </w:p>
        </w:tc>
      </w:tr>
      <w:tr w14:paraId="2F6768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31" w:type="dxa"/>
            <w:gridSpan w:val="3"/>
            <w:tcBorders>
              <w:tl2br w:val="nil"/>
              <w:tr2bl w:val="nil"/>
            </w:tcBorders>
            <w:vAlign w:val="center"/>
          </w:tcPr>
          <w:p w14:paraId="7EF5F6F3">
            <w:pPr>
              <w:spacing w:line="360" w:lineRule="auto"/>
              <w:rPr>
                <w:rFonts w:hint="eastAsia" w:ascii="宋体" w:hAnsi="宋体" w:cs="宋体"/>
                <w:color w:val="auto"/>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政府采购政策</w:t>
            </w:r>
          </w:p>
        </w:tc>
      </w:tr>
      <w:tr w14:paraId="49F190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l2br w:val="nil"/>
              <w:tr2bl w:val="nil"/>
            </w:tcBorders>
            <w:vAlign w:val="center"/>
          </w:tcPr>
          <w:p w14:paraId="0F4C89DC">
            <w:pPr>
              <w:adjustRightInd w:val="0"/>
              <w:snapToGrid w:val="0"/>
              <w:spacing w:line="320" w:lineRule="exact"/>
              <w:jc w:val="center"/>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第</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3.8</w:t>
            </w:r>
            <w:r>
              <w:rPr>
                <w:rFonts w:hint="eastAsia" w:ascii="宋体" w:hAnsi="宋体" w:eastAsia="宋体" w:cs="宋体"/>
                <w:color w:val="auto"/>
                <w:sz w:val="21"/>
                <w:szCs w:val="21"/>
                <w:highlight w:val="none"/>
                <w:lang w:val="zh-CN"/>
              </w:rPr>
              <w:t>款</w:t>
            </w:r>
          </w:p>
        </w:tc>
        <w:tc>
          <w:tcPr>
            <w:tcW w:w="2693" w:type="dxa"/>
            <w:tcBorders>
              <w:tl2br w:val="nil"/>
              <w:tr2bl w:val="nil"/>
            </w:tcBorders>
            <w:vAlign w:val="center"/>
          </w:tcPr>
          <w:p w14:paraId="2A50A277">
            <w:pPr>
              <w:jc w:val="left"/>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采购进口产品</w:t>
            </w:r>
          </w:p>
        </w:tc>
        <w:tc>
          <w:tcPr>
            <w:tcW w:w="4678" w:type="dxa"/>
            <w:tcBorders>
              <w:tl2br w:val="nil"/>
              <w:tr2bl w:val="nil"/>
            </w:tcBorders>
            <w:vAlign w:val="center"/>
          </w:tcPr>
          <w:p w14:paraId="671E5CC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本采购项目拒绝进口产品参加投标。</w:t>
            </w:r>
          </w:p>
          <w:p w14:paraId="1E051A5D">
            <w:pPr>
              <w:spacing w:line="360" w:lineRule="auto"/>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sym w:font="Wingdings 2" w:char="00A3"/>
            </w:r>
            <w:r>
              <w:rPr>
                <w:rFonts w:hint="eastAsia" w:ascii="宋体" w:hAnsi="宋体" w:eastAsia="宋体" w:cs="宋体"/>
                <w:color w:val="auto"/>
                <w:szCs w:val="21"/>
                <w:highlight w:val="none"/>
                <w:lang w:val="en-US" w:eastAsia="zh-CN"/>
              </w:rPr>
              <w:t>本采购项目已经财政部门审核同意购买进口产品。</w:t>
            </w:r>
          </w:p>
        </w:tc>
      </w:tr>
      <w:tr w14:paraId="1BE9BB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1" w:type="dxa"/>
            <w:gridSpan w:val="3"/>
            <w:tcBorders>
              <w:tl2br w:val="nil"/>
              <w:tr2bl w:val="nil"/>
            </w:tcBorders>
            <w:vAlign w:val="center"/>
          </w:tcPr>
          <w:p w14:paraId="6728D21F">
            <w:pPr>
              <w:rPr>
                <w:rFonts w:ascii="宋体" w:hAnsi="宋体" w:cs="宋体"/>
                <w:color w:val="auto"/>
                <w:szCs w:val="21"/>
                <w:highlight w:val="none"/>
              </w:rPr>
            </w:pPr>
            <w:r>
              <w:rPr>
                <w:rFonts w:hint="eastAsia" w:ascii="宋体" w:hAnsi="宋体" w:cs="宋体"/>
                <w:b/>
                <w:bCs/>
                <w:color w:val="auto"/>
                <w:szCs w:val="21"/>
                <w:highlight w:val="none"/>
              </w:rPr>
              <w:t>九、其他规定</w:t>
            </w:r>
          </w:p>
        </w:tc>
      </w:tr>
      <w:tr w14:paraId="06166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l2br w:val="nil"/>
              <w:tr2bl w:val="nil"/>
            </w:tcBorders>
            <w:vAlign w:val="center"/>
          </w:tcPr>
          <w:p w14:paraId="543859AF">
            <w:pPr>
              <w:jc w:val="center"/>
              <w:rPr>
                <w:rFonts w:ascii="宋体" w:hAnsi="宋体" w:cs="宋体"/>
                <w:color w:val="auto"/>
                <w:szCs w:val="21"/>
                <w:highlight w:val="none"/>
              </w:rPr>
            </w:pPr>
            <w:r>
              <w:rPr>
                <w:rFonts w:hint="eastAsia" w:ascii="宋体" w:hAnsi="宋体" w:eastAsia="宋体" w:cs="宋体"/>
                <w:color w:val="auto"/>
                <w:sz w:val="21"/>
                <w:szCs w:val="21"/>
                <w:highlight w:val="none"/>
                <w:lang w:eastAsia="zh-CN"/>
              </w:rPr>
              <w:t>第</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w:t>
            </w:r>
          </w:p>
        </w:tc>
        <w:tc>
          <w:tcPr>
            <w:tcW w:w="2693" w:type="dxa"/>
            <w:tcBorders>
              <w:tl2br w:val="nil"/>
              <w:tr2bl w:val="nil"/>
            </w:tcBorders>
            <w:vAlign w:val="center"/>
          </w:tcPr>
          <w:p w14:paraId="1256E483">
            <w:pPr>
              <w:jc w:val="left"/>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合同预付款的支付比例和支付条件</w:t>
            </w:r>
          </w:p>
        </w:tc>
        <w:tc>
          <w:tcPr>
            <w:tcW w:w="4678" w:type="dxa"/>
            <w:tcBorders>
              <w:tl2br w:val="nil"/>
              <w:tr2bl w:val="nil"/>
            </w:tcBorders>
            <w:vAlign w:val="center"/>
          </w:tcPr>
          <w:p w14:paraId="209E3065">
            <w:pPr>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支付比例：</w:t>
            </w:r>
            <w:r>
              <w:rPr>
                <w:rFonts w:hint="eastAsia" w:ascii="宋体" w:hAnsi="宋体" w:eastAsia="宋体" w:cs="宋体"/>
                <w:color w:val="auto"/>
                <w:szCs w:val="21"/>
                <w:highlight w:val="none"/>
                <w:u w:val="single"/>
                <w:lang w:val="en-US" w:eastAsia="zh-CN"/>
              </w:rPr>
              <w:t xml:space="preserve">    /   </w:t>
            </w:r>
            <w:r>
              <w:rPr>
                <w:rFonts w:hint="eastAsia" w:ascii="宋体" w:hAnsi="宋体" w:eastAsia="宋体" w:cs="宋体"/>
                <w:color w:val="auto"/>
                <w:szCs w:val="21"/>
                <w:highlight w:val="none"/>
                <w:lang w:val="en-US" w:eastAsia="zh-CN"/>
              </w:rPr>
              <w:t xml:space="preserve"> </w:t>
            </w:r>
          </w:p>
          <w:p w14:paraId="11BF27E2">
            <w:pPr>
              <w:spacing w:line="360" w:lineRule="auto"/>
              <w:rPr>
                <w:rFonts w:ascii="宋体" w:hAnsi="宋体" w:cs="宋体"/>
                <w:color w:val="auto"/>
                <w:szCs w:val="21"/>
                <w:highlight w:val="none"/>
              </w:rPr>
            </w:pPr>
            <w:r>
              <w:rPr>
                <w:rFonts w:hint="eastAsia" w:ascii="宋体" w:hAnsi="宋体" w:eastAsia="宋体" w:cs="宋体"/>
                <w:color w:val="auto"/>
                <w:szCs w:val="21"/>
                <w:highlight w:val="none"/>
                <w:lang w:val="en-US" w:eastAsia="zh-CN"/>
              </w:rPr>
              <w:t xml:space="preserve">支付条件： </w:t>
            </w:r>
            <w:r>
              <w:rPr>
                <w:rFonts w:hint="eastAsia" w:ascii="宋体" w:hAnsi="宋体" w:eastAsia="宋体" w:cs="宋体"/>
                <w:color w:val="auto"/>
                <w:szCs w:val="21"/>
                <w:highlight w:val="none"/>
                <w:u w:val="single"/>
                <w:lang w:val="en-US" w:eastAsia="zh-CN"/>
              </w:rPr>
              <w:t xml:space="preserve">   /   </w:t>
            </w:r>
            <w:r>
              <w:rPr>
                <w:rFonts w:hint="eastAsia" w:ascii="宋体" w:hAnsi="宋体" w:eastAsia="宋体" w:cs="宋体"/>
                <w:color w:val="auto"/>
                <w:szCs w:val="21"/>
                <w:highlight w:val="none"/>
                <w:lang w:val="en-US" w:eastAsia="zh-CN"/>
              </w:rPr>
              <w:t xml:space="preserve"> </w:t>
            </w:r>
          </w:p>
        </w:tc>
      </w:tr>
      <w:tr w14:paraId="2B90FB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l2br w:val="nil"/>
              <w:tr2bl w:val="nil"/>
            </w:tcBorders>
            <w:vAlign w:val="center"/>
          </w:tcPr>
          <w:p w14:paraId="56396C48">
            <w:pPr>
              <w:jc w:val="center"/>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第</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w:t>
            </w:r>
          </w:p>
        </w:tc>
        <w:tc>
          <w:tcPr>
            <w:tcW w:w="2693" w:type="dxa"/>
            <w:tcBorders>
              <w:tl2br w:val="nil"/>
              <w:tr2bl w:val="nil"/>
            </w:tcBorders>
            <w:vAlign w:val="center"/>
          </w:tcPr>
          <w:p w14:paraId="410F80C9">
            <w:pPr>
              <w:jc w:val="left"/>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质量保证金</w:t>
            </w:r>
          </w:p>
        </w:tc>
        <w:tc>
          <w:tcPr>
            <w:tcW w:w="4678" w:type="dxa"/>
            <w:tcBorders>
              <w:tl2br w:val="nil"/>
              <w:tr2bl w:val="nil"/>
            </w:tcBorders>
            <w:vAlign w:val="center"/>
          </w:tcPr>
          <w:p w14:paraId="1AF9D2D9">
            <w:pPr>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14:paraId="1193A3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tcBorders>
              <w:tl2br w:val="nil"/>
              <w:tr2bl w:val="nil"/>
            </w:tcBorders>
            <w:vAlign w:val="center"/>
          </w:tcPr>
          <w:p w14:paraId="7AC7B4B1">
            <w:pPr>
              <w:jc w:val="center"/>
              <w:rPr>
                <w:rFonts w:ascii="宋体" w:hAnsi="宋体" w:cs="宋体"/>
                <w:color w:val="auto"/>
                <w:szCs w:val="21"/>
                <w:highlight w:val="none"/>
              </w:rPr>
            </w:pPr>
            <w:r>
              <w:rPr>
                <w:rFonts w:hint="eastAsia" w:ascii="宋体" w:hAnsi="宋体" w:cs="宋体"/>
                <w:color w:val="auto"/>
                <w:szCs w:val="21"/>
                <w:highlight w:val="none"/>
              </w:rPr>
              <w:t>第3</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款</w:t>
            </w:r>
          </w:p>
        </w:tc>
        <w:tc>
          <w:tcPr>
            <w:tcW w:w="2693" w:type="dxa"/>
            <w:vMerge w:val="restart"/>
            <w:tcBorders>
              <w:tl2br w:val="nil"/>
              <w:tr2bl w:val="nil"/>
            </w:tcBorders>
            <w:vAlign w:val="center"/>
          </w:tcPr>
          <w:p w14:paraId="734715DF">
            <w:pPr>
              <w:jc w:val="left"/>
              <w:rPr>
                <w:rFonts w:ascii="宋体" w:hAnsi="宋体" w:cs="宋体"/>
                <w:color w:val="auto"/>
                <w:szCs w:val="21"/>
                <w:highlight w:val="none"/>
              </w:rPr>
            </w:pPr>
            <w:r>
              <w:rPr>
                <w:rFonts w:hint="eastAsia" w:ascii="宋体" w:hAnsi="宋体" w:cs="宋体"/>
                <w:color w:val="auto"/>
                <w:szCs w:val="21"/>
                <w:highlight w:val="none"/>
              </w:rPr>
              <w:t>其他规定</w:t>
            </w:r>
          </w:p>
        </w:tc>
        <w:tc>
          <w:tcPr>
            <w:tcW w:w="4678" w:type="dxa"/>
            <w:tcBorders>
              <w:tl2br w:val="nil"/>
              <w:tr2bl w:val="nil"/>
            </w:tcBorders>
            <w:vAlign w:val="center"/>
          </w:tcPr>
          <w:p w14:paraId="473743AB">
            <w:pPr>
              <w:numPr>
                <w:ilvl w:val="0"/>
                <w:numId w:val="2"/>
              </w:numPr>
              <w:spacing w:line="360" w:lineRule="auto"/>
              <w:rPr>
                <w:color w:val="auto"/>
                <w:highlight w:val="none"/>
              </w:rPr>
            </w:pPr>
            <w:r>
              <w:rPr>
                <w:rFonts w:hint="eastAsia"/>
                <w:color w:val="auto"/>
                <w:highlight w:val="none"/>
              </w:rPr>
              <w:t>本项目所属行业为</w:t>
            </w:r>
            <w:r>
              <w:rPr>
                <w:rFonts w:hint="eastAsia"/>
                <w:b/>
                <w:bCs/>
                <w:color w:val="auto"/>
                <w:highlight w:val="none"/>
                <w:u w:val="single"/>
                <w:lang w:eastAsia="zh-CN"/>
              </w:rPr>
              <w:t>物业管理</w:t>
            </w:r>
            <w:r>
              <w:rPr>
                <w:rFonts w:hint="eastAsia"/>
                <w:color w:val="auto"/>
                <w:highlight w:val="none"/>
              </w:rPr>
              <w:t>。其小微企</w:t>
            </w:r>
            <w:r>
              <w:rPr>
                <w:rFonts w:hint="eastAsia"/>
                <w:color w:val="auto"/>
                <w:highlight w:val="none"/>
                <w:lang w:eastAsia="zh-CN"/>
              </w:rPr>
              <w:t>业</w:t>
            </w:r>
            <w:r>
              <w:rPr>
                <w:rFonts w:hint="eastAsia"/>
                <w:color w:val="auto"/>
                <w:highlight w:val="none"/>
              </w:rPr>
              <w:t>规模认定按照《中小企业划型标准规定》（工信部联企业〔2011〕300号）执行。</w:t>
            </w:r>
          </w:p>
          <w:p w14:paraId="06EEBAC9">
            <w:pPr>
              <w:spacing w:line="360" w:lineRule="auto"/>
              <w:rPr>
                <w:color w:val="auto"/>
                <w:highlight w:val="none"/>
              </w:rPr>
            </w:pPr>
            <w:r>
              <w:rPr>
                <w:rFonts w:hint="eastAsia"/>
                <w:color w:val="auto"/>
                <w:highlight w:val="none"/>
                <w:lang w:val="en-US" w:eastAsia="zh-CN"/>
              </w:rPr>
              <w:t>2</w:t>
            </w:r>
            <w:r>
              <w:rPr>
                <w:rFonts w:hint="eastAsia"/>
                <w:color w:val="auto"/>
                <w:highlight w:val="none"/>
              </w:rPr>
              <w:t>、本项目履约验收方式为：采购人自行组织验收。</w:t>
            </w:r>
          </w:p>
          <w:p w14:paraId="48A01CB5">
            <w:pPr>
              <w:spacing w:line="360" w:lineRule="auto"/>
              <w:rPr>
                <w:b/>
                <w:bCs/>
                <w:color w:val="auto"/>
                <w:highlight w:val="none"/>
              </w:rPr>
            </w:pPr>
            <w:r>
              <w:rPr>
                <w:rFonts w:hint="eastAsia"/>
                <w:b/>
                <w:bCs/>
                <w:color w:val="auto"/>
                <w:highlight w:val="none"/>
                <w:lang w:val="en-US" w:eastAsia="zh-CN"/>
              </w:rPr>
              <w:t>3</w:t>
            </w:r>
            <w:r>
              <w:rPr>
                <w:rFonts w:hint="eastAsia"/>
                <w:b/>
                <w:bCs/>
                <w:color w:val="auto"/>
                <w:highlight w:val="none"/>
              </w:rPr>
              <w:t>、投标人参加投标时提供的所有资料，必须真实、准确，不得弄虚作假。</w:t>
            </w:r>
          </w:p>
          <w:p w14:paraId="6F114DCA">
            <w:pPr>
              <w:spacing w:line="360" w:lineRule="auto"/>
              <w:rPr>
                <w:b/>
                <w:bCs/>
                <w:color w:val="auto"/>
                <w:highlight w:val="none"/>
              </w:rPr>
            </w:pPr>
            <w:r>
              <w:rPr>
                <w:rFonts w:hint="eastAsia"/>
                <w:b/>
                <w:bCs/>
                <w:color w:val="auto"/>
                <w:highlight w:val="none"/>
              </w:rPr>
              <w:t>（1）评标结束后采购人有权复核投标人所提交资料的真实性，投标人应当予以配合；</w:t>
            </w:r>
          </w:p>
          <w:p w14:paraId="1375FC23">
            <w:pPr>
              <w:spacing w:line="360" w:lineRule="auto"/>
              <w:rPr>
                <w:color w:val="auto"/>
                <w:highlight w:val="none"/>
              </w:rPr>
            </w:pPr>
            <w:r>
              <w:rPr>
                <w:rFonts w:hint="eastAsia"/>
                <w:b/>
                <w:bCs/>
                <w:color w:val="auto"/>
                <w:highlight w:val="none"/>
              </w:rPr>
              <w:t>（2）如发现投标人提供的资料存在弄虚作假、骗取中标的情况，采购人将</w:t>
            </w:r>
            <w:r>
              <w:rPr>
                <w:rFonts w:hint="eastAsia"/>
                <w:b/>
                <w:bCs/>
                <w:color w:val="auto"/>
                <w:highlight w:val="none"/>
                <w:lang w:eastAsia="zh-CN"/>
              </w:rPr>
              <w:t>依法报告同级财政部门，</w:t>
            </w:r>
            <w:r>
              <w:rPr>
                <w:rFonts w:hint="eastAsia"/>
                <w:b/>
                <w:bCs/>
                <w:color w:val="auto"/>
                <w:highlight w:val="none"/>
              </w:rPr>
              <w:t>并没收其投标保证金，中标的取消其中标资格并追究其法律责任。</w:t>
            </w:r>
          </w:p>
        </w:tc>
      </w:tr>
      <w:tr w14:paraId="02D7B8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Borders>
              <w:tl2br w:val="nil"/>
              <w:tr2bl w:val="nil"/>
            </w:tcBorders>
            <w:vAlign w:val="center"/>
          </w:tcPr>
          <w:p w14:paraId="081C53D3">
            <w:pPr>
              <w:jc w:val="center"/>
              <w:rPr>
                <w:rFonts w:ascii="宋体" w:hAnsi="宋体" w:cs="宋体"/>
                <w:color w:val="auto"/>
                <w:szCs w:val="21"/>
                <w:highlight w:val="none"/>
              </w:rPr>
            </w:pPr>
          </w:p>
        </w:tc>
        <w:tc>
          <w:tcPr>
            <w:tcW w:w="2693" w:type="dxa"/>
            <w:vMerge w:val="continue"/>
            <w:tcBorders>
              <w:tl2br w:val="nil"/>
              <w:tr2bl w:val="nil"/>
            </w:tcBorders>
            <w:vAlign w:val="center"/>
          </w:tcPr>
          <w:p w14:paraId="683BBA27">
            <w:pPr>
              <w:jc w:val="left"/>
              <w:rPr>
                <w:rFonts w:ascii="宋体" w:hAnsi="宋体" w:cs="宋体"/>
                <w:color w:val="auto"/>
                <w:szCs w:val="21"/>
                <w:highlight w:val="none"/>
              </w:rPr>
            </w:pPr>
          </w:p>
        </w:tc>
        <w:tc>
          <w:tcPr>
            <w:tcW w:w="4678" w:type="dxa"/>
            <w:tcBorders>
              <w:tl2br w:val="nil"/>
              <w:tr2bl w:val="nil"/>
            </w:tcBorders>
            <w:vAlign w:val="center"/>
          </w:tcPr>
          <w:p w14:paraId="4C2C790C">
            <w:pPr>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4、投标人应在项目招标文件获取截止时间前登录株洲市公共资源交易平台(http://www.zzzyjy.cn/)中使用CA证书登录"会员端"，在“采购业务”模块中，点击“填写投标信息”菜单，找到对应的标段信息点击后面的“操作”按钮，再点击“我要投标”；然后在“采购公告及文件下载”菜单中，找到对应的项目信息点击后面的“下载”按钮，进行文件下载（注：须在文件下载截止时间前进行文件下载操作，逾期将不能进行下载）。投标人确定参加投标的，应及时登录系统进行“文件下载”操作，否则将无法上传电子投标文件。</w:t>
            </w:r>
          </w:p>
          <w:p w14:paraId="22A62FDB">
            <w:pPr>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5、请投标人在 “株洲市公共资源交易平台-操作指南-下载中心”下载“新点投标文件制作软件（湖南省公共资源版）”编制投标文件，投标人应在投标截止时间前通过电子交易系统递交数据电文形式的投标文件。逾期送达的投标文件，电子交易系统予以拒收。</w:t>
            </w:r>
          </w:p>
          <w:p w14:paraId="39995BCB">
            <w:pPr>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6、本项目实行“不见面开标”方式，投标人无需到开标现场，请投标人提前配置好解密电脑和软件环境，在规定时间内使用制作投标文件时的 CA 锁登录“网上开标系统”解密投标文件。电子投标文件的解密截止时间为2024年   月   日            时00分（投标截止后60分钟），因投标人自身原因未在规定时间内完成解密或无法解密的投标文件视为撤销其投标文件，相应责任由投标人自行承担。</w:t>
            </w:r>
          </w:p>
          <w:p w14:paraId="74F7DF0D">
            <w:pPr>
              <w:spacing w:line="360" w:lineRule="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7、本项目代理服务费由采购人根据代理合同进行支付。</w:t>
            </w:r>
          </w:p>
        </w:tc>
      </w:tr>
    </w:tbl>
    <w:p w14:paraId="32475073">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br w:type="page"/>
      </w:r>
    </w:p>
    <w:p w14:paraId="5C7CAC17">
      <w:pPr>
        <w:pStyle w:val="5"/>
        <w:adjustRightInd w:val="0"/>
        <w:snapToGrid w:val="0"/>
        <w:spacing w:beforeLines="50"/>
        <w:jc w:val="center"/>
        <w:rPr>
          <w:rFonts w:ascii="宋体" w:hAnsi="宋体" w:cs="宋体"/>
          <w:color w:val="auto"/>
          <w:sz w:val="28"/>
          <w:szCs w:val="28"/>
          <w:highlight w:val="none"/>
        </w:rPr>
      </w:pPr>
      <w:bookmarkStart w:id="33" w:name="_Toc9358"/>
      <w:r>
        <w:rPr>
          <w:rFonts w:hint="eastAsia" w:ascii="宋体" w:hAnsi="宋体" w:cs="宋体"/>
          <w:color w:val="auto"/>
          <w:sz w:val="28"/>
          <w:szCs w:val="28"/>
          <w:highlight w:val="none"/>
        </w:rPr>
        <w:t>第二节 投标须知</w:t>
      </w:r>
      <w:bookmarkEnd w:id="33"/>
    </w:p>
    <w:p w14:paraId="20B8FF19">
      <w:pPr>
        <w:pStyle w:val="6"/>
        <w:adjustRightInd w:val="0"/>
        <w:snapToGrid w:val="0"/>
        <w:spacing w:beforeLines="50" w:after="0" w:line="360" w:lineRule="auto"/>
        <w:jc w:val="center"/>
        <w:rPr>
          <w:rFonts w:ascii="宋体" w:hAnsi="宋体" w:cs="宋体"/>
          <w:b w:val="0"/>
          <w:color w:val="auto"/>
          <w:sz w:val="28"/>
          <w:szCs w:val="28"/>
          <w:highlight w:val="none"/>
        </w:rPr>
      </w:pPr>
      <w:bookmarkStart w:id="34" w:name="_Toc22154"/>
      <w:r>
        <w:rPr>
          <w:rFonts w:hint="eastAsia" w:ascii="宋体" w:hAnsi="宋体" w:cs="宋体"/>
          <w:color w:val="auto"/>
          <w:sz w:val="28"/>
          <w:szCs w:val="28"/>
          <w:highlight w:val="none"/>
        </w:rPr>
        <w:t>一、总则</w:t>
      </w:r>
      <w:bookmarkEnd w:id="34"/>
    </w:p>
    <w:p w14:paraId="58AA19F6">
      <w:pPr>
        <w:adjustRightInd w:val="0"/>
        <w:snapToGrid w:val="0"/>
        <w:spacing w:beforeLines="50" w:line="360" w:lineRule="auto"/>
        <w:jc w:val="left"/>
        <w:rPr>
          <w:rFonts w:ascii="宋体" w:hAnsi="宋体" w:cs="宋体"/>
          <w:color w:val="auto"/>
          <w:highlight w:val="none"/>
        </w:rPr>
      </w:pPr>
      <w:r>
        <w:rPr>
          <w:rFonts w:hint="eastAsia" w:ascii="宋体" w:hAnsi="宋体" w:cs="宋体"/>
          <w:b/>
          <w:bCs/>
          <w:color w:val="auto"/>
          <w:highlight w:val="none"/>
        </w:rPr>
        <w:t>1、适用范围</w:t>
      </w:r>
    </w:p>
    <w:p w14:paraId="3E033C78">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Times New Roman"/>
          <w:color w:val="auto"/>
          <w:szCs w:val="21"/>
          <w:highlight w:val="none"/>
          <w:lang w:val="en-US" w:eastAsia="zh-CN"/>
        </w:rPr>
        <w:t>1.1</w:t>
      </w:r>
      <w:r>
        <w:rPr>
          <w:rFonts w:hint="eastAsia" w:ascii="宋体" w:hAnsi="宋体" w:cs="Times New Roman"/>
          <w:color w:val="auto"/>
          <w:szCs w:val="21"/>
          <w:highlight w:val="none"/>
        </w:rPr>
        <w:t>本招标文件仅适用于本章第一节</w:t>
      </w:r>
      <w:r>
        <w:rPr>
          <w:rFonts w:hint="eastAsia" w:ascii="宋体" w:hAnsi="宋体" w:cs="Times New Roman"/>
          <w:b/>
          <w:bCs/>
          <w:color w:val="auto"/>
          <w:szCs w:val="21"/>
          <w:highlight w:val="none"/>
        </w:rPr>
        <w:t>【投标须知前附表】</w:t>
      </w:r>
      <w:r>
        <w:rPr>
          <w:rFonts w:hint="eastAsia" w:ascii="宋体" w:hAnsi="宋体" w:cs="Times New Roman"/>
          <w:color w:val="auto"/>
          <w:szCs w:val="21"/>
          <w:highlight w:val="none"/>
        </w:rPr>
        <w:t>中所叙述的采购项目。</w:t>
      </w:r>
    </w:p>
    <w:p w14:paraId="0318BA88">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olor w:val="auto"/>
          <w:szCs w:val="21"/>
          <w:highlight w:val="none"/>
        </w:rPr>
        <w:t>1.2</w:t>
      </w:r>
      <w:r>
        <w:rPr>
          <w:rFonts w:hint="eastAsia" w:ascii="宋体" w:hAnsi="宋体"/>
          <w:b/>
          <w:color w:val="auto"/>
          <w:szCs w:val="21"/>
          <w:highlight w:val="none"/>
        </w:rPr>
        <w:t>【投标须知前附表】</w:t>
      </w:r>
      <w:r>
        <w:rPr>
          <w:rFonts w:hint="eastAsia" w:ascii="宋体" w:hAnsi="宋体"/>
          <w:color w:val="auto"/>
          <w:szCs w:val="21"/>
          <w:highlight w:val="none"/>
        </w:rPr>
        <w:t>规定采购项目或者采购包属于“预留采购份额”的，投标人应当符合本章第33.7款规定，否则，其</w:t>
      </w:r>
      <w:r>
        <w:rPr>
          <w:rFonts w:hint="eastAsia" w:ascii="宋体" w:hAnsi="宋体"/>
          <w:b/>
          <w:color w:val="auto"/>
          <w:szCs w:val="21"/>
          <w:highlight w:val="none"/>
        </w:rPr>
        <w:t>投标无效</w:t>
      </w:r>
      <w:r>
        <w:rPr>
          <w:rFonts w:hint="eastAsia" w:ascii="宋体" w:hAnsi="宋体"/>
          <w:color w:val="auto"/>
          <w:szCs w:val="21"/>
          <w:highlight w:val="none"/>
        </w:rPr>
        <w:t>。</w:t>
      </w:r>
    </w:p>
    <w:p w14:paraId="7AC9EC2B">
      <w:pPr>
        <w:adjustRightInd w:val="0"/>
        <w:snapToGrid w:val="0"/>
        <w:spacing w:beforeLines="50" w:line="360" w:lineRule="auto"/>
        <w:jc w:val="left"/>
        <w:rPr>
          <w:rFonts w:ascii="宋体" w:hAnsi="宋体" w:cs="宋体"/>
          <w:color w:val="auto"/>
          <w:highlight w:val="none"/>
        </w:rPr>
      </w:pPr>
      <w:r>
        <w:rPr>
          <w:rFonts w:hint="eastAsia" w:ascii="宋体" w:hAnsi="宋体" w:cs="宋体"/>
          <w:b/>
          <w:bCs/>
          <w:color w:val="auto"/>
          <w:highlight w:val="none"/>
        </w:rPr>
        <w:t>2、定义</w:t>
      </w:r>
    </w:p>
    <w:p w14:paraId="593FA503">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2.1采购项目联系人姓名和电话见</w:t>
      </w:r>
      <w:r>
        <w:rPr>
          <w:rFonts w:hint="eastAsia" w:ascii="宋体" w:hAnsi="宋体" w:cs="宋体"/>
          <w:b/>
          <w:bCs/>
          <w:color w:val="auto"/>
          <w:highlight w:val="none"/>
        </w:rPr>
        <w:t>【投标须知前附表】</w:t>
      </w:r>
      <w:r>
        <w:rPr>
          <w:rFonts w:hint="eastAsia" w:ascii="宋体" w:hAnsi="宋体" w:cs="宋体"/>
          <w:color w:val="auto"/>
          <w:highlight w:val="none"/>
        </w:rPr>
        <w:t>。</w:t>
      </w:r>
    </w:p>
    <w:p w14:paraId="51E4C55C">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2.2采购人名称、地址、电话、联系人见</w:t>
      </w:r>
      <w:r>
        <w:rPr>
          <w:rFonts w:hint="eastAsia" w:ascii="宋体" w:hAnsi="宋体" w:cs="宋体"/>
          <w:b/>
          <w:bCs/>
          <w:color w:val="auto"/>
          <w:highlight w:val="none"/>
        </w:rPr>
        <w:t>【投标须知前附表】</w:t>
      </w:r>
      <w:r>
        <w:rPr>
          <w:rFonts w:hint="eastAsia" w:ascii="宋体" w:hAnsi="宋体" w:cs="宋体"/>
          <w:color w:val="auto"/>
          <w:highlight w:val="none"/>
        </w:rPr>
        <w:t>。</w:t>
      </w:r>
    </w:p>
    <w:p w14:paraId="5F83037F">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2.3采购代理机构名称、地址、电话、联系人见</w:t>
      </w:r>
      <w:r>
        <w:rPr>
          <w:rFonts w:hint="eastAsia" w:ascii="宋体" w:hAnsi="宋体" w:cs="宋体"/>
          <w:b/>
          <w:bCs/>
          <w:color w:val="auto"/>
          <w:highlight w:val="none"/>
        </w:rPr>
        <w:t>【投标须知前附表】</w:t>
      </w:r>
      <w:r>
        <w:rPr>
          <w:rFonts w:hint="eastAsia" w:ascii="宋体" w:hAnsi="宋体" w:cs="宋体"/>
          <w:color w:val="auto"/>
          <w:highlight w:val="none"/>
        </w:rPr>
        <w:t>。</w:t>
      </w:r>
    </w:p>
    <w:p w14:paraId="0EF37078">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2.4投标人系指响应招标、参加投标竞争的法人、其他组织或自然人。</w:t>
      </w:r>
    </w:p>
    <w:p w14:paraId="3428B1DF">
      <w:pPr>
        <w:adjustRightInd w:val="0"/>
        <w:snapToGrid w:val="0"/>
        <w:spacing w:beforeLines="50" w:line="360" w:lineRule="auto"/>
        <w:jc w:val="left"/>
        <w:rPr>
          <w:rFonts w:ascii="宋体" w:hAnsi="宋体" w:cs="宋体"/>
          <w:color w:val="auto"/>
          <w:highlight w:val="none"/>
        </w:rPr>
      </w:pPr>
      <w:r>
        <w:rPr>
          <w:rFonts w:hint="eastAsia" w:ascii="宋体" w:hAnsi="宋体" w:cs="宋体"/>
          <w:b/>
          <w:bCs/>
          <w:color w:val="auto"/>
          <w:highlight w:val="none"/>
        </w:rPr>
        <w:t>3、投标人的资格要求</w:t>
      </w:r>
    </w:p>
    <w:p w14:paraId="1087D2B0">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3.1投标人应当符合</w:t>
      </w:r>
      <w:r>
        <w:rPr>
          <w:rFonts w:hint="eastAsia" w:ascii="宋体" w:hAnsi="宋体" w:cs="宋体"/>
          <w:b/>
          <w:bCs/>
          <w:color w:val="auto"/>
          <w:highlight w:val="none"/>
        </w:rPr>
        <w:t>【投标须知前附表】</w:t>
      </w:r>
      <w:r>
        <w:rPr>
          <w:rFonts w:hint="eastAsia" w:ascii="宋体" w:hAnsi="宋体" w:cs="宋体"/>
          <w:color w:val="auto"/>
          <w:highlight w:val="none"/>
        </w:rPr>
        <w:t>规定的投标人资格条件。</w:t>
      </w:r>
    </w:p>
    <w:p w14:paraId="600F9BE8">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3.2</w:t>
      </w:r>
      <w:r>
        <w:rPr>
          <w:rFonts w:hint="eastAsia" w:ascii="宋体" w:hAnsi="宋体" w:cs="宋体"/>
          <w:b/>
          <w:bCs/>
          <w:color w:val="auto"/>
          <w:highlight w:val="none"/>
        </w:rPr>
        <w:t>【投标须知前附表】</w:t>
      </w:r>
      <w:r>
        <w:rPr>
          <w:rFonts w:hint="eastAsia" w:ascii="宋体" w:hAnsi="宋体" w:cs="宋体"/>
          <w:color w:val="auto"/>
          <w:highlight w:val="none"/>
        </w:rPr>
        <w:t>规定接受联合体形式投标的，投标人除应符合本章第 3.1 款规定外，还应遵守以下规定：</w:t>
      </w:r>
    </w:p>
    <w:p w14:paraId="3E1ADDB9">
      <w:pPr>
        <w:adjustRightInd w:val="0"/>
        <w:snapToGrid w:val="0"/>
        <w:spacing w:beforeLines="5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（1）联合体中有同类资质的投标人按照联合体分工承担相同工作的，应当按照资质等级较低的投标人确定资质等级。</w:t>
      </w:r>
    </w:p>
    <w:p w14:paraId="42629A0A">
      <w:pPr>
        <w:adjustRightInd w:val="0"/>
        <w:snapToGrid w:val="0"/>
        <w:spacing w:beforeLines="5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（2）联合体各方应按招标文件提供的格式签订联合体协议书，明确联合体牵头人和各方的权利义务、合同工作量比例；</w:t>
      </w:r>
    </w:p>
    <w:p w14:paraId="236BB5E1">
      <w:pPr>
        <w:adjustRightInd w:val="0"/>
        <w:snapToGrid w:val="0"/>
        <w:spacing w:beforeLines="5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（3）联合体各方签订联合体协议书后，不得再单独参加或者与其他投标人组成新的联合体参加同一合同项下的采购活动。</w:t>
      </w:r>
    </w:p>
    <w:p w14:paraId="0FE48ECD">
      <w:pPr>
        <w:adjustRightInd w:val="0"/>
        <w:snapToGrid w:val="0"/>
        <w:spacing w:beforeLines="50" w:line="360" w:lineRule="auto"/>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4、投标费用</w:t>
      </w:r>
    </w:p>
    <w:p w14:paraId="60C3BFB1">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4.1投标人应自行承担所有参与投标的相关费用，不论投标的结果如何，采购人、采购代理机构均无义务和责任承担这些费用。</w:t>
      </w:r>
    </w:p>
    <w:p w14:paraId="3E4DF705">
      <w:pPr>
        <w:adjustRightInd w:val="0"/>
        <w:snapToGrid w:val="0"/>
        <w:spacing w:beforeLines="50" w:line="360" w:lineRule="auto"/>
        <w:jc w:val="left"/>
        <w:rPr>
          <w:rFonts w:ascii="宋体" w:hAnsi="宋体" w:cs="宋体"/>
          <w:b/>
          <w:bCs/>
          <w:color w:val="auto"/>
          <w:highlight w:val="none"/>
        </w:rPr>
      </w:pPr>
      <w:r>
        <w:rPr>
          <w:rFonts w:hint="eastAsia" w:ascii="宋体" w:hAnsi="宋体" w:cs="宋体"/>
          <w:b/>
          <w:bCs/>
          <w:color w:val="auto"/>
          <w:highlight w:val="none"/>
        </w:rPr>
        <w:t>5、组织现场考察或者召开答疑会</w:t>
      </w:r>
    </w:p>
    <w:p w14:paraId="50D78F56">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5.1采购人、采购代理机构可以在</w:t>
      </w:r>
      <w:r>
        <w:rPr>
          <w:rFonts w:hint="eastAsia" w:ascii="宋体" w:hAnsi="宋体" w:cs="宋体"/>
          <w:b/>
          <w:bCs/>
          <w:color w:val="auto"/>
          <w:highlight w:val="none"/>
        </w:rPr>
        <w:t>【投标须知前附表】</w:t>
      </w:r>
      <w:r>
        <w:rPr>
          <w:rFonts w:hint="eastAsia" w:ascii="宋体" w:hAnsi="宋体" w:cs="宋体"/>
          <w:color w:val="auto"/>
          <w:highlight w:val="none"/>
        </w:rPr>
        <w:t>规定的招标文件提供期限截止后，组织已获取招标文件的潜在投标人现场考察或者召开开标前答疑会。</w:t>
      </w:r>
    </w:p>
    <w:p w14:paraId="41098E07">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5.2获取招标文件的潜在投标人应按</w:t>
      </w:r>
      <w:r>
        <w:rPr>
          <w:rFonts w:hint="eastAsia" w:ascii="宋体" w:hAnsi="宋体" w:cs="宋体"/>
          <w:b/>
          <w:bCs/>
          <w:color w:val="auto"/>
          <w:highlight w:val="none"/>
        </w:rPr>
        <w:t>【投标须知前附表】</w:t>
      </w:r>
      <w:r>
        <w:rPr>
          <w:rFonts w:hint="eastAsia" w:ascii="宋体" w:hAnsi="宋体" w:cs="宋体"/>
          <w:color w:val="auto"/>
          <w:highlight w:val="none"/>
        </w:rPr>
        <w:t>规定参加现场考察或者答疑会；如不参加，其风险由其自行承担。</w:t>
      </w:r>
    </w:p>
    <w:p w14:paraId="3187B181">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5.3潜在投标人现场考察或者参加答疑会的费用由自己承担，现场考察期间所发生的人身伤害及财产损失由自己负责。</w:t>
      </w:r>
    </w:p>
    <w:p w14:paraId="1B67E5CC">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5.4采购人、采购代理机构不对投标人据此而做出的推论、理解和结论负责。投标人一旦中标，不得以任何借口，提出额外补偿，或延长合同期限的要求。</w:t>
      </w:r>
    </w:p>
    <w:p w14:paraId="4F6AF213">
      <w:pPr>
        <w:pStyle w:val="6"/>
        <w:adjustRightInd w:val="0"/>
        <w:snapToGrid w:val="0"/>
        <w:spacing w:beforeLines="50" w:after="0" w:line="360" w:lineRule="auto"/>
        <w:jc w:val="center"/>
        <w:rPr>
          <w:rFonts w:ascii="宋体" w:hAnsi="宋体" w:cs="宋体"/>
          <w:color w:val="auto"/>
          <w:sz w:val="28"/>
          <w:szCs w:val="28"/>
          <w:highlight w:val="none"/>
        </w:rPr>
      </w:pPr>
      <w:bookmarkStart w:id="35" w:name="_Toc5089"/>
      <w:r>
        <w:rPr>
          <w:rFonts w:hint="eastAsia" w:ascii="宋体" w:hAnsi="宋体" w:cs="宋体"/>
          <w:color w:val="auto"/>
          <w:sz w:val="28"/>
          <w:szCs w:val="28"/>
          <w:highlight w:val="none"/>
        </w:rPr>
        <w:t>二、招标文件</w:t>
      </w:r>
      <w:bookmarkEnd w:id="35"/>
    </w:p>
    <w:p w14:paraId="0C33F321">
      <w:pPr>
        <w:adjustRightInd w:val="0"/>
        <w:snapToGrid w:val="0"/>
        <w:spacing w:beforeLines="50" w:line="360" w:lineRule="auto"/>
        <w:jc w:val="left"/>
        <w:rPr>
          <w:rFonts w:ascii="宋体" w:hAnsi="宋体" w:cs="宋体"/>
          <w:color w:val="auto"/>
          <w:highlight w:val="none"/>
        </w:rPr>
      </w:pPr>
      <w:r>
        <w:rPr>
          <w:rFonts w:hint="eastAsia" w:ascii="宋体" w:hAnsi="宋体" w:cs="宋体"/>
          <w:b/>
          <w:bCs/>
          <w:color w:val="auto"/>
          <w:highlight w:val="none"/>
        </w:rPr>
        <w:t>6、招标文件的构成</w:t>
      </w:r>
    </w:p>
    <w:p w14:paraId="17F8E1D2">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6.1招标文件共七章，各章内容如下：</w:t>
      </w:r>
    </w:p>
    <w:p w14:paraId="3F104C46">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第一章 投标邀请</w:t>
      </w:r>
    </w:p>
    <w:p w14:paraId="76152B28">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第二章 投标须知</w:t>
      </w:r>
    </w:p>
    <w:p w14:paraId="048096C6">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第三章 资格审查</w:t>
      </w:r>
    </w:p>
    <w:p w14:paraId="2563CC9F">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第四章 评标方法及标准</w:t>
      </w:r>
    </w:p>
    <w:p w14:paraId="24637149">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第五章 采购需求</w:t>
      </w:r>
    </w:p>
    <w:p w14:paraId="3E5088F2">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第六章 政府采购合同</w:t>
      </w:r>
    </w:p>
    <w:p w14:paraId="3FA30C99">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第七章 投标文件的组成</w:t>
      </w:r>
    </w:p>
    <w:p w14:paraId="5FE9DA3F">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6.2采购人、采购代理机构在提交投标文件截止时间前对招标文件所作的澄清或者修改，构成招标文件的组成部分。</w:t>
      </w:r>
    </w:p>
    <w:p w14:paraId="34D28B7A">
      <w:pPr>
        <w:adjustRightInd w:val="0"/>
        <w:snapToGrid w:val="0"/>
        <w:spacing w:beforeLines="50" w:line="360" w:lineRule="auto"/>
        <w:jc w:val="left"/>
        <w:rPr>
          <w:rFonts w:ascii="宋体" w:hAnsi="宋体" w:cs="宋体"/>
          <w:color w:val="auto"/>
          <w:highlight w:val="none"/>
        </w:rPr>
      </w:pPr>
      <w:r>
        <w:rPr>
          <w:rFonts w:hint="eastAsia" w:ascii="宋体" w:hAnsi="宋体" w:cs="宋体"/>
          <w:b/>
          <w:bCs/>
          <w:color w:val="auto"/>
          <w:highlight w:val="none"/>
        </w:rPr>
        <w:t>7、偏离与实质性响应</w:t>
      </w:r>
    </w:p>
    <w:p w14:paraId="0483612F">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7.1投标人应当按照招标文件的要求编制投标文件。投标文件应当对招标文件提出的要求和条件作出明确响应。</w:t>
      </w:r>
    </w:p>
    <w:p w14:paraId="071EE255">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7.2偏离是指投标文件不响应或者不满足招标文件提出的要求和条件，分为实质性偏离和非实质性偏离。</w:t>
      </w:r>
    </w:p>
    <w:p w14:paraId="2B941CA8">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7.3除法律、法规和招标文件规定的其他投标无效情形外，招标文件中用“★”符号标明的条款为实质性要求和条件，对其中任何一条的偏离，为实质性偏离，其</w:t>
      </w:r>
      <w:r>
        <w:rPr>
          <w:rFonts w:hint="eastAsia" w:ascii="宋体" w:hAnsi="宋体" w:cs="宋体"/>
          <w:b/>
          <w:bCs/>
          <w:color w:val="auto"/>
          <w:highlight w:val="none"/>
        </w:rPr>
        <w:t>投标无效</w:t>
      </w:r>
      <w:r>
        <w:rPr>
          <w:rFonts w:hint="eastAsia" w:ascii="宋体" w:hAnsi="宋体" w:cs="宋体"/>
          <w:color w:val="auto"/>
          <w:highlight w:val="none"/>
        </w:rPr>
        <w:t>。</w:t>
      </w:r>
    </w:p>
    <w:p w14:paraId="0AC2607C">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7.4投标文件偏离招标文件的非实质性要求和条件，为非实质性偏离。非实质性偏离的范围和幅度应当符合</w:t>
      </w:r>
      <w:r>
        <w:rPr>
          <w:rFonts w:hint="eastAsia" w:ascii="宋体" w:hAnsi="宋体" w:cs="宋体"/>
          <w:b/>
          <w:bCs/>
          <w:color w:val="auto"/>
          <w:highlight w:val="none"/>
        </w:rPr>
        <w:t>【投标须知前附表】</w:t>
      </w:r>
      <w:r>
        <w:rPr>
          <w:rFonts w:hint="eastAsia" w:ascii="宋体" w:hAnsi="宋体" w:cs="宋体"/>
          <w:color w:val="auto"/>
          <w:highlight w:val="none"/>
        </w:rPr>
        <w:t>的规定，否则</w:t>
      </w:r>
      <w:r>
        <w:rPr>
          <w:rFonts w:hint="eastAsia" w:ascii="宋体" w:hAnsi="宋体" w:cs="宋体"/>
          <w:b/>
          <w:bCs/>
          <w:color w:val="auto"/>
          <w:highlight w:val="none"/>
        </w:rPr>
        <w:t>投标无效</w:t>
      </w:r>
      <w:r>
        <w:rPr>
          <w:rFonts w:hint="eastAsia" w:ascii="宋体" w:hAnsi="宋体" w:cs="宋体"/>
          <w:color w:val="auto"/>
          <w:highlight w:val="none"/>
        </w:rPr>
        <w:t>。</w:t>
      </w:r>
    </w:p>
    <w:p w14:paraId="490C0EFB">
      <w:pPr>
        <w:adjustRightInd w:val="0"/>
        <w:snapToGrid w:val="0"/>
        <w:spacing w:beforeLines="50" w:line="360" w:lineRule="auto"/>
        <w:jc w:val="left"/>
        <w:rPr>
          <w:rFonts w:ascii="宋体" w:hAnsi="宋体" w:cs="宋体"/>
          <w:color w:val="auto"/>
          <w:highlight w:val="none"/>
        </w:rPr>
      </w:pPr>
      <w:r>
        <w:rPr>
          <w:rFonts w:hint="eastAsia" w:ascii="宋体" w:hAnsi="宋体" w:cs="宋体"/>
          <w:b/>
          <w:bCs/>
          <w:color w:val="auto"/>
          <w:highlight w:val="none"/>
        </w:rPr>
        <w:t>8、询问</w:t>
      </w:r>
    </w:p>
    <w:p w14:paraId="0332A409">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8.1潜在投标人应仔细阅读和检查招标文件的全部内容。如有疑问，可以向采购人或者采购代理机构提出询问。</w:t>
      </w:r>
    </w:p>
    <w:p w14:paraId="23BA8CEC">
      <w:pPr>
        <w:adjustRightInd w:val="0"/>
        <w:snapToGrid w:val="0"/>
        <w:spacing w:beforeLines="50" w:line="360" w:lineRule="auto"/>
        <w:jc w:val="left"/>
        <w:rPr>
          <w:rFonts w:ascii="宋体" w:hAnsi="宋体" w:cs="宋体"/>
          <w:color w:val="auto"/>
          <w:highlight w:val="none"/>
        </w:rPr>
      </w:pPr>
      <w:r>
        <w:rPr>
          <w:rFonts w:hint="eastAsia" w:ascii="宋体" w:hAnsi="宋体" w:cs="宋体"/>
          <w:b/>
          <w:bCs/>
          <w:color w:val="auto"/>
          <w:highlight w:val="none"/>
        </w:rPr>
        <w:t>9、招标文件的澄清或者修改</w:t>
      </w:r>
    </w:p>
    <w:p w14:paraId="3833C565">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9.1采购人、采购代理机构对已发出的招标文件进行必要澄清或者修改的，将在</w:t>
      </w:r>
      <w:r>
        <w:rPr>
          <w:rFonts w:hint="eastAsia" w:ascii="宋体" w:hAnsi="宋体" w:cs="宋体"/>
          <w:b/>
          <w:bCs/>
          <w:color w:val="auto"/>
          <w:highlight w:val="none"/>
        </w:rPr>
        <w:t>【投标须知前附表】</w:t>
      </w:r>
      <w:r>
        <w:rPr>
          <w:rFonts w:hint="eastAsia" w:ascii="宋体" w:hAnsi="宋体" w:cs="宋体"/>
          <w:color w:val="auto"/>
          <w:highlight w:val="none"/>
        </w:rPr>
        <w:t>规定的招标公告指定媒体上发布澄清或者修改公告。</w:t>
      </w:r>
    </w:p>
    <w:p w14:paraId="3EFFD144">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9.2澄清或者修改的内容可能影响投标文件编制的，采购人、采购代理机构将在提交投标文件截止时间 15 日前，以书面形式通知所有获取招标文件的潜在投标人；不足 15 日的，将相应延长提交投标文件的截止时间。</w:t>
      </w:r>
    </w:p>
    <w:p w14:paraId="09425FE0">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9.3招标文件的提供期限届满后，获取招标文件的潜在投标人不足 3 家的，可以顺延提供期限，并在指定媒体上发布修改公告。</w:t>
      </w:r>
    </w:p>
    <w:p w14:paraId="01877180">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9.4通过电子招标投标交易平台下载招标文件的，请获取招标文件的潜在投标人及时关注招标公告指定媒体发布的澄清或者修改公告，采购人、采购代理机构不再书面通知。</w:t>
      </w:r>
    </w:p>
    <w:p w14:paraId="69A85160">
      <w:pPr>
        <w:pStyle w:val="6"/>
        <w:adjustRightInd w:val="0"/>
        <w:snapToGrid w:val="0"/>
        <w:spacing w:beforeLines="50" w:after="0" w:line="360" w:lineRule="auto"/>
        <w:jc w:val="center"/>
        <w:rPr>
          <w:rFonts w:ascii="宋体" w:hAnsi="宋体" w:cs="宋体"/>
          <w:color w:val="auto"/>
          <w:sz w:val="28"/>
          <w:szCs w:val="28"/>
          <w:highlight w:val="none"/>
        </w:rPr>
      </w:pPr>
      <w:bookmarkStart w:id="36" w:name="_Toc30694"/>
      <w:r>
        <w:rPr>
          <w:rFonts w:hint="eastAsia" w:ascii="宋体" w:hAnsi="宋体" w:cs="宋体"/>
          <w:color w:val="auto"/>
          <w:sz w:val="28"/>
          <w:szCs w:val="28"/>
          <w:highlight w:val="none"/>
        </w:rPr>
        <w:t>三、投标文件</w:t>
      </w:r>
      <w:bookmarkEnd w:id="36"/>
    </w:p>
    <w:p w14:paraId="189BA877">
      <w:pPr>
        <w:adjustRightInd w:val="0"/>
        <w:snapToGrid w:val="0"/>
        <w:spacing w:beforeLines="50"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10、投标语言</w:t>
      </w:r>
    </w:p>
    <w:p w14:paraId="6218EF96">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10.1除专用术语外，投标人提交的投标文件及投标人与采购人、采购代理机构就有关投标的所有来往函电均使用中文。投标人可以提交其它语言的资料，但应附有中文注释，有差异时以中文为准。</w:t>
      </w:r>
    </w:p>
    <w:p w14:paraId="1621F431">
      <w:pPr>
        <w:adjustRightInd w:val="0"/>
        <w:snapToGrid w:val="0"/>
        <w:spacing w:beforeLines="50"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11、计量单位</w:t>
      </w:r>
    </w:p>
    <w:p w14:paraId="6E1A1DCC">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11.1所有计量均采用中华人民共和国法定计量单位。</w:t>
      </w:r>
    </w:p>
    <w:p w14:paraId="06D64574">
      <w:pPr>
        <w:adjustRightInd w:val="0"/>
        <w:snapToGrid w:val="0"/>
        <w:spacing w:beforeLines="50"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12、投标文件的组成</w:t>
      </w:r>
    </w:p>
    <w:p w14:paraId="0D11DBED">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12.1投标文件由如下内容组成： </w:t>
      </w:r>
    </w:p>
    <w:p w14:paraId="22B45378">
      <w:pPr>
        <w:adjustRightInd w:val="0"/>
        <w:snapToGrid w:val="0"/>
        <w:spacing w:beforeLines="50"/>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第一部分 资格证明文件</w:t>
      </w:r>
    </w:p>
    <w:p w14:paraId="48FAB3EF">
      <w:pPr>
        <w:adjustRightInd w:val="0"/>
        <w:snapToGrid w:val="0"/>
        <w:spacing w:beforeLines="50"/>
        <w:ind w:firstLine="630" w:firstLineChars="300"/>
        <w:rPr>
          <w:rFonts w:ascii="宋体" w:hAnsi="宋体" w:cs="宋体"/>
          <w:color w:val="auto"/>
          <w:szCs w:val="21"/>
          <w:highlight w:val="none"/>
        </w:rPr>
      </w:pPr>
      <w:r>
        <w:rPr>
          <w:rFonts w:hint="eastAsia" w:ascii="宋体" w:hAnsi="宋体" w:cs="宋体"/>
          <w:color w:val="auto"/>
          <w:szCs w:val="21"/>
          <w:highlight w:val="none"/>
        </w:rPr>
        <w:t>资格证明文件封面</w:t>
      </w:r>
    </w:p>
    <w:p w14:paraId="0CEAD307">
      <w:pPr>
        <w:adjustRightInd w:val="0"/>
        <w:snapToGrid w:val="0"/>
        <w:spacing w:beforeLines="50"/>
        <w:ind w:firstLine="630" w:firstLineChars="300"/>
        <w:rPr>
          <w:rFonts w:ascii="宋体" w:hAnsi="宋体" w:cs="宋体"/>
          <w:color w:val="auto"/>
          <w:szCs w:val="21"/>
          <w:highlight w:val="none"/>
        </w:rPr>
      </w:pPr>
      <w:r>
        <w:rPr>
          <w:rFonts w:hint="eastAsia" w:ascii="宋体" w:hAnsi="宋体" w:cs="宋体"/>
          <w:color w:val="auto"/>
          <w:szCs w:val="21"/>
          <w:highlight w:val="none"/>
        </w:rPr>
        <w:t>一、资格证明材料</w:t>
      </w:r>
    </w:p>
    <w:p w14:paraId="73B256CD">
      <w:pPr>
        <w:adjustRightInd w:val="0"/>
        <w:snapToGrid w:val="0"/>
        <w:spacing w:beforeLines="50"/>
        <w:ind w:firstLine="630" w:firstLineChars="300"/>
        <w:rPr>
          <w:rFonts w:ascii="宋体" w:hAnsi="宋体" w:cs="宋体"/>
          <w:color w:val="auto"/>
          <w:szCs w:val="21"/>
          <w:highlight w:val="none"/>
        </w:rPr>
      </w:pPr>
      <w:r>
        <w:rPr>
          <w:rFonts w:hint="eastAsia" w:ascii="宋体" w:hAnsi="宋体" w:cs="宋体"/>
          <w:color w:val="auto"/>
          <w:szCs w:val="21"/>
          <w:highlight w:val="none"/>
        </w:rPr>
        <w:t>（一）开标一览表</w:t>
      </w:r>
    </w:p>
    <w:p w14:paraId="02EDE7C9">
      <w:pPr>
        <w:adjustRightInd w:val="0"/>
        <w:snapToGrid w:val="0"/>
        <w:spacing w:beforeLines="50"/>
        <w:ind w:firstLine="630" w:firstLineChars="300"/>
        <w:rPr>
          <w:rFonts w:ascii="宋体" w:hAnsi="宋体" w:cs="宋体"/>
          <w:color w:val="auto"/>
          <w:szCs w:val="21"/>
          <w:highlight w:val="none"/>
        </w:rPr>
      </w:pPr>
      <w:r>
        <w:rPr>
          <w:rFonts w:hint="eastAsia" w:ascii="宋体" w:hAnsi="宋体" w:cs="宋体"/>
          <w:color w:val="auto"/>
          <w:szCs w:val="21"/>
          <w:highlight w:val="none"/>
        </w:rPr>
        <w:t>（二）投标保证金</w:t>
      </w:r>
    </w:p>
    <w:p w14:paraId="0D327099">
      <w:pPr>
        <w:adjustRightInd w:val="0"/>
        <w:snapToGrid w:val="0"/>
        <w:spacing w:beforeLines="50"/>
        <w:ind w:firstLine="630" w:firstLineChars="300"/>
        <w:rPr>
          <w:rFonts w:ascii="宋体" w:hAnsi="宋体" w:cs="宋体"/>
          <w:color w:val="auto"/>
          <w:szCs w:val="21"/>
          <w:highlight w:val="none"/>
        </w:rPr>
      </w:pPr>
      <w:r>
        <w:rPr>
          <w:rFonts w:hint="eastAsia" w:ascii="宋体" w:hAnsi="宋体" w:cs="宋体"/>
          <w:color w:val="auto"/>
          <w:szCs w:val="21"/>
          <w:highlight w:val="none"/>
        </w:rPr>
        <w:t>（三）法定代表人（单位负责人）身份证明或授权委托书</w:t>
      </w:r>
    </w:p>
    <w:p w14:paraId="54704A93">
      <w:pPr>
        <w:adjustRightInd w:val="0"/>
        <w:snapToGrid w:val="0"/>
        <w:spacing w:beforeLines="50"/>
        <w:ind w:firstLine="630" w:firstLineChars="300"/>
        <w:rPr>
          <w:rFonts w:ascii="宋体" w:hAnsi="宋体" w:cs="宋体"/>
          <w:color w:val="auto"/>
          <w:szCs w:val="21"/>
          <w:highlight w:val="none"/>
        </w:rPr>
      </w:pPr>
      <w:r>
        <w:rPr>
          <w:rFonts w:hint="eastAsia" w:ascii="宋体" w:hAnsi="宋体" w:cs="宋体"/>
          <w:color w:val="auto"/>
          <w:szCs w:val="21"/>
          <w:highlight w:val="none"/>
        </w:rPr>
        <w:t>（四）投标人具备投标资格的证明文件</w:t>
      </w:r>
    </w:p>
    <w:p w14:paraId="2088FD5A">
      <w:pPr>
        <w:adjustRightInd w:val="0"/>
        <w:snapToGrid w:val="0"/>
        <w:spacing w:beforeLines="50"/>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第二部分 商务文件</w:t>
      </w:r>
    </w:p>
    <w:p w14:paraId="43B7341A">
      <w:pPr>
        <w:adjustRightInd w:val="0"/>
        <w:snapToGrid w:val="0"/>
        <w:spacing w:beforeLines="50"/>
        <w:ind w:firstLine="630" w:firstLineChars="300"/>
        <w:rPr>
          <w:rFonts w:ascii="宋体" w:hAnsi="宋体" w:cs="宋体"/>
          <w:color w:val="auto"/>
          <w:szCs w:val="21"/>
          <w:highlight w:val="none"/>
        </w:rPr>
      </w:pPr>
      <w:r>
        <w:rPr>
          <w:rFonts w:hint="eastAsia" w:ascii="宋体" w:hAnsi="宋体" w:cs="宋体"/>
          <w:color w:val="auto"/>
          <w:szCs w:val="21"/>
          <w:highlight w:val="none"/>
        </w:rPr>
        <w:t>商务文件封面</w:t>
      </w:r>
    </w:p>
    <w:p w14:paraId="7D6B6DB4">
      <w:pPr>
        <w:adjustRightInd w:val="0"/>
        <w:snapToGrid w:val="0"/>
        <w:spacing w:beforeLines="50"/>
        <w:ind w:firstLine="630" w:firstLineChars="300"/>
        <w:rPr>
          <w:rFonts w:ascii="宋体" w:hAnsi="宋体" w:cs="宋体"/>
          <w:color w:val="auto"/>
          <w:szCs w:val="21"/>
          <w:highlight w:val="none"/>
        </w:rPr>
      </w:pPr>
      <w:r>
        <w:rPr>
          <w:rFonts w:hint="eastAsia" w:ascii="宋体" w:hAnsi="宋体" w:cs="宋体"/>
          <w:color w:val="auto"/>
          <w:szCs w:val="21"/>
          <w:highlight w:val="none"/>
        </w:rPr>
        <w:t>二、投标函</w:t>
      </w:r>
    </w:p>
    <w:p w14:paraId="506DB48F">
      <w:pPr>
        <w:adjustRightInd w:val="0"/>
        <w:snapToGrid w:val="0"/>
        <w:spacing w:beforeLines="50"/>
        <w:ind w:firstLine="630" w:firstLineChars="300"/>
        <w:rPr>
          <w:rFonts w:ascii="宋体" w:hAnsi="宋体" w:cs="宋体"/>
          <w:color w:val="auto"/>
          <w:szCs w:val="21"/>
          <w:highlight w:val="none"/>
        </w:rPr>
      </w:pPr>
      <w:r>
        <w:rPr>
          <w:rFonts w:hint="eastAsia" w:ascii="宋体" w:hAnsi="宋体" w:cs="宋体"/>
          <w:color w:val="auto"/>
          <w:szCs w:val="21"/>
          <w:highlight w:val="none"/>
        </w:rPr>
        <w:t>三、开标一览表</w:t>
      </w:r>
    </w:p>
    <w:p w14:paraId="1817F207">
      <w:pPr>
        <w:adjustRightInd w:val="0"/>
        <w:snapToGrid w:val="0"/>
        <w:spacing w:beforeLines="50"/>
        <w:ind w:firstLine="630" w:firstLineChars="300"/>
        <w:rPr>
          <w:rFonts w:ascii="宋体" w:hAnsi="宋体" w:cs="宋体"/>
          <w:color w:val="auto"/>
          <w:szCs w:val="21"/>
          <w:highlight w:val="none"/>
        </w:rPr>
      </w:pPr>
      <w:r>
        <w:rPr>
          <w:rFonts w:hint="eastAsia" w:ascii="宋体" w:hAnsi="宋体" w:cs="宋体"/>
          <w:color w:val="auto"/>
          <w:szCs w:val="21"/>
          <w:highlight w:val="none"/>
        </w:rPr>
        <w:t>四、分项价格表</w:t>
      </w:r>
    </w:p>
    <w:p w14:paraId="133B01F7">
      <w:pPr>
        <w:adjustRightInd w:val="0"/>
        <w:snapToGrid w:val="0"/>
        <w:spacing w:beforeLines="50"/>
        <w:ind w:firstLine="630" w:firstLineChars="300"/>
        <w:rPr>
          <w:rFonts w:ascii="宋体" w:hAnsi="宋体" w:cs="宋体"/>
          <w:color w:val="auto"/>
          <w:szCs w:val="21"/>
          <w:highlight w:val="none"/>
        </w:rPr>
      </w:pPr>
      <w:r>
        <w:rPr>
          <w:rFonts w:hint="eastAsia" w:ascii="宋体" w:hAnsi="宋体" w:cs="宋体"/>
          <w:color w:val="auto"/>
          <w:szCs w:val="21"/>
          <w:highlight w:val="none"/>
        </w:rPr>
        <w:t>五、</w:t>
      </w:r>
      <w:r>
        <w:rPr>
          <w:rFonts w:hint="eastAsia" w:ascii="宋体" w:hAnsi="宋体" w:eastAsia="宋体" w:cs="宋体"/>
          <w:color w:val="auto"/>
          <w:szCs w:val="21"/>
          <w:highlight w:val="none"/>
        </w:rPr>
        <w:t>享受政府采购政策优惠的证明资料</w:t>
      </w:r>
    </w:p>
    <w:p w14:paraId="2C6836F8">
      <w:pPr>
        <w:adjustRightInd w:val="0"/>
        <w:snapToGrid w:val="0"/>
        <w:spacing w:beforeLines="50"/>
        <w:ind w:firstLine="630" w:firstLineChars="300"/>
        <w:rPr>
          <w:rFonts w:hint="eastAsia" w:ascii="宋体" w:hAnsi="宋体" w:cs="宋体"/>
          <w:color w:val="auto"/>
          <w:szCs w:val="21"/>
          <w:highlight w:val="none"/>
          <w:lang w:eastAsia="zh-CN"/>
        </w:rPr>
      </w:pPr>
      <w:r>
        <w:rPr>
          <w:rFonts w:hint="eastAsia" w:ascii="宋体" w:hAnsi="宋体" w:eastAsia="宋体" w:cs="宋体"/>
          <w:color w:val="auto"/>
          <w:szCs w:val="21"/>
          <w:highlight w:val="none"/>
          <w:lang w:eastAsia="zh-CN"/>
        </w:rPr>
        <w:t>六</w:t>
      </w:r>
      <w:r>
        <w:rPr>
          <w:rFonts w:hint="eastAsia" w:ascii="宋体" w:hAnsi="宋体" w:cs="宋体"/>
          <w:color w:val="auto"/>
          <w:szCs w:val="21"/>
          <w:highlight w:val="none"/>
          <w:lang w:eastAsia="zh-CN"/>
        </w:rPr>
        <w:t>、人员配备</w:t>
      </w:r>
    </w:p>
    <w:p w14:paraId="31F650F2">
      <w:pPr>
        <w:adjustRightInd w:val="0"/>
        <w:snapToGrid w:val="0"/>
        <w:spacing w:beforeLines="50"/>
        <w:ind w:firstLine="630" w:firstLineChars="300"/>
        <w:rPr>
          <w:rFonts w:hint="eastAsia" w:ascii="宋体" w:hAnsi="宋体" w:cs="宋体"/>
          <w:color w:val="auto"/>
          <w:szCs w:val="21"/>
          <w:highlight w:val="none"/>
          <w:lang w:eastAsia="zh-CN"/>
        </w:rPr>
      </w:pPr>
      <w:r>
        <w:rPr>
          <w:rFonts w:hint="eastAsia" w:ascii="宋体" w:hAnsi="宋体" w:eastAsia="宋体" w:cs="宋体"/>
          <w:color w:val="auto"/>
          <w:szCs w:val="21"/>
          <w:highlight w:val="none"/>
          <w:lang w:eastAsia="zh-CN"/>
        </w:rPr>
        <w:t>七</w:t>
      </w:r>
      <w:r>
        <w:rPr>
          <w:rFonts w:hint="eastAsia" w:ascii="宋体" w:hAnsi="宋体" w:cs="宋体"/>
          <w:color w:val="auto"/>
          <w:szCs w:val="21"/>
          <w:highlight w:val="none"/>
          <w:lang w:eastAsia="zh-CN"/>
        </w:rPr>
        <w:t>、企业认证</w:t>
      </w:r>
    </w:p>
    <w:p w14:paraId="0A3D2081">
      <w:pPr>
        <w:adjustRightInd w:val="0"/>
        <w:snapToGrid w:val="0"/>
        <w:spacing w:beforeLines="50"/>
        <w:ind w:firstLine="630" w:firstLineChars="300"/>
        <w:rPr>
          <w:rFonts w:hint="eastAsia" w:ascii="宋体" w:hAnsi="宋体" w:cs="宋体"/>
          <w:color w:val="auto"/>
          <w:szCs w:val="21"/>
          <w:highlight w:val="none"/>
          <w:lang w:eastAsia="zh-CN"/>
        </w:rPr>
      </w:pPr>
      <w:r>
        <w:rPr>
          <w:rFonts w:hint="eastAsia" w:ascii="宋体" w:hAnsi="宋体" w:eastAsia="宋体" w:cs="宋体"/>
          <w:color w:val="auto"/>
          <w:szCs w:val="21"/>
          <w:highlight w:val="none"/>
          <w:lang w:eastAsia="zh-CN"/>
        </w:rPr>
        <w:t>八</w:t>
      </w:r>
      <w:r>
        <w:rPr>
          <w:rFonts w:hint="eastAsia" w:ascii="宋体" w:hAnsi="宋体" w:cs="宋体"/>
          <w:color w:val="auto"/>
          <w:szCs w:val="21"/>
          <w:highlight w:val="none"/>
          <w:lang w:eastAsia="zh-CN"/>
        </w:rPr>
        <w:t>、服务响应</w:t>
      </w:r>
    </w:p>
    <w:p w14:paraId="7AF147FD">
      <w:pPr>
        <w:adjustRightInd w:val="0"/>
        <w:snapToGrid w:val="0"/>
        <w:spacing w:beforeLines="50"/>
        <w:ind w:firstLine="630" w:firstLineChars="300"/>
        <w:rPr>
          <w:rFonts w:ascii="宋体" w:hAnsi="宋体" w:cs="宋体"/>
          <w:color w:val="auto"/>
          <w:szCs w:val="21"/>
          <w:highlight w:val="none"/>
        </w:rPr>
      </w:pPr>
      <w:r>
        <w:rPr>
          <w:rFonts w:hint="eastAsia" w:ascii="宋体" w:hAnsi="宋体" w:eastAsia="宋体" w:cs="宋体"/>
          <w:color w:val="auto"/>
          <w:szCs w:val="21"/>
          <w:highlight w:val="none"/>
          <w:lang w:eastAsia="zh-CN"/>
        </w:rPr>
        <w:t>九</w:t>
      </w:r>
      <w:r>
        <w:rPr>
          <w:rFonts w:hint="eastAsia" w:ascii="宋体" w:hAnsi="宋体" w:cs="宋体"/>
          <w:color w:val="auto"/>
          <w:szCs w:val="21"/>
          <w:highlight w:val="none"/>
          <w:lang w:eastAsia="zh-CN"/>
        </w:rPr>
        <w:t>、类似业绩</w:t>
      </w:r>
    </w:p>
    <w:p w14:paraId="4BA4A802">
      <w:pPr>
        <w:adjustRightInd w:val="0"/>
        <w:snapToGrid w:val="0"/>
        <w:spacing w:beforeLines="50"/>
        <w:ind w:firstLine="630" w:firstLineChars="300"/>
        <w:rPr>
          <w:rFonts w:ascii="宋体" w:hAnsi="宋体" w:cs="宋体"/>
          <w:color w:val="auto"/>
          <w:szCs w:val="21"/>
          <w:highlight w:val="none"/>
        </w:rPr>
      </w:pPr>
      <w:r>
        <w:rPr>
          <w:rFonts w:hint="eastAsia" w:ascii="宋体" w:hAnsi="宋体" w:eastAsia="宋体" w:cs="宋体"/>
          <w:color w:val="auto"/>
          <w:szCs w:val="21"/>
          <w:highlight w:val="none"/>
          <w:lang w:eastAsia="zh-CN"/>
        </w:rPr>
        <w:t>十</w:t>
      </w:r>
      <w:r>
        <w:rPr>
          <w:rFonts w:hint="eastAsia" w:ascii="宋体" w:hAnsi="宋体" w:cs="宋体"/>
          <w:color w:val="auto"/>
          <w:szCs w:val="21"/>
          <w:highlight w:val="none"/>
        </w:rPr>
        <w:t>、投标人认为需要提供的其他资料</w:t>
      </w:r>
    </w:p>
    <w:p w14:paraId="2912D997">
      <w:pPr>
        <w:adjustRightInd w:val="0"/>
        <w:snapToGrid w:val="0"/>
        <w:spacing w:beforeLines="50"/>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第三部分 技术文件</w:t>
      </w:r>
    </w:p>
    <w:p w14:paraId="3A914F3F">
      <w:pPr>
        <w:adjustRightInd w:val="0"/>
        <w:snapToGrid w:val="0"/>
        <w:spacing w:beforeLines="50"/>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技术文件封面</w:t>
      </w:r>
    </w:p>
    <w:p w14:paraId="1412EA30">
      <w:pPr>
        <w:adjustRightInd w:val="0"/>
        <w:snapToGrid w:val="0"/>
        <w:spacing w:beforeLines="50"/>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十一</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采购需求响应</w:t>
      </w:r>
    </w:p>
    <w:p w14:paraId="743B0931">
      <w:pPr>
        <w:adjustRightInd w:val="0"/>
        <w:snapToGrid w:val="0"/>
        <w:spacing w:beforeLines="50"/>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十二、整体服务方案</w:t>
      </w:r>
    </w:p>
    <w:p w14:paraId="3C37CAD8">
      <w:pPr>
        <w:adjustRightInd w:val="0"/>
        <w:snapToGrid w:val="0"/>
        <w:spacing w:beforeLines="50"/>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十三、卫生保洁服务方案</w:t>
      </w:r>
    </w:p>
    <w:p w14:paraId="5C1CFA81">
      <w:pPr>
        <w:adjustRightInd w:val="0"/>
        <w:snapToGrid w:val="0"/>
        <w:spacing w:beforeLines="50"/>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十四、秩序维护管理方案</w:t>
      </w:r>
    </w:p>
    <w:p w14:paraId="759026AF">
      <w:pPr>
        <w:adjustRightInd w:val="0"/>
        <w:snapToGrid w:val="0"/>
        <w:spacing w:beforeLines="50"/>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十五、设备运行维护方案</w:t>
      </w:r>
    </w:p>
    <w:p w14:paraId="418D7C0E">
      <w:pPr>
        <w:adjustRightInd w:val="0"/>
        <w:snapToGrid w:val="0"/>
        <w:spacing w:beforeLines="50"/>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十六、宿舍管理服务方案</w:t>
      </w:r>
    </w:p>
    <w:p w14:paraId="7E801F96">
      <w:pPr>
        <w:adjustRightInd w:val="0"/>
        <w:snapToGrid w:val="0"/>
        <w:spacing w:beforeLines="50"/>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十七、会务服务方案</w:t>
      </w:r>
    </w:p>
    <w:p w14:paraId="44E47557">
      <w:pPr>
        <w:adjustRightInd w:val="0"/>
        <w:snapToGrid w:val="0"/>
        <w:spacing w:beforeLines="50"/>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十八、应急管理方案</w:t>
      </w:r>
    </w:p>
    <w:p w14:paraId="034A0BA9">
      <w:pPr>
        <w:adjustRightInd w:val="0"/>
        <w:snapToGrid w:val="0"/>
        <w:spacing w:beforeLines="50"/>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十</w:t>
      </w:r>
      <w:r>
        <w:rPr>
          <w:rFonts w:hint="eastAsia" w:ascii="宋体" w:hAnsi="宋体" w:cs="宋体"/>
          <w:color w:val="auto"/>
          <w:szCs w:val="21"/>
          <w:highlight w:val="none"/>
          <w:lang w:eastAsia="zh-CN"/>
        </w:rPr>
        <w:t>九</w:t>
      </w:r>
      <w:r>
        <w:rPr>
          <w:rFonts w:hint="eastAsia" w:ascii="宋体" w:hAnsi="宋体" w:eastAsia="宋体" w:cs="宋体"/>
          <w:color w:val="auto"/>
          <w:szCs w:val="21"/>
          <w:highlight w:val="none"/>
          <w:lang w:eastAsia="zh-CN"/>
        </w:rPr>
        <w:t>、节能管理服务</w:t>
      </w:r>
    </w:p>
    <w:p w14:paraId="3574061F">
      <w:pPr>
        <w:adjustRightInd w:val="0"/>
        <w:snapToGrid w:val="0"/>
        <w:spacing w:before="156" w:beforeLines="5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12.2</w:t>
      </w:r>
      <w:r>
        <w:rPr>
          <w:rFonts w:hint="eastAsia" w:ascii="宋体" w:hAnsi="宋体" w:eastAsia="宋体" w:cs="宋体"/>
          <w:color w:val="auto"/>
          <w:szCs w:val="21"/>
          <w:highlight w:val="none"/>
        </w:rPr>
        <w:t>投标人可以编制资格审查索引表、符合性审查索引表、评审索引表，以方便</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、采购代理机构、评标委员会在资格审查及评审时查阅。</w:t>
      </w:r>
    </w:p>
    <w:p w14:paraId="1EFF4F22">
      <w:pPr>
        <w:adjustRightInd w:val="0"/>
        <w:snapToGrid w:val="0"/>
        <w:spacing w:before="156" w:beforeLines="50"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r>
        <w:rPr>
          <w:rFonts w:hint="default" w:ascii="宋体" w:hAnsi="宋体" w:eastAsia="宋体" w:cs="宋体"/>
          <w:color w:val="auto"/>
          <w:szCs w:val="21"/>
          <w:highlight w:val="none"/>
          <w:lang w:eastAsia="zh-CN"/>
        </w:rPr>
        <w:t>3</w:t>
      </w:r>
      <w:r>
        <w:rPr>
          <w:rFonts w:hint="eastAsia" w:ascii="宋体" w:hAnsi="宋体" w:eastAsia="宋体" w:cs="宋体"/>
          <w:color w:val="auto"/>
          <w:szCs w:val="21"/>
          <w:highlight w:val="none"/>
          <w:lang w:val="en-US" w:eastAsia="zh-CN"/>
        </w:rPr>
        <w:t>投标人应按照电子招标文件格式及投标工具编制资格证明文件，不得将其编制到商务和技术文件中。否则，由于编制失误所产生的后果，由投标人自行承担。</w:t>
      </w:r>
    </w:p>
    <w:p w14:paraId="76A6BF6D">
      <w:pPr>
        <w:adjustRightInd w:val="0"/>
        <w:snapToGrid w:val="0"/>
        <w:spacing w:before="156" w:beforeLines="50"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r>
        <w:rPr>
          <w:rFonts w:hint="default"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en-US" w:eastAsia="zh-CN"/>
        </w:rPr>
        <w:t>根据《政府采购法》第四十二条的规定，投标人无论中标与否，其投标文件不予退还。</w:t>
      </w:r>
    </w:p>
    <w:p w14:paraId="16BF70D6">
      <w:pPr>
        <w:adjustRightInd w:val="0"/>
        <w:snapToGrid w:val="0"/>
        <w:spacing w:beforeLines="50"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13、投标报价</w:t>
      </w:r>
    </w:p>
    <w:p w14:paraId="37A0A7CB">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投标人应以招标文件规定的供货及服务要求、责任范围和合同条件为基础，按第七章“投标文件的组成”的有关规定进行报价。投标人的报价应包括为完成本项目所要求的全部内容可能发生的全部费用和税费、规费、保险费（如果有）等，采购人将不再支付报价以外的任何费用。</w:t>
      </w:r>
    </w:p>
    <w:p w14:paraId="7D098920">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13.2投标人的投标报价不得超过采购预算，也不得超过最高限价(如果设定)，否则其</w:t>
      </w:r>
      <w:r>
        <w:rPr>
          <w:rFonts w:hint="eastAsia" w:ascii="宋体" w:hAnsi="宋体" w:cs="宋体"/>
          <w:b/>
          <w:bCs/>
          <w:color w:val="auto"/>
          <w:szCs w:val="21"/>
          <w:highlight w:val="none"/>
        </w:rPr>
        <w:t>投标无效</w:t>
      </w:r>
      <w:r>
        <w:rPr>
          <w:rFonts w:hint="eastAsia" w:ascii="宋体" w:hAnsi="宋体" w:cs="宋体"/>
          <w:color w:val="auto"/>
          <w:szCs w:val="21"/>
          <w:highlight w:val="none"/>
        </w:rPr>
        <w:t>。采购项目预算、最高限价见</w:t>
      </w:r>
      <w:r>
        <w:rPr>
          <w:rFonts w:hint="eastAsia" w:ascii="宋体" w:hAnsi="宋体" w:cs="宋体"/>
          <w:b/>
          <w:bCs/>
          <w:color w:val="auto"/>
          <w:szCs w:val="21"/>
          <w:highlight w:val="none"/>
        </w:rPr>
        <w:t>【投标须知前附表】</w:t>
      </w:r>
      <w:r>
        <w:rPr>
          <w:rFonts w:hint="eastAsia" w:ascii="宋体" w:hAnsi="宋体" w:cs="宋体"/>
          <w:color w:val="auto"/>
          <w:szCs w:val="21"/>
          <w:highlight w:val="none"/>
        </w:rPr>
        <w:t>。</w:t>
      </w:r>
    </w:p>
    <w:p w14:paraId="3D548016">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13.3投标人应在分项报价明细表中对每项内容给予详细分项报价。</w:t>
      </w:r>
    </w:p>
    <w:p w14:paraId="039415F1">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13.4投标人对采购项目内容只允许有一个投标报价，否则其</w:t>
      </w:r>
      <w:r>
        <w:rPr>
          <w:rFonts w:hint="eastAsia" w:ascii="宋体" w:hAnsi="宋体" w:cs="宋体"/>
          <w:b/>
          <w:bCs/>
          <w:color w:val="auto"/>
          <w:szCs w:val="21"/>
          <w:highlight w:val="none"/>
        </w:rPr>
        <w:t>投标无效</w:t>
      </w:r>
      <w:r>
        <w:rPr>
          <w:rFonts w:hint="eastAsia" w:ascii="宋体" w:hAnsi="宋体" w:cs="宋体"/>
          <w:color w:val="auto"/>
          <w:szCs w:val="21"/>
          <w:highlight w:val="none"/>
        </w:rPr>
        <w:t>。</w:t>
      </w:r>
    </w:p>
    <w:p w14:paraId="38B0CB91">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13.5采购人不接受投标人给予的赠品、回扣或者与采购无关的其他商品、服务。如有赠与行为，其</w:t>
      </w:r>
      <w:r>
        <w:rPr>
          <w:rFonts w:hint="eastAsia" w:ascii="宋体" w:hAnsi="宋体" w:cs="宋体"/>
          <w:b/>
          <w:bCs/>
          <w:color w:val="auto"/>
          <w:szCs w:val="21"/>
          <w:highlight w:val="none"/>
        </w:rPr>
        <w:t>投标无效</w:t>
      </w:r>
      <w:r>
        <w:rPr>
          <w:rFonts w:hint="eastAsia" w:ascii="宋体" w:hAnsi="宋体" w:cs="宋体"/>
          <w:color w:val="auto"/>
          <w:szCs w:val="21"/>
          <w:highlight w:val="none"/>
        </w:rPr>
        <w:t>。</w:t>
      </w:r>
    </w:p>
    <w:p w14:paraId="5E38D9AC">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13.6投标文件中标明的价格在合同执行过程中是固定不变的，不得以任何理由予以变更。任何包含价格调整要求和条件的投标，其</w:t>
      </w:r>
      <w:r>
        <w:rPr>
          <w:rFonts w:hint="eastAsia" w:ascii="宋体" w:hAnsi="宋体" w:cs="宋体"/>
          <w:b/>
          <w:bCs/>
          <w:color w:val="auto"/>
          <w:szCs w:val="21"/>
          <w:highlight w:val="none"/>
        </w:rPr>
        <w:t>投标无效</w:t>
      </w:r>
      <w:r>
        <w:rPr>
          <w:rFonts w:hint="eastAsia" w:ascii="宋体" w:hAnsi="宋体" w:cs="宋体"/>
          <w:color w:val="auto"/>
          <w:szCs w:val="21"/>
          <w:highlight w:val="none"/>
        </w:rPr>
        <w:t>。</w:t>
      </w:r>
    </w:p>
    <w:p w14:paraId="02500877">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13.7投标人在投标截止时间前修改“开标一览表”中的投标报价的，应同时修改投标文件“分项报价明细表”“享受政府采购政策优惠的证明资料”以及“联合体协议书”（如果影响）等相关内容。此修改须符合本章第 22.1 款的有关要求。</w:t>
      </w:r>
    </w:p>
    <w:p w14:paraId="0CB523B5">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13.8投标报价的其他要求见</w:t>
      </w:r>
      <w:r>
        <w:rPr>
          <w:rFonts w:hint="eastAsia" w:ascii="宋体" w:hAnsi="宋体" w:cs="宋体"/>
          <w:b/>
          <w:bCs/>
          <w:color w:val="auto"/>
          <w:szCs w:val="21"/>
          <w:highlight w:val="none"/>
        </w:rPr>
        <w:t>【投标须知前附表】</w:t>
      </w:r>
      <w:r>
        <w:rPr>
          <w:rFonts w:hint="eastAsia" w:ascii="宋体" w:hAnsi="宋体" w:cs="宋体"/>
          <w:color w:val="auto"/>
          <w:szCs w:val="21"/>
          <w:highlight w:val="none"/>
        </w:rPr>
        <w:t>。</w:t>
      </w:r>
    </w:p>
    <w:p w14:paraId="38E6E0CA">
      <w:pPr>
        <w:adjustRightInd w:val="0"/>
        <w:snapToGrid w:val="0"/>
        <w:spacing w:beforeLines="50"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14、投标人的资格证明文件</w:t>
      </w:r>
    </w:p>
    <w:p w14:paraId="1192748E">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14.1除</w:t>
      </w:r>
      <w:r>
        <w:rPr>
          <w:rFonts w:hint="eastAsia" w:ascii="宋体" w:hAnsi="宋体" w:cs="宋体"/>
          <w:b/>
          <w:bCs/>
          <w:color w:val="auto"/>
          <w:szCs w:val="21"/>
          <w:highlight w:val="none"/>
        </w:rPr>
        <w:t>【投标须知前附表】</w:t>
      </w:r>
      <w:r>
        <w:rPr>
          <w:rFonts w:hint="eastAsia" w:ascii="宋体" w:hAnsi="宋体" w:cs="宋体"/>
          <w:color w:val="auto"/>
          <w:szCs w:val="21"/>
          <w:highlight w:val="none"/>
        </w:rPr>
        <w:t>另有规定外，投标人应按下列规定提供资格证明文件。</w:t>
      </w:r>
    </w:p>
    <w:p w14:paraId="3B800BBA">
      <w:pPr>
        <w:adjustRightInd w:val="0"/>
        <w:snapToGrid w:val="0"/>
        <w:spacing w:beforeLines="50" w:line="360" w:lineRule="auto"/>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（1）法人或者其他组织的营业执照等主体资格证明文件，自然人的身份证明</w:t>
      </w:r>
      <w:r>
        <w:rPr>
          <w:rFonts w:hint="eastAsia" w:ascii="宋体" w:hAnsi="宋体" w:cs="宋体"/>
          <w:color w:val="auto"/>
          <w:szCs w:val="21"/>
          <w:highlight w:val="none"/>
        </w:rPr>
        <w:t>：投标人为法人的，应提交营业执照或法人登记证书的复印件；投标人为非法人组织的，应提交依法登记证书复印件；投标人为个体工商户的，应提交个体工商户营业执照复印件；投标人为自然人的，应提交自然人的身份证明复印件。</w:t>
      </w:r>
    </w:p>
    <w:p w14:paraId="65C6A38C">
      <w:pPr>
        <w:adjustRightInd w:val="0"/>
        <w:snapToGrid w:val="0"/>
        <w:spacing w:beforeLines="50" w:line="360" w:lineRule="auto"/>
        <w:ind w:firstLine="422" w:firstLineChars="200"/>
        <w:jc w:val="left"/>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（2）</w:t>
      </w:r>
      <w:r>
        <w:rPr>
          <w:rFonts w:hint="eastAsia" w:ascii="宋体" w:hAnsi="宋体" w:cs="宋体"/>
          <w:b/>
          <w:bCs/>
          <w:color w:val="auto"/>
          <w:szCs w:val="21"/>
          <w:highlight w:val="none"/>
          <w:lang w:eastAsia="zh-CN"/>
        </w:rPr>
        <w:t>湖南省政府采购供应商资格承诺函（格式）</w:t>
      </w:r>
    </w:p>
    <w:p w14:paraId="00A76638">
      <w:pPr>
        <w:adjustRightInd w:val="0"/>
        <w:snapToGrid w:val="0"/>
        <w:spacing w:beforeLines="50" w:line="360" w:lineRule="auto"/>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符合特定资格条件证明材料复印件或者情况说明原件</w:t>
      </w:r>
      <w:r>
        <w:rPr>
          <w:rFonts w:hint="eastAsia" w:ascii="宋体" w:hAnsi="宋体" w:cs="宋体"/>
          <w:color w:val="auto"/>
          <w:szCs w:val="21"/>
          <w:highlight w:val="none"/>
        </w:rPr>
        <w:t>。</w:t>
      </w:r>
    </w:p>
    <w:p w14:paraId="11188B57">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14.2投标人以联合体形式投标的，除应提交联合协议(格式)外，参加联合体的各方均应提交上款资格证明材料。</w:t>
      </w:r>
    </w:p>
    <w:p w14:paraId="383AB15A">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14.3投标人的资格证明文件均应为有效文件并加盖投标人单位章，并按招标文件规定签署。</w:t>
      </w:r>
    </w:p>
    <w:p w14:paraId="060839E1">
      <w:pPr>
        <w:adjustRightInd w:val="0"/>
        <w:snapToGrid w:val="0"/>
        <w:spacing w:beforeLines="50"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15、投标标的及服务符合招标文件规定的证明文件</w:t>
      </w:r>
    </w:p>
    <w:p w14:paraId="1733FAF3">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15.1投标人应当提交其拟供的合同项下标的及其服务符合招标文件规定的证明文件，该证明文件作为投标文件的一部分。</w:t>
      </w:r>
    </w:p>
    <w:p w14:paraId="09F95116">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15.2上述证明文件可以是文字资料、图表、数据、证书等资料，包括但不限于：</w:t>
      </w:r>
    </w:p>
    <w:p w14:paraId="460B8970">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（1）服务方案的详细说明，对有具体服务要求的指标，投标人应提供具体服务承诺；</w:t>
      </w:r>
    </w:p>
    <w:p w14:paraId="6FB3B6B2">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（2）招标文件第五章“采购需求”要求的其它文件。</w:t>
      </w:r>
    </w:p>
    <w:p w14:paraId="2245CF72">
      <w:pPr>
        <w:adjustRightInd w:val="0"/>
        <w:snapToGrid w:val="0"/>
        <w:spacing w:beforeLines="50"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16、投标有效期</w:t>
      </w:r>
    </w:p>
    <w:p w14:paraId="2B18064A">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16.1投标有效期从提交投标文件的截止之日起算。投标文件中承诺的投标有效期应当不少于</w:t>
      </w:r>
      <w:r>
        <w:rPr>
          <w:rFonts w:hint="eastAsia" w:ascii="宋体" w:hAnsi="宋体" w:cs="宋体"/>
          <w:b/>
          <w:bCs/>
          <w:color w:val="auto"/>
          <w:szCs w:val="21"/>
          <w:highlight w:val="none"/>
        </w:rPr>
        <w:t>【投标须知前附表】</w:t>
      </w:r>
      <w:r>
        <w:rPr>
          <w:rFonts w:hint="eastAsia" w:ascii="宋体" w:hAnsi="宋体" w:cs="宋体"/>
          <w:color w:val="auto"/>
          <w:szCs w:val="21"/>
          <w:highlight w:val="none"/>
        </w:rPr>
        <w:t>中载明的投标有效期。投标有效期不满足要求的，其</w:t>
      </w:r>
      <w:r>
        <w:rPr>
          <w:rFonts w:hint="eastAsia" w:ascii="宋体" w:hAnsi="宋体" w:cs="宋体"/>
          <w:b/>
          <w:bCs/>
          <w:color w:val="auto"/>
          <w:szCs w:val="21"/>
          <w:highlight w:val="none"/>
        </w:rPr>
        <w:t>投标无效</w:t>
      </w:r>
      <w:r>
        <w:rPr>
          <w:rFonts w:hint="eastAsia" w:ascii="宋体" w:hAnsi="宋体" w:cs="宋体"/>
          <w:color w:val="auto"/>
          <w:szCs w:val="21"/>
          <w:highlight w:val="none"/>
        </w:rPr>
        <w:t>。</w:t>
      </w:r>
    </w:p>
    <w:p w14:paraId="164471AF">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16.2投标有效期内投标人撤销投标文件的，投标人应承担招标文件和法律规定的责任。</w:t>
      </w:r>
    </w:p>
    <w:p w14:paraId="60A954C0">
      <w:pPr>
        <w:adjustRightInd w:val="0"/>
        <w:snapToGrid w:val="0"/>
        <w:spacing w:beforeLines="50"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17、投标保证金</w:t>
      </w:r>
    </w:p>
    <w:p w14:paraId="0F35A436">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17.1招标文件要求投标人提交投标保证金的，投标人应按</w:t>
      </w:r>
      <w:r>
        <w:rPr>
          <w:rFonts w:hint="eastAsia" w:ascii="宋体" w:hAnsi="宋体" w:cs="宋体"/>
          <w:b/>
          <w:bCs/>
          <w:color w:val="auto"/>
          <w:szCs w:val="21"/>
          <w:highlight w:val="none"/>
        </w:rPr>
        <w:t>【投标须知前附表】</w:t>
      </w:r>
      <w:r>
        <w:rPr>
          <w:rFonts w:hint="eastAsia" w:ascii="宋体" w:hAnsi="宋体" w:cs="宋体"/>
          <w:color w:val="auto"/>
          <w:szCs w:val="21"/>
          <w:highlight w:val="none"/>
        </w:rPr>
        <w:t>规定，在提交投标文件的截止时间前提交投标保证金。</w:t>
      </w:r>
    </w:p>
    <w:p w14:paraId="62FEBEE0">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17.2联合体投标的，可以由联合体中的一方或者共同提交投标保证金。以一方名义提交投标保证金的，对联合体各方均具有约束力。</w:t>
      </w:r>
    </w:p>
    <w:p w14:paraId="3AFA5C1C">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17.3投标保证金的退还按以下规定办理：</w:t>
      </w:r>
    </w:p>
    <w:p w14:paraId="469FB4F7">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（1）中标投标人的投标保证金，将在政府采购合同签订后 5 个工作日内退还。</w:t>
      </w:r>
    </w:p>
    <w:p w14:paraId="04483D56">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（2）未中标的投标人的投标保证金，将在中标通知书发出后 5 个工作日内退还。</w:t>
      </w:r>
    </w:p>
    <w:p w14:paraId="5780DDCB">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（3）终止招标的。对于已递交投标保证金的，采购人、采购代理机构在终止招标公告发布后 5 个工作日内退还。</w:t>
      </w:r>
    </w:p>
    <w:p w14:paraId="55FC4554">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（4）在投标截止日前撤回投标的，对于已递交投标保证金的，采购人、采购代理机构在收到投标人书面撤回投标通知之日起 5 个工作日内退还。</w:t>
      </w:r>
    </w:p>
    <w:p w14:paraId="0B128ECA">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17.4有以下情形之一的，投标保证金将不予退还，上交国库：</w:t>
      </w:r>
    </w:p>
    <w:p w14:paraId="4D1FCE88">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（1）投标人在招标文件中规定的投标有效期内撤销其投标；</w:t>
      </w:r>
    </w:p>
    <w:p w14:paraId="1A316129">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（2）中标人无正当理由不与采购人订立合同，在签订合同时向采购人提出附加条件，或者不按照招标文件要求提交履约保证金。</w:t>
      </w:r>
    </w:p>
    <w:p w14:paraId="0D16B5D6">
      <w:pPr>
        <w:adjustRightInd w:val="0"/>
        <w:snapToGrid w:val="0"/>
        <w:spacing w:beforeLines="50"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18、分包</w:t>
      </w:r>
    </w:p>
    <w:p w14:paraId="4510B224">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18.1投标人拟在中标后将中标项目的非主体、非关键性工作进行分包的，应符合</w:t>
      </w:r>
      <w:r>
        <w:rPr>
          <w:rFonts w:hint="eastAsia" w:ascii="宋体" w:hAnsi="宋体" w:cs="宋体"/>
          <w:b/>
          <w:bCs/>
          <w:color w:val="auto"/>
          <w:szCs w:val="21"/>
          <w:highlight w:val="none"/>
        </w:rPr>
        <w:t>【投标须知前附表】</w:t>
      </w:r>
      <w:r>
        <w:rPr>
          <w:rFonts w:hint="eastAsia" w:ascii="宋体" w:hAnsi="宋体" w:cs="宋体"/>
          <w:color w:val="auto"/>
          <w:szCs w:val="21"/>
          <w:highlight w:val="none"/>
        </w:rPr>
        <w:t>规定的分包内容、分包金额和资质要求等限制性条件，并在投标文件中载明分包承担主体，且分包承担主体不得再次分包。</w:t>
      </w:r>
    </w:p>
    <w:p w14:paraId="1087773B">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18.2中标人应当就分包项目向采购人负责，分包承担主体就分包项目承担连带责任。</w:t>
      </w:r>
    </w:p>
    <w:p w14:paraId="78DB63E5">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18.3不符合招标文件中有关分包规定的，其</w:t>
      </w:r>
      <w:r>
        <w:rPr>
          <w:rFonts w:hint="eastAsia" w:ascii="宋体" w:hAnsi="宋体" w:cs="宋体"/>
          <w:b/>
          <w:bCs/>
          <w:color w:val="auto"/>
          <w:szCs w:val="21"/>
          <w:highlight w:val="none"/>
        </w:rPr>
        <w:t>投标无效</w:t>
      </w:r>
      <w:r>
        <w:rPr>
          <w:rFonts w:hint="eastAsia" w:ascii="宋体" w:hAnsi="宋体" w:cs="宋体"/>
          <w:color w:val="auto"/>
          <w:szCs w:val="21"/>
          <w:highlight w:val="none"/>
        </w:rPr>
        <w:t>。</w:t>
      </w:r>
    </w:p>
    <w:p w14:paraId="4608C40E">
      <w:pPr>
        <w:adjustRightInd w:val="0"/>
        <w:snapToGrid w:val="0"/>
        <w:spacing w:beforeLines="50"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19、投标文件的制作和签署</w:t>
      </w:r>
    </w:p>
    <w:p w14:paraId="606E1D4A">
      <w:pPr>
        <w:adjustRightInd w:val="0"/>
        <w:snapToGrid w:val="0"/>
        <w:spacing w:beforeLines="50" w:line="360" w:lineRule="auto"/>
        <w:ind w:firstLine="420" w:firstLineChars="200"/>
        <w:jc w:val="left"/>
        <w:rPr>
          <w:rFonts w:ascii="宋体" w:hAnsi="宋体" w:cs="宋体"/>
          <w:color w:val="auto"/>
          <w:szCs w:val="21"/>
          <w:highlight w:val="none"/>
        </w:rPr>
      </w:pPr>
      <w:bookmarkStart w:id="37" w:name="_bookmark7"/>
      <w:bookmarkEnd w:id="37"/>
      <w:r>
        <w:rPr>
          <w:rFonts w:hint="eastAsia" w:ascii="宋体" w:hAnsi="宋体" w:cs="宋体"/>
          <w:color w:val="auto"/>
          <w:szCs w:val="21"/>
          <w:highlight w:val="none"/>
        </w:rPr>
        <w:t>19.1投标文件份数见</w:t>
      </w:r>
      <w:r>
        <w:rPr>
          <w:rFonts w:hint="eastAsia" w:ascii="宋体" w:hAnsi="宋体" w:cs="宋体"/>
          <w:b/>
          <w:bCs/>
          <w:color w:val="auto"/>
          <w:szCs w:val="21"/>
          <w:highlight w:val="none"/>
        </w:rPr>
        <w:t>【投标须知前附表】</w:t>
      </w:r>
      <w:r>
        <w:rPr>
          <w:rFonts w:hint="eastAsia" w:ascii="宋体" w:hAnsi="宋体" w:cs="宋体"/>
          <w:color w:val="auto"/>
          <w:szCs w:val="21"/>
          <w:highlight w:val="none"/>
        </w:rPr>
        <w:t>。</w:t>
      </w:r>
    </w:p>
    <w:p w14:paraId="3949CC91">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19.2投标文件的签署要求：</w:t>
      </w:r>
    </w:p>
    <w:p w14:paraId="57BE2AD8">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（1）投标人确认投标后，应从株洲市公共资源交易系统上下载“电子投标文件制作工具”，并使用此工具编制电子投标文件，否则将影响电子投标文件的上传而导致</w:t>
      </w:r>
      <w:r>
        <w:rPr>
          <w:rFonts w:hint="eastAsia" w:ascii="宋体" w:hAnsi="宋体" w:cs="宋体"/>
          <w:b/>
          <w:bCs/>
          <w:color w:val="auto"/>
          <w:szCs w:val="21"/>
          <w:highlight w:val="none"/>
        </w:rPr>
        <w:t>投标无效</w:t>
      </w:r>
      <w:r>
        <w:rPr>
          <w:rFonts w:hint="eastAsia" w:ascii="宋体" w:hAnsi="宋体" w:cs="宋体"/>
          <w:color w:val="auto"/>
          <w:szCs w:val="21"/>
          <w:highlight w:val="none"/>
        </w:rPr>
        <w:t>。</w:t>
      </w:r>
    </w:p>
    <w:p w14:paraId="51CF0155">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（2）投标人应按照电子招标文件要求制作投标文件，并进行电子签章。</w:t>
      </w:r>
    </w:p>
    <w:p w14:paraId="1BE7417F">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（3）投标人因自身原因导致电子投标文件无法导入电子评标系统的，该投标文件视为无效投标文件。</w:t>
      </w:r>
    </w:p>
    <w:p w14:paraId="518B1483">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（4）电子招投标文件具有法律效力，若投标文件与招标文件要求不一致，其内容影响中标结果时，责任由投标人自行承担。</w:t>
      </w:r>
    </w:p>
    <w:p w14:paraId="7C237A5F">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（5）电子投标项目的投标文件均以上传至交易系统的电子投标文件为准。</w:t>
      </w:r>
    </w:p>
    <w:p w14:paraId="1E55DF48">
      <w:pPr>
        <w:pStyle w:val="6"/>
        <w:keepNext w:val="0"/>
        <w:keepLines w:val="0"/>
        <w:adjustRightInd w:val="0"/>
        <w:snapToGrid w:val="0"/>
        <w:spacing w:beforeLines="50" w:after="0" w:line="360" w:lineRule="auto"/>
        <w:jc w:val="center"/>
        <w:rPr>
          <w:rFonts w:ascii="宋体" w:hAnsi="宋体" w:cs="宋体"/>
          <w:color w:val="auto"/>
          <w:sz w:val="28"/>
          <w:szCs w:val="28"/>
          <w:highlight w:val="none"/>
        </w:rPr>
      </w:pPr>
      <w:bookmarkStart w:id="38" w:name="_Toc30186"/>
      <w:r>
        <w:rPr>
          <w:rFonts w:hint="eastAsia" w:ascii="宋体" w:hAnsi="宋体" w:cs="宋体"/>
          <w:color w:val="auto"/>
          <w:sz w:val="28"/>
          <w:szCs w:val="28"/>
          <w:highlight w:val="none"/>
        </w:rPr>
        <w:t>四、投标</w:t>
      </w:r>
      <w:bookmarkEnd w:id="38"/>
    </w:p>
    <w:p w14:paraId="55CBEA1E">
      <w:pPr>
        <w:adjustRightInd w:val="0"/>
        <w:snapToGrid w:val="0"/>
        <w:spacing w:beforeLines="50" w:line="360" w:lineRule="auto"/>
        <w:jc w:val="left"/>
        <w:rPr>
          <w:rFonts w:ascii="宋体" w:hAnsi="宋体" w:cs="宋体"/>
          <w:color w:val="auto"/>
          <w:szCs w:val="21"/>
          <w:highlight w:val="none"/>
        </w:rPr>
      </w:pPr>
      <w:r>
        <w:rPr>
          <w:rFonts w:hint="eastAsia" w:ascii="宋体" w:hAnsi="宋体" w:cs="宋体"/>
          <w:b/>
          <w:bCs/>
          <w:color w:val="auto"/>
          <w:szCs w:val="21"/>
          <w:highlight w:val="none"/>
        </w:rPr>
        <w:t>20、投标文件的密封和标记</w:t>
      </w:r>
    </w:p>
    <w:p w14:paraId="64F8AB74">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20.1电子版投标文件的密封和标记要求：通过数字证书进行签章、加密。未按要求签章、加密的投标文件，系统将无法接收， 采购代理机构不予受理。</w:t>
      </w:r>
    </w:p>
    <w:p w14:paraId="1A1B5FED">
      <w:pPr>
        <w:adjustRightInd w:val="0"/>
        <w:snapToGrid w:val="0"/>
        <w:spacing w:beforeLines="50"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21、投标截止期</w:t>
      </w:r>
    </w:p>
    <w:p w14:paraId="4D597A31">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21.1投标人应在</w:t>
      </w:r>
      <w:r>
        <w:rPr>
          <w:rFonts w:hint="eastAsia" w:ascii="宋体" w:hAnsi="宋体" w:cs="宋体"/>
          <w:b/>
          <w:bCs/>
          <w:color w:val="auto"/>
          <w:szCs w:val="21"/>
          <w:highlight w:val="none"/>
        </w:rPr>
        <w:t>【投标须知前附表】</w:t>
      </w:r>
      <w:r>
        <w:rPr>
          <w:rFonts w:hint="eastAsia" w:ascii="宋体" w:hAnsi="宋体" w:cs="宋体"/>
          <w:color w:val="auto"/>
          <w:szCs w:val="21"/>
          <w:highlight w:val="none"/>
        </w:rPr>
        <w:t>规定的投标截止时间前将电子版投标文件加密上传。</w:t>
      </w:r>
    </w:p>
    <w:p w14:paraId="29767EA5">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21.2逾期上传的投标文件，以及未通过资格预审的申请人提交的投标文件（实行资格预审的），采购人、采购代理机构</w:t>
      </w:r>
      <w:r>
        <w:rPr>
          <w:rFonts w:hint="eastAsia" w:ascii="宋体" w:hAnsi="宋体" w:cs="宋体"/>
          <w:b/>
          <w:bCs/>
          <w:color w:val="auto"/>
          <w:szCs w:val="21"/>
          <w:highlight w:val="none"/>
        </w:rPr>
        <w:t>应当拒收</w:t>
      </w:r>
      <w:r>
        <w:rPr>
          <w:rFonts w:hint="eastAsia" w:ascii="宋体" w:hAnsi="宋体" w:cs="宋体"/>
          <w:color w:val="auto"/>
          <w:szCs w:val="21"/>
          <w:highlight w:val="none"/>
        </w:rPr>
        <w:t>。</w:t>
      </w:r>
    </w:p>
    <w:p w14:paraId="0BF86DAA">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21.3投标文件的递交</w:t>
      </w:r>
    </w:p>
    <w:p w14:paraId="05FB2B2A">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（1）投标人应在招标文件规定的投标截止时间前将电子投标文件上传到交易系统的指定栏目。逾期不予受理。</w:t>
      </w:r>
    </w:p>
    <w:p w14:paraId="05C15878">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（2）如遇系统提示“上传未成功”，投标人应及时重新修改文件或与系统运维机构联系，查明原因，确保上传无误，因</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自身原因导致不能上传的，由投标人自行承担责任。</w:t>
      </w:r>
    </w:p>
    <w:p w14:paraId="0DBCB223">
      <w:pPr>
        <w:adjustRightInd w:val="0"/>
        <w:snapToGrid w:val="0"/>
        <w:spacing w:beforeLines="50"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22、投标文件的修改和撤回</w:t>
      </w:r>
    </w:p>
    <w:p w14:paraId="0179F849">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22.1投标人在招标文件规定的投标截止时间前，可以撤回已上传的投标文件，也可以撤回并修改后再重新上传。</w:t>
      </w:r>
    </w:p>
    <w:p w14:paraId="29810232">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22.2投标人在提交投标文件的截止时间前撤回已提交的投标文件的，采购人、采购代理机构应当自收到投标人书面撤回通知之日起 5 个工作日内，退还已收取的投标保证金，但因投标人自身原因导致无法及时退还的除外。</w:t>
      </w:r>
    </w:p>
    <w:p w14:paraId="128D8ABA">
      <w:pPr>
        <w:adjustRightInd w:val="0"/>
        <w:snapToGrid w:val="0"/>
        <w:spacing w:beforeLines="50"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23、串通投标行为</w:t>
      </w:r>
    </w:p>
    <w:p w14:paraId="621528C7">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23.1有下列情形之一的，属于恶意串通，对投标人依照政府采购法第七十七条第一款的规定追究法律责任：</w:t>
      </w:r>
    </w:p>
    <w:p w14:paraId="0202EBE2">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（1）投标人直接或者间接从采购人或者采购代理机构处获得其他投标人的相关情况并修改其投标文件；</w:t>
      </w:r>
    </w:p>
    <w:p w14:paraId="636AF4A5">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w:t>
      </w:r>
    </w:p>
    <w:p w14:paraId="00A68D87">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（3）投标人之间协商报价、技术方案等投标文件的实质性内容；</w:t>
      </w:r>
    </w:p>
    <w:p w14:paraId="46888157">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39B4C306">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（5）投标人之间事先约定由某一特定投标人中标；</w:t>
      </w:r>
    </w:p>
    <w:p w14:paraId="24E93360">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214DB8D4">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487FA346">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23.2有下列情形之一的，视为投标人串通投标，其</w:t>
      </w:r>
      <w:r>
        <w:rPr>
          <w:rFonts w:hint="eastAsia" w:ascii="宋体" w:hAnsi="宋体" w:cs="宋体"/>
          <w:b/>
          <w:bCs/>
          <w:color w:val="auto"/>
          <w:szCs w:val="21"/>
          <w:highlight w:val="none"/>
        </w:rPr>
        <w:t>投标无效</w:t>
      </w:r>
      <w:r>
        <w:rPr>
          <w:rFonts w:hint="eastAsia" w:ascii="宋体" w:hAnsi="宋体" w:cs="宋体"/>
          <w:color w:val="auto"/>
          <w:szCs w:val="21"/>
          <w:highlight w:val="none"/>
        </w:rPr>
        <w:t>：</w:t>
      </w:r>
    </w:p>
    <w:p w14:paraId="654A09AC">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w:t>
      </w:r>
    </w:p>
    <w:p w14:paraId="6F3094EF">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1FCB8688">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（3）不同投标人的投标文件载明的项目管理成员或者联系人员为同一人；</w:t>
      </w:r>
    </w:p>
    <w:p w14:paraId="7427E425">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39ED4221">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671C9C14">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（6）不同投标人的投标保证金从同一单位或者个人的账户转出。</w:t>
      </w:r>
    </w:p>
    <w:p w14:paraId="004235EB">
      <w:pPr>
        <w:pStyle w:val="6"/>
        <w:adjustRightInd w:val="0"/>
        <w:snapToGrid w:val="0"/>
        <w:spacing w:beforeLines="50" w:after="0" w:line="360" w:lineRule="auto"/>
        <w:jc w:val="center"/>
        <w:rPr>
          <w:rFonts w:ascii="宋体" w:hAnsi="宋体" w:cs="宋体"/>
          <w:color w:val="auto"/>
          <w:sz w:val="28"/>
          <w:szCs w:val="28"/>
          <w:highlight w:val="none"/>
        </w:rPr>
      </w:pPr>
      <w:bookmarkStart w:id="39" w:name="_Toc17174"/>
      <w:r>
        <w:rPr>
          <w:rFonts w:hint="eastAsia" w:ascii="宋体" w:hAnsi="宋体" w:cs="宋体"/>
          <w:color w:val="auto"/>
          <w:sz w:val="28"/>
          <w:szCs w:val="28"/>
          <w:highlight w:val="none"/>
        </w:rPr>
        <w:t>五、开标，资格审查和评标</w:t>
      </w:r>
      <w:bookmarkEnd w:id="39"/>
    </w:p>
    <w:p w14:paraId="23D1900D">
      <w:pPr>
        <w:adjustRightInd w:val="0"/>
        <w:snapToGrid w:val="0"/>
        <w:spacing w:beforeLines="50" w:line="360" w:lineRule="auto"/>
        <w:jc w:val="left"/>
        <w:rPr>
          <w:rFonts w:ascii="宋体" w:hAnsi="宋体" w:cs="宋体"/>
          <w:b/>
          <w:bCs/>
          <w:color w:val="auto"/>
          <w:highlight w:val="none"/>
        </w:rPr>
      </w:pPr>
      <w:r>
        <w:rPr>
          <w:rFonts w:hint="eastAsia" w:ascii="宋体" w:hAnsi="宋体" w:cs="宋体"/>
          <w:b/>
          <w:bCs/>
          <w:color w:val="auto"/>
          <w:highlight w:val="none"/>
        </w:rPr>
        <w:t>24、开标</w:t>
      </w:r>
    </w:p>
    <w:p w14:paraId="05C97661">
      <w:pPr>
        <w:adjustRightInd w:val="0"/>
        <w:snapToGrid w:val="0"/>
        <w:spacing w:before="156" w:beforeLines="50"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24.1</w:t>
      </w:r>
      <w:r>
        <w:rPr>
          <w:rFonts w:hint="eastAsia" w:ascii="宋体" w:hAnsi="宋体" w:cs="宋体"/>
          <w:color w:val="auto"/>
          <w:highlight w:val="none"/>
          <w:lang w:val="en-US" w:eastAsia="zh-CN"/>
        </w:rPr>
        <w:t>采购人、采购代理机构在</w:t>
      </w:r>
      <w:r>
        <w:rPr>
          <w:rFonts w:hint="eastAsia" w:ascii="宋体" w:hAnsi="宋体" w:cs="宋体"/>
          <w:b/>
          <w:bCs/>
          <w:color w:val="auto"/>
          <w:highlight w:val="none"/>
          <w:lang w:val="en-US" w:eastAsia="zh-CN"/>
        </w:rPr>
        <w:t>【投标须知前附表】</w:t>
      </w:r>
      <w:r>
        <w:rPr>
          <w:rFonts w:hint="eastAsia" w:ascii="宋体" w:hAnsi="宋体" w:cs="宋体"/>
          <w:color w:val="auto"/>
          <w:highlight w:val="none"/>
          <w:lang w:val="en-US" w:eastAsia="zh-CN"/>
        </w:rPr>
        <w:t>规定的开标地点组织开标，</w:t>
      </w:r>
      <w:r>
        <w:rPr>
          <w:rFonts w:hint="eastAsia" w:ascii="宋体" w:hAnsi="宋体" w:eastAsia="宋体" w:cs="宋体"/>
          <w:color w:val="auto"/>
          <w:highlight w:val="none"/>
          <w:lang w:val="en-US" w:eastAsia="zh-CN"/>
        </w:rPr>
        <w:t>投标人通过网上开标系统参加开标会，投标人无需到开标现场，请投标人自行配置好解密电脑和软件环境，在规定时间内使用制作投标文件时的 CA 锁登录“网上开标大厅”解密投标文件（请仔细阅读株洲市公共资源交易平台发布的《投标人不见面开标操作手册》）。</w:t>
      </w:r>
    </w:p>
    <w:p w14:paraId="66CF6DCF">
      <w:pPr>
        <w:adjustRightInd w:val="0"/>
        <w:snapToGrid w:val="0"/>
        <w:spacing w:before="156" w:beforeLines="50"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24.2开标时，出现下列情形之一的，采购代理机构不予受理，不得进入评标：</w:t>
      </w:r>
    </w:p>
    <w:p w14:paraId="53EAB883">
      <w:pPr>
        <w:adjustRightInd w:val="0"/>
        <w:snapToGrid w:val="0"/>
        <w:spacing w:before="156" w:beforeLines="50"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（1）经检查数字证书无效的电子投标文件；</w:t>
      </w:r>
    </w:p>
    <w:p w14:paraId="4A688CEB">
      <w:pPr>
        <w:adjustRightInd w:val="0"/>
        <w:snapToGrid w:val="0"/>
        <w:spacing w:before="156" w:beforeLines="50"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（2）电子投标文件未按要求上传至交易平台的；</w:t>
      </w:r>
    </w:p>
    <w:p w14:paraId="097552D5">
      <w:pPr>
        <w:adjustRightInd w:val="0"/>
        <w:snapToGrid w:val="0"/>
        <w:spacing w:before="156" w:beforeLines="50"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（3）投标人未按照规定的时间解密电子投标文件的；</w:t>
      </w:r>
    </w:p>
    <w:p w14:paraId="191373DE">
      <w:pPr>
        <w:adjustRightInd w:val="0"/>
        <w:snapToGrid w:val="0"/>
        <w:spacing w:before="156" w:beforeLines="50"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（4）其它违反法律、法规的情形。</w:t>
      </w:r>
    </w:p>
    <w:p w14:paraId="3B6A76CE">
      <w:pPr>
        <w:adjustRightInd w:val="0"/>
        <w:snapToGrid w:val="0"/>
        <w:spacing w:before="156" w:beforeLines="50"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24.3开标程序。采购代理机构在规定的时间内，按下列程序进行开标：</w:t>
      </w:r>
    </w:p>
    <w:p w14:paraId="10347D2D">
      <w:pPr>
        <w:adjustRightInd w:val="0"/>
        <w:snapToGrid w:val="0"/>
        <w:spacing w:before="156" w:beforeLines="50"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（1）公布投标人名称；</w:t>
      </w:r>
    </w:p>
    <w:p w14:paraId="0B7A2F58">
      <w:pPr>
        <w:adjustRightInd w:val="0"/>
        <w:snapToGrid w:val="0"/>
        <w:spacing w:before="156" w:beforeLines="50"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（2）检查投标保证金缴纳情况；</w:t>
      </w:r>
    </w:p>
    <w:p w14:paraId="4C6802F7">
      <w:pPr>
        <w:adjustRightInd w:val="0"/>
        <w:snapToGrid w:val="0"/>
        <w:spacing w:before="156" w:beforeLines="50"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（3）解密投标文件：从投标截止时间起60分钟内完成。由于投标人自身原因导致投标文件在解密时限内未解密或解密失败的，视为撤销其投标文件，开标继续进行。投标人不足3家的，不得开标。</w:t>
      </w:r>
    </w:p>
    <w:p w14:paraId="2D75BBD0">
      <w:pPr>
        <w:adjustRightInd w:val="0"/>
        <w:snapToGrid w:val="0"/>
        <w:spacing w:before="156" w:beforeLines="50"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（4）唱标：以《开标一览表》为准，未提供的按无效投标处理。所有有效投标人可以在线及时查看、下载生成的《开标记录表》；</w:t>
      </w:r>
    </w:p>
    <w:p w14:paraId="1B12125F">
      <w:pPr>
        <w:adjustRightInd w:val="0"/>
        <w:snapToGrid w:val="0"/>
        <w:spacing w:before="156" w:beforeLines="50"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（5）投标人通过电子开标系统在开标记录上确认，未及时确认的系统将默认为确认。</w:t>
      </w:r>
    </w:p>
    <w:p w14:paraId="29D7A7D4">
      <w:pPr>
        <w:adjustRightInd w:val="0"/>
        <w:snapToGrid w:val="0"/>
        <w:spacing w:before="156" w:beforeLines="50"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24.4开标时，由采购人、采购代理机构当众在线展示递交电子投标文件单位。投标人在线解密投标文件后，电子开标系统宣读投标人名称、投标价格和</w:t>
      </w:r>
      <w:r>
        <w:rPr>
          <w:rFonts w:hint="eastAsia" w:ascii="宋体" w:hAnsi="宋体" w:eastAsia="宋体" w:cs="宋体"/>
          <w:b/>
          <w:bCs/>
          <w:color w:val="auto"/>
          <w:highlight w:val="none"/>
          <w:lang w:val="en-US" w:eastAsia="zh-CN"/>
        </w:rPr>
        <w:t>【投标须知前附表】</w:t>
      </w:r>
      <w:r>
        <w:rPr>
          <w:rFonts w:hint="eastAsia" w:ascii="宋体" w:hAnsi="宋体" w:eastAsia="宋体" w:cs="宋体"/>
          <w:color w:val="auto"/>
          <w:highlight w:val="none"/>
          <w:lang w:val="en-US" w:eastAsia="zh-CN"/>
        </w:rPr>
        <w:t>规定需要宣布的其他内容。投标人不足3家的，不得开标。</w:t>
      </w:r>
    </w:p>
    <w:p w14:paraId="7E806074">
      <w:pPr>
        <w:adjustRightInd w:val="0"/>
        <w:snapToGrid w:val="0"/>
        <w:spacing w:before="156" w:beforeLines="50"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24.5投标人代表对开标过程和开标记录有疑义，以及认为采购人、采购代理机构相关工作人员有《政府采购法实施条例》第九条第一款需要回避的情形的，应在线提出询问或者回避申请。</w:t>
      </w:r>
    </w:p>
    <w:p w14:paraId="516DEA6E">
      <w:pPr>
        <w:adjustRightInd w:val="0"/>
        <w:snapToGrid w:val="0"/>
        <w:spacing w:before="156" w:beforeLines="50"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24.6采购人、采购代理机构对投标人代表在线提出的询问或者回避申请，按《政府采购法实施条例》有关规定及时处理。</w:t>
      </w:r>
    </w:p>
    <w:p w14:paraId="17945C44">
      <w:pPr>
        <w:adjustRightInd w:val="0"/>
        <w:snapToGrid w:val="0"/>
        <w:spacing w:before="156" w:beforeLines="50"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24.7开标时，出现下列情形之一的，视为投标人撤销其投标：</w:t>
      </w:r>
    </w:p>
    <w:p w14:paraId="655C7399">
      <w:pPr>
        <w:adjustRightInd w:val="0"/>
        <w:snapToGrid w:val="0"/>
        <w:spacing w:before="156" w:beforeLines="50"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（1）投标人未按要求配置开标所需的软硬件设备，导致解密失败的；</w:t>
      </w:r>
    </w:p>
    <w:p w14:paraId="7F099258">
      <w:pPr>
        <w:adjustRightInd w:val="0"/>
        <w:snapToGrid w:val="0"/>
        <w:spacing w:before="156" w:beforeLines="50"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（2）投标人电脑故障或无法上网，导致解密失败的；</w:t>
      </w:r>
    </w:p>
    <w:p w14:paraId="100E6C58">
      <w:pPr>
        <w:adjustRightInd w:val="0"/>
        <w:snapToGrid w:val="0"/>
        <w:spacing w:before="156" w:beforeLines="50"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（3）解密锁发生故障、失效、错误等，导致解密失败的；</w:t>
      </w:r>
    </w:p>
    <w:p w14:paraId="76124249">
      <w:pPr>
        <w:adjustRightInd w:val="0"/>
        <w:snapToGrid w:val="0"/>
        <w:spacing w:before="156" w:beforeLines="50"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（4）解密时间超过规定时限的；</w:t>
      </w:r>
    </w:p>
    <w:p w14:paraId="0CE0F3F0">
      <w:pPr>
        <w:adjustRightInd w:val="0"/>
        <w:snapToGrid w:val="0"/>
        <w:spacing w:before="156" w:beforeLines="50"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（5）其他由于投标人自身原因导致解密失效的情形。</w:t>
      </w:r>
    </w:p>
    <w:p w14:paraId="1B7DB766">
      <w:pPr>
        <w:adjustRightInd w:val="0"/>
        <w:snapToGrid w:val="0"/>
        <w:spacing w:before="156" w:beforeLines="50"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24.8电子招投标的应急措施</w:t>
      </w:r>
    </w:p>
    <w:p w14:paraId="0EB56E53">
      <w:pPr>
        <w:adjustRightInd w:val="0"/>
        <w:snapToGrid w:val="0"/>
        <w:spacing w:before="156" w:beforeLines="50"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电子开标、评标如出现下列情形，导致系统无法正常运行时，按交易中心应急预案措施执行：</w:t>
      </w:r>
    </w:p>
    <w:p w14:paraId="1C2A031A">
      <w:pPr>
        <w:adjustRightInd w:val="0"/>
        <w:snapToGrid w:val="0"/>
        <w:spacing w:before="156" w:beforeLines="50"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（1）系统服务器发生故障，无法访问或无法使用系统；</w:t>
      </w:r>
    </w:p>
    <w:p w14:paraId="3F5AEFCD">
      <w:pPr>
        <w:adjustRightInd w:val="0"/>
        <w:snapToGrid w:val="0"/>
        <w:spacing w:before="156" w:beforeLines="50"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（2）系统的软件或数据库出现错误，不能进行正常操作；</w:t>
      </w:r>
    </w:p>
    <w:p w14:paraId="3B1873C9">
      <w:pPr>
        <w:adjustRightInd w:val="0"/>
        <w:snapToGrid w:val="0"/>
        <w:spacing w:before="156" w:beforeLines="50"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（3）系统发现有安全漏洞，有潜在的泄密危险；</w:t>
      </w:r>
    </w:p>
    <w:p w14:paraId="721ABBCD">
      <w:pPr>
        <w:adjustRightInd w:val="0"/>
        <w:snapToGrid w:val="0"/>
        <w:spacing w:before="156" w:beforeLines="50"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（4）病毒发作或受到外来病毒的攻击；</w:t>
      </w:r>
    </w:p>
    <w:p w14:paraId="44022697">
      <w:pPr>
        <w:adjustRightInd w:val="0"/>
        <w:snapToGrid w:val="0"/>
        <w:spacing w:before="156" w:beforeLines="50"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（5）其他特殊情况。</w:t>
      </w:r>
    </w:p>
    <w:p w14:paraId="1795459F">
      <w:pPr>
        <w:pStyle w:val="44"/>
        <w:spacing w:after="0" w:line="360" w:lineRule="auto"/>
        <w:ind w:left="0" w:leftChars="0"/>
        <w:rPr>
          <w:color w:val="auto"/>
          <w:highlight w:val="none"/>
        </w:rPr>
      </w:pPr>
      <w:r>
        <w:rPr>
          <w:rFonts w:hint="eastAsia" w:ascii="宋体" w:hAnsi="宋体" w:eastAsia="宋体" w:cs="宋体"/>
          <w:color w:val="auto"/>
          <w:highlight w:val="none"/>
          <w:lang w:val="en-US" w:eastAsia="zh-CN"/>
        </w:rPr>
        <w:t>出现上述情况之一时，经交易中心相关部门确认：对未开标的暂停开标或作延期开标处理，待系统恢复后再进行开标活动；已在系统内评标的，评标委员会酌情延期进行评审，待系统恢复后再进行评审工作。</w:t>
      </w:r>
    </w:p>
    <w:p w14:paraId="36CE48C8">
      <w:pPr>
        <w:adjustRightInd w:val="0"/>
        <w:snapToGrid w:val="0"/>
        <w:spacing w:beforeLines="50" w:line="360" w:lineRule="auto"/>
        <w:jc w:val="left"/>
        <w:rPr>
          <w:rFonts w:ascii="宋体" w:hAnsi="宋体" w:cs="宋体"/>
          <w:color w:val="auto"/>
          <w:highlight w:val="none"/>
        </w:rPr>
      </w:pPr>
      <w:r>
        <w:rPr>
          <w:rFonts w:hint="eastAsia" w:ascii="宋体" w:hAnsi="宋体" w:cs="宋体"/>
          <w:b/>
          <w:bCs/>
          <w:color w:val="auto"/>
          <w:highlight w:val="none"/>
        </w:rPr>
        <w:t>25、资格审查</w:t>
      </w:r>
    </w:p>
    <w:p w14:paraId="1C0AF944">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25.1开标结束后，采购人、采购代理机构依法按照第三章“资格审查”规定组织资格审查。</w:t>
      </w:r>
    </w:p>
    <w:p w14:paraId="33BB14CE">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25.2资格审查结束后，采购人、采购代理机构应将资格审查结果告知评标委员会。资格审查不合格投标人不进入评标；资格审查合格投标人少于 3 家的，不得评标。</w:t>
      </w:r>
    </w:p>
    <w:p w14:paraId="7BB8E44A">
      <w:pPr>
        <w:adjustRightInd w:val="0"/>
        <w:snapToGrid w:val="0"/>
        <w:spacing w:beforeLines="50" w:line="360" w:lineRule="auto"/>
        <w:jc w:val="left"/>
        <w:rPr>
          <w:rFonts w:ascii="宋体" w:hAnsi="宋体" w:cs="宋体"/>
          <w:b/>
          <w:bCs/>
          <w:color w:val="auto"/>
          <w:highlight w:val="none"/>
        </w:rPr>
      </w:pPr>
      <w:r>
        <w:rPr>
          <w:rFonts w:hint="eastAsia" w:ascii="宋体" w:hAnsi="宋体" w:cs="宋体"/>
          <w:b/>
          <w:bCs/>
          <w:color w:val="auto"/>
          <w:highlight w:val="none"/>
        </w:rPr>
        <w:t>26、评标委员会</w:t>
      </w:r>
    </w:p>
    <w:p w14:paraId="4CC196D8">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26.1评标由依法组建的评标委员会负责，评标委员会由采购人代表和评审专家组成。</w:t>
      </w:r>
    </w:p>
    <w:p w14:paraId="444346C2">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26.2评标委员会成员有下列情形之一的，应当回避：</w:t>
      </w:r>
    </w:p>
    <w:p w14:paraId="358BDB48">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（1）参加采购活动前三年内，与投标人存在劳动关系，或者担任过投标人的董事、监事，或者是投标人的控股股东或实际控制人；</w:t>
      </w:r>
    </w:p>
    <w:p w14:paraId="5C499D04">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（2）与投标人的法定代表人或者负责人有夫妻、直系血亲、三代以内旁系血亲或者近姻亲系；</w:t>
      </w:r>
    </w:p>
    <w:p w14:paraId="5E661770">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（3）与投标人有其他可能影响政府采购活动公平、公正进行的关系。</w:t>
      </w:r>
    </w:p>
    <w:p w14:paraId="110E8C0B">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26.3评标委员会负责具体评标事务，并独立履行下列职责：</w:t>
      </w:r>
    </w:p>
    <w:p w14:paraId="147DEBF2">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（1）审查、评价投标文件是否符合招标文件的商务、技术等实质性要求；</w:t>
      </w:r>
    </w:p>
    <w:p w14:paraId="706D60B0">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（2）要求投标人对投标文件有关事项作出澄清或者说明；</w:t>
      </w:r>
    </w:p>
    <w:p w14:paraId="66AFEF7A">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（3）对投标文件进行比较和评价；</w:t>
      </w:r>
    </w:p>
    <w:p w14:paraId="78EC7ADC">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（4）确定中标候选人名单，以及根据采购人委托直接确定中标人。</w:t>
      </w:r>
    </w:p>
    <w:p w14:paraId="367D270B">
      <w:pPr>
        <w:adjustRightInd w:val="0"/>
        <w:snapToGrid w:val="0"/>
        <w:spacing w:beforeLines="50" w:line="360" w:lineRule="auto"/>
        <w:jc w:val="left"/>
        <w:rPr>
          <w:rFonts w:ascii="宋体" w:hAnsi="宋体" w:cs="宋体"/>
          <w:color w:val="auto"/>
          <w:highlight w:val="none"/>
        </w:rPr>
      </w:pPr>
      <w:r>
        <w:rPr>
          <w:rFonts w:hint="eastAsia" w:ascii="宋体" w:hAnsi="宋体" w:cs="宋体"/>
          <w:b/>
          <w:bCs/>
          <w:color w:val="auto"/>
          <w:highlight w:val="none"/>
        </w:rPr>
        <w:t>27、评标</w:t>
      </w:r>
    </w:p>
    <w:p w14:paraId="1BA6E353">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27.1评标委员会按照第四章“评标方法及标准”规定的评标方法、评审因素、标准和程序以  及有关法律、法规及规章对投标文件进行评审。</w:t>
      </w:r>
    </w:p>
    <w:p w14:paraId="095775F0">
      <w:pPr>
        <w:pStyle w:val="6"/>
        <w:adjustRightInd w:val="0"/>
        <w:snapToGrid w:val="0"/>
        <w:spacing w:beforeLines="50" w:after="0" w:line="360" w:lineRule="auto"/>
        <w:jc w:val="center"/>
        <w:rPr>
          <w:rFonts w:ascii="宋体" w:hAnsi="宋体" w:cs="宋体"/>
          <w:color w:val="auto"/>
          <w:sz w:val="28"/>
          <w:szCs w:val="28"/>
          <w:highlight w:val="none"/>
        </w:rPr>
      </w:pPr>
      <w:bookmarkStart w:id="40" w:name="_Toc30107"/>
      <w:r>
        <w:rPr>
          <w:rFonts w:hint="eastAsia" w:ascii="宋体" w:hAnsi="宋体" w:cs="宋体"/>
          <w:color w:val="auto"/>
          <w:sz w:val="28"/>
          <w:szCs w:val="28"/>
          <w:highlight w:val="none"/>
        </w:rPr>
        <w:t>六、中标信息公布</w:t>
      </w:r>
      <w:bookmarkEnd w:id="40"/>
    </w:p>
    <w:p w14:paraId="1DF693DF">
      <w:pPr>
        <w:adjustRightInd w:val="0"/>
        <w:snapToGrid w:val="0"/>
        <w:spacing w:beforeLines="50" w:line="360" w:lineRule="auto"/>
        <w:jc w:val="left"/>
        <w:rPr>
          <w:rFonts w:ascii="宋体" w:hAnsi="宋体" w:cs="宋体"/>
          <w:color w:val="auto"/>
          <w:highlight w:val="none"/>
        </w:rPr>
      </w:pPr>
      <w:r>
        <w:rPr>
          <w:rFonts w:hint="eastAsia" w:ascii="宋体" w:hAnsi="宋体" w:cs="宋体"/>
          <w:b/>
          <w:bCs/>
          <w:color w:val="auto"/>
          <w:highlight w:val="none"/>
        </w:rPr>
        <w:t>28、中标通知书与中标信息公布</w:t>
      </w:r>
    </w:p>
    <w:p w14:paraId="5CDD0472">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28.1采购代理机构应当在评标结束后 2 个工作日内将评标报告送采购人。</w:t>
      </w:r>
    </w:p>
    <w:p w14:paraId="2255131D">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28.2采购人应当自收到评标报告之日起 5 个工作日内，在评标报告确定的中标候选人名单中按顺序确定中标人。中标候选人并列的，按照</w:t>
      </w:r>
      <w:r>
        <w:rPr>
          <w:rFonts w:hint="eastAsia" w:ascii="宋体" w:hAnsi="宋体" w:cs="宋体"/>
          <w:b/>
          <w:bCs/>
          <w:color w:val="auto"/>
          <w:highlight w:val="none"/>
        </w:rPr>
        <w:t>【投标须知前附表】</w:t>
      </w:r>
      <w:r>
        <w:rPr>
          <w:rFonts w:hint="eastAsia" w:ascii="宋体" w:hAnsi="宋体" w:cs="宋体"/>
          <w:color w:val="auto"/>
          <w:highlight w:val="none"/>
        </w:rPr>
        <w:t>规定的方式确定中标人；招标文件未规定的，采取随机抽取的方式确定。</w:t>
      </w:r>
    </w:p>
    <w:p w14:paraId="28B2A0D2">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28.3采购人、采购代理机构应当自采购人确定中标人之日起2个工作日内，发出中标通知书，并在招标公告指定媒体上公告中标结果，招标文件随中标结果同时公告，中标结果公告期限为1个工作日。</w:t>
      </w:r>
    </w:p>
    <w:p w14:paraId="3FC0C636">
      <w:pPr>
        <w:adjustRightInd w:val="0"/>
        <w:snapToGrid w:val="0"/>
        <w:spacing w:beforeLines="50" w:line="360" w:lineRule="auto"/>
        <w:jc w:val="left"/>
        <w:rPr>
          <w:rFonts w:ascii="宋体" w:hAnsi="宋体" w:cs="宋体"/>
          <w:b/>
          <w:bCs/>
          <w:color w:val="auto"/>
          <w:highlight w:val="none"/>
        </w:rPr>
      </w:pPr>
      <w:r>
        <w:rPr>
          <w:rFonts w:hint="eastAsia" w:ascii="宋体" w:hAnsi="宋体" w:cs="宋体"/>
          <w:b/>
          <w:bCs/>
          <w:color w:val="auto"/>
          <w:highlight w:val="none"/>
        </w:rPr>
        <w:t>29、投标人询问及质疑</w:t>
      </w:r>
    </w:p>
    <w:p w14:paraId="61DBB1AC">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29.1投标人对政府采购活动事项有疑问的，可以向采购人、采购代理机构提出询问。采购人  或采购代理机构将在 3 个工作日内作出答复。</w:t>
      </w:r>
    </w:p>
    <w:p w14:paraId="089EE62C">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29.2投标人认为招标文件、采购过程和中标结果使自己的权益受到损害的，可以在知道或者  应知其权益受到损害之日起 7 个工作日内，按照《湖南省财政厅关于印发＜政府采购质疑答复和投诉处理操作规程＞的通知》(湘财购〔2019〕20 号)规定，以纸质书面形式向采购人、采购代理机构提出质疑。投标人须在法定质疑期内一次性提出针对同一采购程序环节的质疑。</w:t>
      </w:r>
    </w:p>
    <w:p w14:paraId="4EEFB239">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29.3投标人提出质疑的，应按照《湖南省财政厅关于印发＜政府采购质疑答复和投诉处理操  作规程＞的通知》规定制作、签署、送达。采购人、采购代理机构接收质疑函的联系部门、联系电话和通讯地址见</w:t>
      </w:r>
      <w:r>
        <w:rPr>
          <w:rFonts w:hint="eastAsia" w:ascii="宋体" w:hAnsi="宋体" w:cs="宋体"/>
          <w:b/>
          <w:bCs/>
          <w:color w:val="auto"/>
          <w:highlight w:val="none"/>
        </w:rPr>
        <w:t>【投标须知前附表】</w:t>
      </w:r>
      <w:r>
        <w:rPr>
          <w:rFonts w:hint="eastAsia" w:ascii="宋体" w:hAnsi="宋体" w:cs="宋体"/>
          <w:color w:val="auto"/>
          <w:highlight w:val="none"/>
        </w:rPr>
        <w:t>。</w:t>
      </w:r>
    </w:p>
    <w:p w14:paraId="47FBAF63">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29.4采购人、采购代理机构按照《湖南省财政厅关于印发＜政府采购质疑答复和投诉处理操  作规程＞的通知》规定进行质疑答复。</w:t>
      </w:r>
    </w:p>
    <w:p w14:paraId="19C024CE">
      <w:pPr>
        <w:adjustRightInd w:val="0"/>
        <w:snapToGrid w:val="0"/>
        <w:spacing w:beforeLines="50"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29.5投标人对采购人、采购代理机构的答复不满意，或采购人或采购代理机构未在规定的期  限作出答复的，可在答复期满后 15 个工作日内，按照《湖南省财政厅关于印发＜政府采购质疑答复和投诉处理操作规程＞的通知》规定向采购人同级财政部门提出投诉。</w:t>
      </w:r>
    </w:p>
    <w:p w14:paraId="4014D1F5">
      <w:pPr>
        <w:adjustRightInd w:val="0"/>
        <w:snapToGrid w:val="0"/>
        <w:spacing w:beforeLines="5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29.6以联合体形式参加政府采购活动的，联合体组成后提出的质疑事项应当由组成联合体的所有投标人共同提出。</w:t>
      </w:r>
    </w:p>
    <w:p w14:paraId="2A237AFD">
      <w:pPr>
        <w:pStyle w:val="6"/>
        <w:adjustRightInd w:val="0"/>
        <w:snapToGrid w:val="0"/>
        <w:spacing w:beforeLines="50" w:after="0" w:line="360" w:lineRule="auto"/>
        <w:jc w:val="center"/>
        <w:rPr>
          <w:rFonts w:ascii="宋体" w:hAnsi="宋体" w:cs="宋体"/>
          <w:color w:val="auto"/>
          <w:sz w:val="28"/>
          <w:szCs w:val="28"/>
          <w:highlight w:val="none"/>
        </w:rPr>
      </w:pPr>
      <w:bookmarkStart w:id="41" w:name="_Toc229"/>
      <w:r>
        <w:rPr>
          <w:rFonts w:hint="eastAsia" w:ascii="宋体" w:hAnsi="宋体" w:cs="宋体"/>
          <w:color w:val="auto"/>
          <w:sz w:val="28"/>
          <w:szCs w:val="28"/>
          <w:highlight w:val="none"/>
        </w:rPr>
        <w:t>七、合同签订</w:t>
      </w:r>
      <w:bookmarkEnd w:id="41"/>
    </w:p>
    <w:p w14:paraId="18A04C64">
      <w:pPr>
        <w:adjustRightInd w:val="0"/>
        <w:snapToGrid w:val="0"/>
        <w:spacing w:beforeLines="50" w:line="360" w:lineRule="auto"/>
        <w:jc w:val="left"/>
        <w:rPr>
          <w:rFonts w:ascii="宋体" w:hAnsi="宋体" w:cs="宋体"/>
          <w:b/>
          <w:bCs/>
          <w:color w:val="auto"/>
          <w:highlight w:val="none"/>
        </w:rPr>
      </w:pPr>
      <w:r>
        <w:rPr>
          <w:rFonts w:hint="eastAsia" w:ascii="宋体" w:hAnsi="宋体" w:cs="宋体"/>
          <w:b/>
          <w:bCs/>
          <w:color w:val="auto"/>
          <w:highlight w:val="none"/>
        </w:rPr>
        <w:t>30、签订合同</w:t>
      </w:r>
    </w:p>
    <w:p w14:paraId="3B173626">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30.1采购人应自中标通知书发出之日起 30 日内，按中标通知书指定的时间、地点与中标人签订政府采购合同。所签订的合同不得对招标文件确定的事项和中标人投标文件作实质性修改。</w:t>
      </w:r>
    </w:p>
    <w:p w14:paraId="5B76C640">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30.2招标文件、中标人的投标文件均为签订合同的依据。</w:t>
      </w:r>
    </w:p>
    <w:p w14:paraId="7561441C">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30.3联合体中标的，联合体各方应当共同与采购人签订合同，就中标项目向采购人承担连带  责任。</w:t>
      </w:r>
    </w:p>
    <w:p w14:paraId="5641D3F5">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30.4中标合同将在招标公告指定媒体上公告，但合同中涉及国家秘密、商业秘密的内容除外。</w:t>
      </w:r>
    </w:p>
    <w:p w14:paraId="27F27A1C">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30.5中标人应当按照合同约定依法履行合同义务。政府采购合同的履行、违约责任和解决争  议的方法等适用《中华人民共和国民法典》。</w:t>
      </w:r>
    </w:p>
    <w:p w14:paraId="3208ECFC">
      <w:pPr>
        <w:adjustRightInd w:val="0"/>
        <w:snapToGrid w:val="0"/>
        <w:spacing w:beforeLines="50" w:line="360" w:lineRule="auto"/>
        <w:jc w:val="left"/>
        <w:rPr>
          <w:rFonts w:ascii="宋体" w:hAnsi="宋体" w:cs="宋体"/>
          <w:b/>
          <w:bCs/>
          <w:color w:val="auto"/>
          <w:highlight w:val="none"/>
        </w:rPr>
      </w:pPr>
      <w:r>
        <w:rPr>
          <w:rFonts w:hint="eastAsia" w:ascii="宋体" w:hAnsi="宋体" w:cs="宋体"/>
          <w:b/>
          <w:bCs/>
          <w:color w:val="auto"/>
          <w:highlight w:val="none"/>
        </w:rPr>
        <w:t>31、履约担保</w:t>
      </w:r>
    </w:p>
    <w:p w14:paraId="5CEA1709">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31.1招标文件要求中标人向采购人提交履约担保的，中标人应按照</w:t>
      </w:r>
      <w:r>
        <w:rPr>
          <w:rFonts w:hint="eastAsia" w:ascii="宋体" w:hAnsi="宋体" w:cs="宋体"/>
          <w:b/>
          <w:bCs/>
          <w:color w:val="auto"/>
          <w:highlight w:val="none"/>
        </w:rPr>
        <w:t>【投标须知前附表】</w:t>
      </w:r>
      <w:r>
        <w:rPr>
          <w:rFonts w:hint="eastAsia" w:ascii="宋体" w:hAnsi="宋体" w:cs="宋体"/>
          <w:color w:val="auto"/>
          <w:highlight w:val="none"/>
        </w:rPr>
        <w:t>的规  定提交。联合体中标的，履约担保由联合体各方或联合体中牵头人的名义提交。</w:t>
      </w:r>
    </w:p>
    <w:p w14:paraId="7A5E9059">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31.2中标人没有按照本章第 31.1 款规定提交履约担保的，视为</w:t>
      </w:r>
      <w:r>
        <w:rPr>
          <w:rFonts w:hint="eastAsia" w:ascii="宋体" w:hAnsi="宋体" w:cs="宋体"/>
          <w:b/>
          <w:bCs/>
          <w:color w:val="auto"/>
          <w:highlight w:val="none"/>
        </w:rPr>
        <w:t>放弃中标</w:t>
      </w:r>
      <w:r>
        <w:rPr>
          <w:rFonts w:hint="eastAsia" w:ascii="宋体" w:hAnsi="宋体" w:cs="宋体"/>
          <w:color w:val="auto"/>
          <w:highlight w:val="none"/>
        </w:rPr>
        <w:t>，其投标保证金不予退还。</w:t>
      </w:r>
    </w:p>
    <w:p w14:paraId="718248C2">
      <w:pPr>
        <w:adjustRightInd w:val="0"/>
        <w:snapToGrid w:val="0"/>
        <w:spacing w:beforeLines="50" w:line="360" w:lineRule="auto"/>
        <w:jc w:val="left"/>
        <w:rPr>
          <w:rFonts w:ascii="宋体" w:hAnsi="宋体" w:cs="宋体"/>
          <w:b/>
          <w:bCs/>
          <w:color w:val="auto"/>
          <w:highlight w:val="none"/>
        </w:rPr>
      </w:pPr>
      <w:r>
        <w:rPr>
          <w:rFonts w:hint="eastAsia" w:ascii="宋体" w:hAnsi="宋体" w:cs="宋体"/>
          <w:b/>
          <w:bCs/>
          <w:color w:val="auto"/>
          <w:highlight w:val="none"/>
        </w:rPr>
        <w:t>32、政府采购合同履行中数量的变更</w:t>
      </w:r>
    </w:p>
    <w:p w14:paraId="726E0CAB">
      <w:pPr>
        <w:adjustRightInd w:val="0"/>
        <w:snapToGrid w:val="0"/>
        <w:spacing w:beforeLines="50" w:line="360" w:lineRule="auto"/>
        <w:ind w:firstLine="420" w:firstLineChars="200"/>
        <w:jc w:val="left"/>
        <w:rPr>
          <w:rFonts w:ascii="宋体" w:hAnsi="宋体" w:cs="宋体"/>
          <w:color w:val="auto"/>
          <w:sz w:val="28"/>
          <w:szCs w:val="28"/>
          <w:highlight w:val="none"/>
        </w:rPr>
      </w:pPr>
      <w:r>
        <w:rPr>
          <w:rFonts w:hint="eastAsia" w:ascii="宋体" w:hAnsi="宋体" w:cs="宋体"/>
          <w:color w:val="auto"/>
          <w:highlight w:val="none"/>
        </w:rPr>
        <w:t>32.1政府采购合同履行中，采购人需追加与合同标的相同的服务的，在不改变合同其他条款的前提下，可以与中标人协商签订补充合同，但所有补充合同的采购金额不得超过原合同采购金额的百分之十。</w:t>
      </w:r>
    </w:p>
    <w:p w14:paraId="3844A619">
      <w:pPr>
        <w:pStyle w:val="6"/>
        <w:adjustRightInd w:val="0"/>
        <w:snapToGrid w:val="0"/>
        <w:spacing w:beforeLines="50" w:after="0" w:line="360" w:lineRule="auto"/>
        <w:jc w:val="center"/>
        <w:rPr>
          <w:rFonts w:ascii="宋体" w:hAnsi="宋体" w:cs="宋体"/>
          <w:color w:val="auto"/>
          <w:sz w:val="28"/>
          <w:szCs w:val="28"/>
          <w:highlight w:val="none"/>
        </w:rPr>
      </w:pPr>
      <w:bookmarkStart w:id="42" w:name="_Toc25512"/>
      <w:r>
        <w:rPr>
          <w:rFonts w:hint="eastAsia" w:ascii="宋体" w:hAnsi="宋体" w:cs="宋体"/>
          <w:color w:val="auto"/>
          <w:sz w:val="28"/>
          <w:szCs w:val="28"/>
          <w:highlight w:val="none"/>
        </w:rPr>
        <w:t>八、政府采购政策</w:t>
      </w:r>
      <w:bookmarkEnd w:id="42"/>
    </w:p>
    <w:p w14:paraId="0E916A23">
      <w:pPr>
        <w:adjustRightInd w:val="0"/>
        <w:snapToGrid w:val="0"/>
        <w:spacing w:beforeLines="50" w:line="360" w:lineRule="auto"/>
        <w:jc w:val="left"/>
        <w:rPr>
          <w:rFonts w:ascii="宋体" w:hAnsi="宋体" w:cs="宋体"/>
          <w:color w:val="auto"/>
          <w:highlight w:val="none"/>
        </w:rPr>
      </w:pPr>
      <w:r>
        <w:rPr>
          <w:rFonts w:hint="eastAsia" w:ascii="宋体" w:hAnsi="宋体" w:cs="宋体"/>
          <w:b/>
          <w:bCs/>
          <w:color w:val="auto"/>
          <w:highlight w:val="none"/>
        </w:rPr>
        <w:t>33、政府采购政策</w:t>
      </w:r>
    </w:p>
    <w:p w14:paraId="58D20AAC">
      <w:pPr>
        <w:adjustRightInd w:val="0"/>
        <w:snapToGrid w:val="0"/>
        <w:spacing w:before="156" w:beforeLines="50"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33.1</w:t>
      </w:r>
      <w:r>
        <w:rPr>
          <w:rFonts w:hint="eastAsia" w:ascii="宋体" w:hAnsi="宋体" w:eastAsia="宋体" w:cs="宋体"/>
          <w:color w:val="auto"/>
          <w:highlight w:val="none"/>
        </w:rPr>
        <w:t>优先采购：纳入财政部会同国务院有关部门发布的节能产品、环境标志产品政府采购品目清单，实施政府优先采购的，评审时按招标文件第四章第一节有关规定给予一定比例的价格折扣或者加分</w:t>
      </w:r>
      <w:r>
        <w:rPr>
          <w:rFonts w:hint="eastAsia" w:ascii="宋体" w:hAnsi="宋体" w:eastAsia="宋体" w:cs="宋体"/>
          <w:color w:val="auto"/>
          <w:highlight w:val="none"/>
          <w:lang w:eastAsia="zh-CN"/>
        </w:rPr>
        <w:t>。</w:t>
      </w:r>
    </w:p>
    <w:p w14:paraId="286A4C38">
      <w:pPr>
        <w:adjustRightInd w:val="0"/>
        <w:snapToGrid w:val="0"/>
        <w:spacing w:before="156" w:beforeLines="5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33.2</w:t>
      </w:r>
      <w:r>
        <w:rPr>
          <w:rFonts w:hint="eastAsia" w:ascii="宋体" w:hAnsi="宋体" w:eastAsia="宋体" w:cs="宋体"/>
          <w:color w:val="auto"/>
          <w:highlight w:val="none"/>
        </w:rPr>
        <w:t>强制采购：</w:t>
      </w:r>
    </w:p>
    <w:p w14:paraId="5476295B">
      <w:pPr>
        <w:adjustRightInd w:val="0"/>
        <w:snapToGrid w:val="0"/>
        <w:spacing w:before="156" w:beforeLines="5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纳入财政部会同国务院有关部门发布的节能产品政府采购品目清单，实施政府强制采购的（品目清单标注★符号产品），投标人投标产品应当取得国家确定的认证机构出具的、处于有效期之内的节能产品认证证书，否则其</w:t>
      </w:r>
      <w:r>
        <w:rPr>
          <w:rFonts w:hint="eastAsia" w:ascii="宋体" w:hAnsi="宋体" w:eastAsia="宋体" w:cs="宋体"/>
          <w:b/>
          <w:bCs/>
          <w:color w:val="auto"/>
          <w:highlight w:val="none"/>
        </w:rPr>
        <w:t>投标无效</w:t>
      </w:r>
      <w:r>
        <w:rPr>
          <w:rFonts w:hint="eastAsia" w:ascii="宋体" w:hAnsi="宋体" w:eastAsia="宋体" w:cs="宋体"/>
          <w:color w:val="auto"/>
          <w:highlight w:val="none"/>
        </w:rPr>
        <w:t>。</w:t>
      </w:r>
    </w:p>
    <w:p w14:paraId="0682659A">
      <w:pPr>
        <w:adjustRightInd w:val="0"/>
        <w:snapToGrid w:val="0"/>
        <w:spacing w:before="156" w:beforeLines="5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33.3</w:t>
      </w:r>
      <w:r>
        <w:rPr>
          <w:rFonts w:hint="eastAsia" w:ascii="宋体" w:hAnsi="宋体" w:eastAsia="宋体" w:cs="宋体"/>
          <w:color w:val="auto"/>
          <w:highlight w:val="none"/>
        </w:rPr>
        <w:t>价格评审优惠：</w:t>
      </w:r>
    </w:p>
    <w:p w14:paraId="4FF46EEB">
      <w:pPr>
        <w:adjustRightInd w:val="0"/>
        <w:snapToGrid w:val="0"/>
        <w:spacing w:before="156" w:beforeLines="50" w:line="360" w:lineRule="auto"/>
        <w:ind w:firstLine="420" w:firstLineChars="200"/>
        <w:jc w:val="left"/>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在政府采购活动中，供应商提供的货物、工程或者服务符合下列情形的：（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给予一定比例的价格折扣，用扣除后的价格参与评审；</w:t>
      </w:r>
    </w:p>
    <w:p w14:paraId="3AF338C3">
      <w:pPr>
        <w:adjustRightInd w:val="0"/>
        <w:snapToGrid w:val="0"/>
        <w:spacing w:before="156" w:beforeLines="50" w:line="360" w:lineRule="auto"/>
        <w:ind w:firstLine="420" w:firstLineChars="200"/>
        <w:jc w:val="left"/>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对于经主管预算单位统筹后未预留份额专门面向中小企业采购的采购项目，以及预留份额项目中的非预留部分采购包，符合小微企业生产的货物或者提供的服务、工程情形的，给予一定比例的价格折扣，用扣除后的价格参与评审。</w:t>
      </w:r>
    </w:p>
    <w:p w14:paraId="31FF9F09">
      <w:pPr>
        <w:adjustRightInd w:val="0"/>
        <w:snapToGrid w:val="0"/>
        <w:spacing w:before="156" w:beforeLines="50" w:line="360" w:lineRule="auto"/>
        <w:ind w:firstLine="420" w:firstLineChars="200"/>
        <w:jc w:val="left"/>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 xml:space="preserve">接受大中型企业与小微企业组成联合体或者允许大中型企业向一家或者多家小微企业分包的采购项目，对于联合协议或者分包意向协议约定小微企业的合同份额占到合同总金额30%以上的，给予一定比例的价格折扣，用扣除后的价格参与评审。以联合体形式参加政府采购活动，联合体各方均为中小企业的，联合体视同中小企业。其中，联合体各方均为小微企业的，联合体视同小微企业； </w:t>
      </w:r>
    </w:p>
    <w:p w14:paraId="7AB693D9">
      <w:pPr>
        <w:adjustRightInd w:val="0"/>
        <w:snapToGrid w:val="0"/>
        <w:spacing w:before="156" w:beforeLines="50" w:line="360" w:lineRule="auto"/>
        <w:ind w:firstLine="420" w:firstLineChars="200"/>
        <w:jc w:val="left"/>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（3）符合中小企业划分标准的个体工商户视同中小企业，享受评审中价格扣除等促进中小企业发展的政府采购政策。</w:t>
      </w:r>
    </w:p>
    <w:p w14:paraId="4B8B9115">
      <w:pPr>
        <w:adjustRightInd w:val="0"/>
        <w:snapToGrid w:val="0"/>
        <w:spacing w:before="156" w:beforeLines="50" w:line="360" w:lineRule="auto"/>
        <w:ind w:firstLine="420" w:firstLineChars="200"/>
        <w:jc w:val="left"/>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（4）监狱企业、残疾人福利性单位视同小型、微型企业，享受评审中价格扣除等促进中小企业发展的政府采购政策。</w:t>
      </w:r>
    </w:p>
    <w:p w14:paraId="7EF7F7D4">
      <w:pPr>
        <w:adjustRightInd w:val="0"/>
        <w:snapToGrid w:val="0"/>
        <w:spacing w:before="156" w:beforeLines="50" w:line="360" w:lineRule="auto"/>
        <w:ind w:firstLine="420" w:firstLineChars="200"/>
        <w:jc w:val="left"/>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 xml:space="preserve">（5）与大企业的负责人为同一人，或者与大企业存在直接控股、管理关系的中小企业，不享受评审中价格扣除等促进中小企业发展的政府采购政策。 </w:t>
      </w:r>
    </w:p>
    <w:p w14:paraId="4ECD27D4">
      <w:pPr>
        <w:adjustRightInd w:val="0"/>
        <w:snapToGrid w:val="0"/>
        <w:spacing w:before="156" w:beforeLines="50" w:line="360" w:lineRule="auto"/>
        <w:ind w:firstLine="420" w:firstLineChars="200"/>
        <w:jc w:val="left"/>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（6）本章第1.2款规定采购项目或者采购包属于“预留采购份额”的，预留部分不再享受本款“价格评审优惠”的小微企业扶持政策。</w:t>
      </w:r>
    </w:p>
    <w:p w14:paraId="47664872">
      <w:pPr>
        <w:adjustRightInd w:val="0"/>
        <w:snapToGrid w:val="0"/>
        <w:spacing w:before="156" w:beforeLines="5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33.4</w:t>
      </w:r>
      <w:r>
        <w:rPr>
          <w:rFonts w:hint="eastAsia" w:ascii="宋体" w:hAnsi="宋体" w:eastAsia="宋体" w:cs="宋体"/>
          <w:color w:val="auto"/>
          <w:highlight w:val="none"/>
        </w:rPr>
        <w:t>政府采购政策交叉与叠加</w:t>
      </w:r>
    </w:p>
    <w:p w14:paraId="289C3852">
      <w:pPr>
        <w:adjustRightInd w:val="0"/>
        <w:snapToGrid w:val="0"/>
        <w:spacing w:before="156" w:beforeLines="5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投标产品取得两个及以上优先采购产品认证的，评审时只有其中一项产品能享受优先采购优惠（投标人自行选择，并在投标文件中并填报相关信息及数据）</w:t>
      </w:r>
    </w:p>
    <w:p w14:paraId="423B88AB">
      <w:pPr>
        <w:adjustRightInd w:val="0"/>
        <w:snapToGrid w:val="0"/>
        <w:spacing w:before="156" w:beforeLines="5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投标人同时符合小型、微型企业及监狱企业、残疾人福利性单位要求的，评审时只有一种类型享受价格评审优惠政策；</w:t>
      </w:r>
    </w:p>
    <w:p w14:paraId="07BE4343">
      <w:pPr>
        <w:adjustRightInd w:val="0"/>
        <w:snapToGrid w:val="0"/>
        <w:spacing w:before="156" w:beforeLines="5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小型和微型企业的价格评审优惠可以与同时属于“节能产品”、“环境标志产品”中的一项优先采购优惠累加计算。</w:t>
      </w:r>
    </w:p>
    <w:p w14:paraId="205B8DDF">
      <w:pPr>
        <w:adjustRightInd w:val="0"/>
        <w:snapToGrid w:val="0"/>
        <w:spacing w:before="156" w:beforeLines="50"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33.5在货物采购项目中，投标人提供的货物既有中小企业制造货物，也有大型企业制造货物的，不享受政府采购中小企业扶持政策。</w:t>
      </w:r>
    </w:p>
    <w:p w14:paraId="517D7277">
      <w:pPr>
        <w:adjustRightInd w:val="0"/>
        <w:snapToGrid w:val="0"/>
        <w:spacing w:before="156" w:beforeLines="50"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财政部发布的《政府采购促进中小企业发展政策问答》(http://gks.mof.gov.cn/guizhangzhidu/202102/t20210220_3659586.htm):在货物采购项目中，供应商提供的货物既有中型企业制造，也有小微企业制造的，不享受办法规定的小微企业扶持政策。</w:t>
      </w:r>
    </w:p>
    <w:p w14:paraId="43F77AC5">
      <w:pPr>
        <w:adjustRightInd w:val="0"/>
        <w:snapToGrid w:val="0"/>
        <w:spacing w:before="156" w:beforeLines="5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33.</w:t>
      </w:r>
      <w:r>
        <w:rPr>
          <w:rFonts w:hint="eastAsia" w:ascii="宋体" w:hAnsi="宋体" w:cs="宋体"/>
          <w:color w:val="auto"/>
          <w:highlight w:val="none"/>
          <w:lang w:val="en-US" w:eastAsia="zh-CN"/>
        </w:rPr>
        <w:t>6</w:t>
      </w:r>
      <w:r>
        <w:rPr>
          <w:rFonts w:hint="eastAsia" w:ascii="宋体" w:hAnsi="宋体" w:eastAsia="宋体" w:cs="宋体"/>
          <w:color w:val="auto"/>
          <w:highlight w:val="none"/>
        </w:rPr>
        <w:t>投标人符合本章第 33.1 款、第 33.2 款、第 33.3 款规定的，应提供相关证明资料。</w:t>
      </w:r>
    </w:p>
    <w:p w14:paraId="08EBF905">
      <w:pPr>
        <w:adjustRightInd w:val="0"/>
        <w:snapToGrid w:val="0"/>
        <w:spacing w:before="156" w:beforeLines="5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节能产品、环境标志产品：提供国家确定的认证机构出具的、处于有效期之内的节能产品、环境标志产品认证证书。</w:t>
      </w:r>
    </w:p>
    <w:p w14:paraId="11FA2A7E">
      <w:pPr>
        <w:adjustRightInd w:val="0"/>
        <w:snapToGrid w:val="0"/>
        <w:spacing w:before="156" w:beforeLines="50"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（2）中小企业：货物类采购项目，按《关于印发＜政府采购促进中小企业发展办法＞的通知》(财库[2020]46号) 和《关于印发中小企业划型标准规定的通知》（工信部联企业〔2011〕300号）文件规定提供中小企业声明函（格式）；服务类采购项目，按《湖南省财政厅关于政府采购促进中小企业发展的有关措施的通知》（湘财购[2022]17号）文件规定提供湖南省政府采购供应商资格承诺函（格式）。</w:t>
      </w:r>
    </w:p>
    <w:p w14:paraId="38A2A8D3">
      <w:pPr>
        <w:adjustRightInd w:val="0"/>
        <w:snapToGrid w:val="0"/>
        <w:spacing w:before="156" w:beforeLines="5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监狱企业：按《关于政府采购支持监狱企业发展有关问题的通知》(财库〔2014〕68 号)文件规定提供证明文件。</w:t>
      </w:r>
    </w:p>
    <w:p w14:paraId="413E6606">
      <w:pPr>
        <w:adjustRightInd w:val="0"/>
        <w:snapToGrid w:val="0"/>
        <w:spacing w:before="156" w:beforeLines="5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残疾人福利性单位：按《关于促进残疾人就业政府采购政策的通知》(财库〔2017〕141  号)文件规定提供《残疾人福利性单位声明函》（格式）。</w:t>
      </w:r>
    </w:p>
    <w:p w14:paraId="42FE9B98">
      <w:pPr>
        <w:adjustRightInd w:val="0"/>
        <w:snapToGrid w:val="0"/>
        <w:spacing w:before="156" w:beforeLines="50" w:line="360" w:lineRule="auto"/>
        <w:ind w:firstLine="420" w:firstLineChars="200"/>
        <w:jc w:val="left"/>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eastAsia="zh-CN"/>
        </w:rPr>
        <w:t>33.7执行中小企业预留采购份额政策的规定：</w:t>
      </w:r>
    </w:p>
    <w:p w14:paraId="2B8E8791">
      <w:pPr>
        <w:adjustRightInd w:val="0"/>
        <w:snapToGrid w:val="0"/>
        <w:spacing w:before="156" w:beforeLines="50"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（1）预留份额的采购项目或者采购包，应明确该项目或相关采购包专门面向中小企业采购，并作为</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lang w:eastAsia="zh-CN"/>
        </w:rPr>
        <w:t>资格条件。</w:t>
      </w:r>
    </w:p>
    <w:p w14:paraId="327A5689">
      <w:pPr>
        <w:adjustRightInd w:val="0"/>
        <w:snapToGrid w:val="0"/>
        <w:spacing w:before="156" w:beforeLines="50"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（2）要求以联合体形式参加或者合同分包的，应明确联合协议或者分包意向协议中中小企业合同金额应当达到的比例，并作为</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lang w:eastAsia="zh-CN"/>
        </w:rPr>
        <w:t>资格条件。</w:t>
      </w:r>
    </w:p>
    <w:p w14:paraId="0AB8B88F">
      <w:pPr>
        <w:adjustRightInd w:val="0"/>
        <w:snapToGrid w:val="0"/>
        <w:spacing w:before="156" w:beforeLines="50"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（3）组成联合体或者接受分包合同的中小企业与联合体内其他企业(成员)、分包企业(投标人)之间不得存在直接控股、管理关系。</w:t>
      </w:r>
    </w:p>
    <w:p w14:paraId="7BCEEEA8">
      <w:pPr>
        <w:adjustRightInd w:val="0"/>
        <w:snapToGrid w:val="0"/>
        <w:spacing w:before="156" w:beforeLines="50"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33.8</w:t>
      </w:r>
      <w:r>
        <w:rPr>
          <w:rFonts w:hint="eastAsia" w:ascii="宋体" w:hAnsi="宋体" w:eastAsia="宋体" w:cs="宋体"/>
          <w:color w:val="auto"/>
          <w:highlight w:val="none"/>
          <w:lang w:val="en-US" w:eastAsia="zh-CN"/>
        </w:rPr>
        <w:t>采购进口产品</w:t>
      </w:r>
    </w:p>
    <w:p w14:paraId="6B279CBE">
      <w:pPr>
        <w:adjustRightInd w:val="0"/>
        <w:snapToGrid w:val="0"/>
        <w:spacing w:before="156" w:beforeLines="50"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进口产品是指符合《政府采购进口产品管理办法》（财库〔2007〕119号）和《关于政府采购进口产品管理有关问题的通知》（财办库〔2008〕248号）文件规定的产品。除【投标须知前附表】另有规定外，采购项目拒绝进口产品参加投标。本款规定同意购买进口产品的，不限制满足招标文件要求的国内产品参与投标竞争。</w:t>
      </w:r>
    </w:p>
    <w:p w14:paraId="2E1C6599">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eastAsia="宋体" w:cs="宋体"/>
          <w:color w:val="auto"/>
          <w:highlight w:val="none"/>
          <w:lang w:val="en-US" w:eastAsia="zh-CN"/>
        </w:rPr>
        <w:t>33.9</w:t>
      </w:r>
      <w:r>
        <w:rPr>
          <w:rFonts w:hint="eastAsia" w:ascii="宋体" w:hAnsi="宋体" w:eastAsia="宋体" w:cs="宋体"/>
          <w:color w:val="auto"/>
          <w:highlight w:val="none"/>
          <w:lang w:eastAsia="zh-CN"/>
        </w:rPr>
        <w:t>投标人有融资、担保需求的，可登陆中国湖南政府采购网查询相关银行、担保机构业务。</w:t>
      </w:r>
    </w:p>
    <w:p w14:paraId="7D04602A">
      <w:pPr>
        <w:pStyle w:val="6"/>
        <w:adjustRightInd w:val="0"/>
        <w:snapToGrid w:val="0"/>
        <w:spacing w:beforeLines="50" w:after="0" w:line="360" w:lineRule="auto"/>
        <w:jc w:val="center"/>
        <w:rPr>
          <w:rFonts w:ascii="宋体" w:hAnsi="宋体" w:cs="宋体"/>
          <w:color w:val="auto"/>
          <w:sz w:val="28"/>
          <w:szCs w:val="28"/>
          <w:highlight w:val="none"/>
        </w:rPr>
      </w:pPr>
      <w:bookmarkStart w:id="43" w:name="_Toc9701"/>
      <w:r>
        <w:rPr>
          <w:rFonts w:hint="eastAsia" w:ascii="宋体" w:hAnsi="宋体" w:cs="宋体"/>
          <w:color w:val="auto"/>
          <w:sz w:val="28"/>
          <w:szCs w:val="28"/>
          <w:highlight w:val="none"/>
        </w:rPr>
        <w:t>九、其他规定</w:t>
      </w:r>
      <w:bookmarkEnd w:id="43"/>
    </w:p>
    <w:p w14:paraId="647FD8FB">
      <w:pPr>
        <w:adjustRightInd w:val="0"/>
        <w:snapToGrid w:val="0"/>
        <w:spacing w:beforeLines="50" w:line="360" w:lineRule="auto"/>
        <w:jc w:val="left"/>
        <w:rPr>
          <w:rFonts w:ascii="宋体" w:hAnsi="宋体" w:cs="宋体"/>
          <w:color w:val="auto"/>
          <w:szCs w:val="21"/>
          <w:highlight w:val="none"/>
        </w:rPr>
      </w:pPr>
      <w:r>
        <w:rPr>
          <w:rFonts w:hint="eastAsia" w:ascii="宋体" w:hAnsi="宋体" w:cs="宋体"/>
          <w:b/>
          <w:bCs/>
          <w:color w:val="auto"/>
          <w:szCs w:val="21"/>
          <w:highlight w:val="none"/>
        </w:rPr>
        <w:t>34、招标不足三家处理</w:t>
      </w:r>
    </w:p>
    <w:p w14:paraId="1FB9648C">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34.1公开招标数额标准以上的采购项目，投标截止后投标人不足 3 家或者通过资格审查或符合性审查的投标人不足 3 家的，除采购任务取消情形外，按照以下方式处理：</w:t>
      </w:r>
    </w:p>
    <w:p w14:paraId="2F31A63B">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（1）招标文件存在不合理条款或者招标程序不符合规定的，采购人、采购代理机构改正后依法重新招标；</w:t>
      </w:r>
    </w:p>
    <w:p w14:paraId="03BF0E6E">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（2）招标文件没有不合理条款、招标程序符合规定，需要采用其他采购方式采购的，采购人  应当依法报财政部门批准。</w:t>
      </w:r>
    </w:p>
    <w:p w14:paraId="591186EE">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34.2属上款第（2）项情形的，评标委员会应出具的招标文件没有不合理条款的论证意见。</w:t>
      </w:r>
    </w:p>
    <w:p w14:paraId="04A18D89">
      <w:pPr>
        <w:adjustRightInd w:val="0"/>
        <w:snapToGrid w:val="0"/>
        <w:spacing w:before="156" w:beforeLines="50" w:line="360" w:lineRule="auto"/>
        <w:jc w:val="left"/>
        <w:rPr>
          <w:rFonts w:hint="eastAsia" w:ascii="宋体" w:hAnsi="宋体" w:eastAsia="宋体" w:cs="宋体"/>
          <w:b/>
          <w:bCs/>
          <w:color w:val="auto"/>
          <w:szCs w:val="21"/>
          <w:highlight w:val="none"/>
          <w:lang w:val="ru-RU" w:eastAsia="en-US"/>
        </w:rPr>
      </w:pPr>
      <w:r>
        <w:rPr>
          <w:rFonts w:hint="eastAsia" w:ascii="宋体" w:hAnsi="宋体" w:eastAsia="宋体" w:cs="宋体"/>
          <w:b/>
          <w:bCs/>
          <w:color w:val="auto"/>
          <w:szCs w:val="21"/>
          <w:highlight w:val="none"/>
          <w:lang w:val="ru-RU" w:eastAsia="en-US"/>
        </w:rPr>
        <w:t>35.需要补充的其他内容</w:t>
      </w:r>
    </w:p>
    <w:p w14:paraId="4533E2A1">
      <w:pPr>
        <w:adjustRightInd w:val="0"/>
        <w:snapToGrid w:val="0"/>
        <w:spacing w:before="156" w:beforeLines="50" w:line="360" w:lineRule="auto"/>
        <w:ind w:firstLine="420" w:firstLineChars="200"/>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35.1合同价款支付</w:t>
      </w:r>
    </w:p>
    <w:p w14:paraId="0DADCE40">
      <w:pPr>
        <w:adjustRightInd w:val="0"/>
        <w:snapToGrid w:val="0"/>
        <w:spacing w:before="156" w:beforeLines="50" w:line="360" w:lineRule="auto"/>
        <w:ind w:firstLine="420" w:firstLineChars="200"/>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（1）招标文件规定支付合同预付款的，采购人应按【投标须知前附表】规定的支付比例和支付条件向符合要求的中标供应商及时支付相应款项，并在政府采购合同中进行明确。</w:t>
      </w:r>
    </w:p>
    <w:p w14:paraId="5104C90E">
      <w:pPr>
        <w:adjustRightInd w:val="0"/>
        <w:snapToGrid w:val="0"/>
        <w:spacing w:before="156" w:beforeLines="50" w:line="360" w:lineRule="auto"/>
        <w:ind w:firstLine="420" w:firstLineChars="200"/>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（2）招标文件规定需提交质量保证金的，采购人可以按【投标须知前附表】规定要求中标供应商提交质量保证金，并在政府采购合同中进行明确。</w:t>
      </w:r>
    </w:p>
    <w:p w14:paraId="3D291F05">
      <w:pPr>
        <w:adjustRightInd w:val="0"/>
        <w:snapToGrid w:val="0"/>
        <w:spacing w:before="156" w:beforeLines="50" w:line="360" w:lineRule="auto"/>
        <w:ind w:firstLine="420" w:firstLineChars="200"/>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（3）投标人可以保函、电子增信替代预付款担保、质量保证金。</w:t>
      </w:r>
    </w:p>
    <w:p w14:paraId="02097E6A">
      <w:pPr>
        <w:adjustRightInd w:val="0"/>
        <w:snapToGrid w:val="0"/>
        <w:spacing w:beforeLines="50" w:line="360" w:lineRule="auto"/>
        <w:ind w:firstLine="420" w:firstLineChars="200"/>
        <w:jc w:val="left"/>
        <w:rPr>
          <w:rFonts w:hint="eastAsia" w:ascii="宋体" w:hAnsi="宋体" w:cs="宋体"/>
          <w:color w:val="auto"/>
          <w:szCs w:val="21"/>
          <w:highlight w:val="none"/>
        </w:rPr>
      </w:pPr>
      <w:r>
        <w:rPr>
          <w:rFonts w:hint="eastAsia" w:ascii="宋体" w:hAnsi="宋体" w:eastAsia="宋体" w:cs="宋体"/>
          <w:b w:val="0"/>
          <w:bCs w:val="0"/>
          <w:color w:val="auto"/>
          <w:szCs w:val="21"/>
          <w:highlight w:val="none"/>
          <w:lang w:val="en-US" w:eastAsia="zh-CN"/>
        </w:rPr>
        <w:t>35.2招标文件需要补充的其他内容见</w:t>
      </w:r>
      <w:r>
        <w:rPr>
          <w:rFonts w:hint="eastAsia" w:ascii="宋体" w:hAnsi="宋体" w:eastAsia="宋体" w:cs="宋体"/>
          <w:b/>
          <w:bCs/>
          <w:color w:val="auto"/>
          <w:szCs w:val="21"/>
          <w:highlight w:val="none"/>
          <w:lang w:val="en-US" w:eastAsia="zh-CN"/>
        </w:rPr>
        <w:t>【投标须知前附表】</w:t>
      </w:r>
      <w:r>
        <w:rPr>
          <w:rFonts w:hint="eastAsia" w:ascii="宋体" w:hAnsi="宋体" w:cs="宋体"/>
          <w:color w:val="auto"/>
          <w:szCs w:val="21"/>
          <w:highlight w:val="none"/>
        </w:rPr>
        <w:t>。</w:t>
      </w:r>
    </w:p>
    <w:p w14:paraId="6EB4AE6C">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737E854E">
      <w:pPr>
        <w:spacing w:line="460" w:lineRule="exact"/>
        <w:jc w:val="left"/>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附件1：</w:t>
      </w:r>
    </w:p>
    <w:p w14:paraId="66EADD67">
      <w:pPr>
        <w:spacing w:line="460" w:lineRule="exact"/>
        <w:ind w:firstLine="420" w:firstLineChars="200"/>
        <w:jc w:val="left"/>
        <w:rPr>
          <w:rFonts w:hint="eastAsia" w:asciiTheme="minorEastAsia" w:hAnsiTheme="minorEastAsia" w:eastAsiaTheme="minorEastAsia" w:cstheme="minorEastAsia"/>
          <w:bCs/>
          <w:color w:val="auto"/>
          <w:sz w:val="21"/>
          <w:szCs w:val="21"/>
          <w:highlight w:val="none"/>
          <w:lang w:eastAsia="zh-CN"/>
        </w:rPr>
      </w:pPr>
    </w:p>
    <w:p w14:paraId="1FB9E63B">
      <w:pPr>
        <w:spacing w:line="460" w:lineRule="exact"/>
        <w:ind w:firstLine="422" w:firstLineChars="200"/>
        <w:jc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株洲市政府采购合同线上融资流程</w:t>
      </w:r>
    </w:p>
    <w:p w14:paraId="7779DF60">
      <w:pPr>
        <w:spacing w:line="460" w:lineRule="exact"/>
        <w:ind w:firstLine="422" w:firstLineChars="200"/>
        <w:jc w:val="left"/>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（一）、融资申请</w:t>
      </w:r>
    </w:p>
    <w:p w14:paraId="44705E2C">
      <w:pPr>
        <w:spacing w:line="460" w:lineRule="exact"/>
        <w:ind w:firstLine="420" w:firstLineChars="200"/>
        <w:jc w:val="left"/>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有融资需求的供应商取得《中标通知书》后，在签订采购合同前，通过“株洲市政府采购网”的“政府采购合同融资”链接进入“中征应收账款融资服务平台”，直接向参与金融机构推送融资需求。</w:t>
      </w:r>
    </w:p>
    <w:p w14:paraId="745DDE60">
      <w:pPr>
        <w:spacing w:line="460" w:lineRule="exact"/>
        <w:ind w:firstLine="422" w:firstLineChars="200"/>
        <w:jc w:val="left"/>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（二）、资料审查</w:t>
      </w:r>
    </w:p>
    <w:p w14:paraId="4BC2FAC4">
      <w:pPr>
        <w:spacing w:line="460" w:lineRule="exact"/>
        <w:ind w:firstLine="420" w:firstLineChars="200"/>
        <w:jc w:val="left"/>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参与金融机构登录平台查看融资需求及中标（或成交）详情，进行贷前评审，确定融资方案和回款账户，签订《政府采购合同》，确定合同收款账户。</w:t>
      </w:r>
    </w:p>
    <w:p w14:paraId="0AF63E34">
      <w:pPr>
        <w:spacing w:line="460" w:lineRule="exact"/>
        <w:ind w:firstLine="422" w:firstLineChars="200"/>
        <w:jc w:val="left"/>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（三）、签订贷款协议</w:t>
      </w:r>
    </w:p>
    <w:p w14:paraId="324B583E">
      <w:pPr>
        <w:spacing w:line="460" w:lineRule="exact"/>
        <w:ind w:firstLine="420" w:firstLineChars="200"/>
        <w:jc w:val="left"/>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参与金融机构登录平台查看采购合同信息，与供应商签订贷款协议，在线填写融资成交单，推送融资成交信息，系统自动将回款账户锁定为银行监管账户。</w:t>
      </w:r>
    </w:p>
    <w:p w14:paraId="2885EED1">
      <w:pPr>
        <w:spacing w:line="460" w:lineRule="exact"/>
        <w:ind w:firstLine="422" w:firstLineChars="200"/>
        <w:jc w:val="left"/>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（四）、贷款发放</w:t>
      </w:r>
    </w:p>
    <w:p w14:paraId="12CCBD3D">
      <w:pPr>
        <w:spacing w:line="460" w:lineRule="exact"/>
        <w:ind w:firstLine="420" w:firstLineChars="200"/>
        <w:jc w:val="left"/>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融资银行核实回款账户无误后，根据贷款协议向供应商发放贷款。</w:t>
      </w:r>
    </w:p>
    <w:p w14:paraId="74FB0DA2">
      <w:pPr>
        <w:spacing w:line="460" w:lineRule="exact"/>
        <w:ind w:firstLine="422" w:firstLineChars="200"/>
        <w:jc w:val="left"/>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（五）、按期还款</w:t>
      </w:r>
    </w:p>
    <w:p w14:paraId="70E91872">
      <w:pPr>
        <w:spacing w:line="460" w:lineRule="exact"/>
        <w:ind w:firstLine="420" w:firstLineChars="200"/>
        <w:jc w:val="left"/>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合同履行完毕后，采购单位根据合同约定时间和账户在线填写支付申请，向财政部门发送支付指令，财政部门严格按照相关规定将资金支付到采购合同收款账户。</w:t>
      </w:r>
    </w:p>
    <w:p w14:paraId="328A5804">
      <w:pPr>
        <w:spacing w:line="460" w:lineRule="exact"/>
        <w:ind w:firstLine="422" w:firstLineChars="200"/>
        <w:jc w:val="left"/>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（六）、业务终止</w:t>
      </w:r>
    </w:p>
    <w:p w14:paraId="29DA86DD">
      <w:pPr>
        <w:spacing w:line="460" w:lineRule="exact"/>
        <w:ind w:firstLine="420" w:firstLineChars="200"/>
        <w:jc w:val="left"/>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贷款偿清后，融资银行解除质押，业务终止。</w:t>
      </w:r>
    </w:p>
    <w:p w14:paraId="3AC63C83">
      <w:pPr>
        <w:spacing w:line="460" w:lineRule="exact"/>
        <w:jc w:val="left"/>
        <w:rPr>
          <w:rFonts w:hint="eastAsia" w:asciiTheme="minorEastAsia" w:hAnsiTheme="minorEastAsia" w:eastAsiaTheme="minorEastAsia" w:cstheme="minorEastAsia"/>
          <w:b/>
          <w:bCs/>
          <w:color w:val="auto"/>
          <w:sz w:val="21"/>
          <w:szCs w:val="21"/>
          <w:highlight w:val="none"/>
          <w:lang w:eastAsia="zh-CN"/>
        </w:rPr>
      </w:pPr>
      <w:r>
        <w:rPr>
          <w:rFonts w:hint="eastAsia" w:ascii="仿宋" w:hAnsi="仿宋" w:eastAsia="仿宋" w:cs="仿宋"/>
          <w:bCs/>
          <w:color w:val="auto"/>
          <w:sz w:val="21"/>
          <w:szCs w:val="21"/>
          <w:highlight w:val="none"/>
          <w:lang w:eastAsia="zh-CN"/>
        </w:rPr>
        <w:br w:type="page"/>
      </w:r>
      <w:r>
        <w:rPr>
          <w:rFonts w:hint="eastAsia" w:asciiTheme="minorEastAsia" w:hAnsiTheme="minorEastAsia" w:eastAsiaTheme="minorEastAsia" w:cstheme="minorEastAsia"/>
          <w:b/>
          <w:bCs/>
          <w:color w:val="auto"/>
          <w:sz w:val="21"/>
          <w:szCs w:val="21"/>
          <w:highlight w:val="none"/>
          <w:lang w:eastAsia="zh-CN"/>
        </w:rPr>
        <w:t>附件2:</w:t>
      </w:r>
    </w:p>
    <w:p w14:paraId="4FC80BD0">
      <w:pPr>
        <w:spacing w:line="460" w:lineRule="exact"/>
        <w:ind w:firstLine="422" w:firstLineChars="200"/>
        <w:jc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株洲市政府采购合同线上融资业务</w:t>
      </w:r>
      <w:r>
        <w:rPr>
          <w:rFonts w:hint="eastAsia" w:asciiTheme="minorEastAsia" w:hAnsiTheme="minorEastAsia" w:eastAsiaTheme="minorEastAsia" w:cstheme="minorEastAsia"/>
          <w:b/>
          <w:bCs/>
          <w:color w:val="auto"/>
          <w:sz w:val="21"/>
          <w:szCs w:val="21"/>
          <w:highlight w:val="none"/>
          <w:lang w:val="en-US" w:eastAsia="zh-CN"/>
        </w:rPr>
        <w:t>流程图</w:t>
      </w:r>
    </w:p>
    <w:p w14:paraId="7730F462">
      <w:pPr>
        <w:spacing w:line="460" w:lineRule="exact"/>
        <w:ind w:firstLine="420" w:firstLineChars="200"/>
        <w:jc w:val="left"/>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drawing>
          <wp:anchor distT="0" distB="0" distL="114300" distR="114300" simplePos="0" relativeHeight="251670528" behindDoc="1" locked="0" layoutInCell="1" allowOverlap="1">
            <wp:simplePos x="0" y="0"/>
            <wp:positionH relativeFrom="column">
              <wp:align>center</wp:align>
            </wp:positionH>
            <wp:positionV relativeFrom="paragraph">
              <wp:posOffset>175260</wp:posOffset>
            </wp:positionV>
            <wp:extent cx="5707380" cy="3169920"/>
            <wp:effectExtent l="0" t="0" r="7620" b="11430"/>
            <wp:wrapTight wrapText="bothSides">
              <wp:wrapPolygon>
                <wp:start x="0" y="0"/>
                <wp:lineTo x="0" y="21418"/>
                <wp:lineTo x="21557" y="21418"/>
                <wp:lineTo x="21557" y="0"/>
                <wp:lineTo x="0" y="0"/>
              </wp:wrapPolygon>
            </wp:wrapTight>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5"/>
                    <a:stretch>
                      <a:fillRect/>
                    </a:stretch>
                  </pic:blipFill>
                  <pic:spPr>
                    <a:xfrm>
                      <a:off x="0" y="0"/>
                      <a:ext cx="5707380" cy="3169920"/>
                    </a:xfrm>
                    <a:prstGeom prst="rect">
                      <a:avLst/>
                    </a:prstGeom>
                    <a:noFill/>
                    <a:ln>
                      <a:noFill/>
                    </a:ln>
                  </pic:spPr>
                </pic:pic>
              </a:graphicData>
            </a:graphic>
          </wp:anchor>
        </w:drawing>
      </w:r>
    </w:p>
    <w:p w14:paraId="19D9CDA7">
      <w:pPr>
        <w:spacing w:line="460" w:lineRule="exact"/>
        <w:jc w:val="left"/>
        <w:rPr>
          <w:rFonts w:hint="eastAsia" w:asciiTheme="minorEastAsia" w:hAnsiTheme="minorEastAsia" w:eastAsiaTheme="minorEastAsia" w:cstheme="minorEastAsia"/>
          <w:b/>
          <w:bCs/>
          <w:color w:val="auto"/>
          <w:sz w:val="21"/>
          <w:szCs w:val="21"/>
          <w:highlight w:val="none"/>
          <w:lang w:eastAsia="zh-CN"/>
        </w:rPr>
      </w:pPr>
      <w:r>
        <w:rPr>
          <w:rFonts w:hint="eastAsia" w:ascii="仿宋" w:hAnsi="仿宋" w:eastAsia="仿宋" w:cs="仿宋"/>
          <w:bCs/>
          <w:color w:val="auto"/>
          <w:sz w:val="21"/>
          <w:szCs w:val="21"/>
          <w:highlight w:val="none"/>
          <w:lang w:eastAsia="zh-CN"/>
        </w:rPr>
        <w:br w:type="page"/>
      </w:r>
      <w:r>
        <w:rPr>
          <w:rFonts w:hint="eastAsia" w:asciiTheme="minorEastAsia" w:hAnsiTheme="minorEastAsia" w:eastAsiaTheme="minorEastAsia" w:cstheme="minorEastAsia"/>
          <w:b/>
          <w:bCs/>
          <w:color w:val="auto"/>
          <w:sz w:val="21"/>
          <w:szCs w:val="21"/>
          <w:highlight w:val="none"/>
          <w:lang w:eastAsia="zh-CN"/>
        </w:rPr>
        <w:t>附件3:</w:t>
      </w:r>
    </w:p>
    <w:p w14:paraId="59799728">
      <w:pPr>
        <w:spacing w:line="460" w:lineRule="exact"/>
        <w:ind w:firstLine="422" w:firstLineChars="200"/>
        <w:jc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株洲市政府采购合同线上融资业务办理银行联系表</w:t>
      </w:r>
    </w:p>
    <w:p w14:paraId="095E648C">
      <w:pPr>
        <w:pStyle w:val="142"/>
        <w:rPr>
          <w:rFonts w:hint="eastAsia" w:ascii="仿宋" w:hAnsi="仿宋" w:eastAsia="仿宋" w:cs="仿宋"/>
          <w:color w:val="auto"/>
          <w:highlight w:val="none"/>
          <w:lang w:eastAsia="zh-CN"/>
        </w:rPr>
      </w:pP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2881"/>
        <w:gridCol w:w="1569"/>
        <w:gridCol w:w="3549"/>
      </w:tblGrid>
      <w:tr w14:paraId="79DC53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l2br w:val="nil"/>
              <w:tr2bl w:val="nil"/>
            </w:tcBorders>
            <w:noWrap w:val="0"/>
            <w:vAlign w:val="center"/>
          </w:tcPr>
          <w:p w14:paraId="04B6A58F">
            <w:pPr>
              <w:spacing w:line="460" w:lineRule="exact"/>
              <w:jc w:val="center"/>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序号</w:t>
            </w:r>
          </w:p>
        </w:tc>
        <w:tc>
          <w:tcPr>
            <w:tcW w:w="2926" w:type="dxa"/>
            <w:tcBorders>
              <w:tl2br w:val="nil"/>
              <w:tr2bl w:val="nil"/>
            </w:tcBorders>
            <w:noWrap w:val="0"/>
            <w:vAlign w:val="center"/>
          </w:tcPr>
          <w:p w14:paraId="130F93E2">
            <w:pPr>
              <w:spacing w:line="460" w:lineRule="exact"/>
              <w:jc w:val="center"/>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银行名称</w:t>
            </w:r>
          </w:p>
        </w:tc>
        <w:tc>
          <w:tcPr>
            <w:tcW w:w="1590" w:type="dxa"/>
            <w:tcBorders>
              <w:tl2br w:val="nil"/>
              <w:tr2bl w:val="nil"/>
            </w:tcBorders>
            <w:noWrap w:val="0"/>
            <w:vAlign w:val="center"/>
          </w:tcPr>
          <w:p w14:paraId="6106D952">
            <w:pPr>
              <w:spacing w:line="460" w:lineRule="exact"/>
              <w:jc w:val="center"/>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联系人</w:t>
            </w:r>
          </w:p>
        </w:tc>
        <w:tc>
          <w:tcPr>
            <w:tcW w:w="3585" w:type="dxa"/>
            <w:tcBorders>
              <w:tl2br w:val="nil"/>
              <w:tr2bl w:val="nil"/>
            </w:tcBorders>
            <w:noWrap w:val="0"/>
            <w:vAlign w:val="center"/>
          </w:tcPr>
          <w:p w14:paraId="11809374">
            <w:pPr>
              <w:spacing w:line="460" w:lineRule="exact"/>
              <w:jc w:val="center"/>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手机号码</w:t>
            </w:r>
          </w:p>
        </w:tc>
      </w:tr>
      <w:tr w14:paraId="71BCE5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l2br w:val="nil"/>
              <w:tr2bl w:val="nil"/>
            </w:tcBorders>
            <w:noWrap w:val="0"/>
            <w:vAlign w:val="center"/>
          </w:tcPr>
          <w:p w14:paraId="147CA111">
            <w:pPr>
              <w:spacing w:line="460" w:lineRule="exact"/>
              <w:jc w:val="center"/>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1</w:t>
            </w:r>
          </w:p>
        </w:tc>
        <w:tc>
          <w:tcPr>
            <w:tcW w:w="2926" w:type="dxa"/>
            <w:tcBorders>
              <w:tl2br w:val="nil"/>
              <w:tr2bl w:val="nil"/>
            </w:tcBorders>
            <w:noWrap w:val="0"/>
            <w:vAlign w:val="center"/>
          </w:tcPr>
          <w:p w14:paraId="744EF05C">
            <w:pPr>
              <w:spacing w:line="460" w:lineRule="exact"/>
              <w:jc w:val="center"/>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交通银行株洲分行</w:t>
            </w:r>
          </w:p>
        </w:tc>
        <w:tc>
          <w:tcPr>
            <w:tcW w:w="1590" w:type="dxa"/>
            <w:tcBorders>
              <w:tl2br w:val="nil"/>
              <w:tr2bl w:val="nil"/>
            </w:tcBorders>
            <w:noWrap w:val="0"/>
            <w:vAlign w:val="center"/>
          </w:tcPr>
          <w:p w14:paraId="1CB75C65">
            <w:pPr>
              <w:spacing w:line="460" w:lineRule="exact"/>
              <w:jc w:val="center"/>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蒋</w:t>
            </w:r>
            <w:r>
              <w:rPr>
                <w:rFonts w:hint="eastAsia" w:asciiTheme="minorEastAsia" w:hAnsiTheme="minorEastAsia" w:eastAsiaTheme="minorEastAsia" w:cstheme="minorEastAsia"/>
                <w:bCs/>
                <w:color w:val="auto"/>
                <w:sz w:val="21"/>
                <w:szCs w:val="21"/>
                <w:highlight w:val="none"/>
                <w:lang w:val="en-US" w:eastAsia="zh-CN"/>
              </w:rPr>
              <w:t xml:space="preserve">  </w:t>
            </w:r>
            <w:r>
              <w:rPr>
                <w:rFonts w:hint="eastAsia" w:asciiTheme="minorEastAsia" w:hAnsiTheme="minorEastAsia" w:eastAsiaTheme="minorEastAsia" w:cstheme="minorEastAsia"/>
                <w:bCs/>
                <w:color w:val="auto"/>
                <w:sz w:val="21"/>
                <w:szCs w:val="21"/>
                <w:highlight w:val="none"/>
                <w:lang w:eastAsia="zh-CN"/>
              </w:rPr>
              <w:t>宁</w:t>
            </w:r>
          </w:p>
        </w:tc>
        <w:tc>
          <w:tcPr>
            <w:tcW w:w="3585" w:type="dxa"/>
            <w:tcBorders>
              <w:tl2br w:val="nil"/>
              <w:tr2bl w:val="nil"/>
            </w:tcBorders>
            <w:noWrap w:val="0"/>
            <w:vAlign w:val="center"/>
          </w:tcPr>
          <w:p w14:paraId="37DE4F3C">
            <w:pPr>
              <w:spacing w:line="460" w:lineRule="exact"/>
              <w:jc w:val="center"/>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15873361819</w:t>
            </w:r>
          </w:p>
        </w:tc>
      </w:tr>
      <w:tr w14:paraId="13E345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tcBorders>
              <w:tl2br w:val="nil"/>
              <w:tr2bl w:val="nil"/>
            </w:tcBorders>
            <w:noWrap w:val="0"/>
            <w:vAlign w:val="center"/>
          </w:tcPr>
          <w:p w14:paraId="39003D4B">
            <w:pPr>
              <w:spacing w:line="460" w:lineRule="exact"/>
              <w:jc w:val="center"/>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2</w:t>
            </w:r>
          </w:p>
        </w:tc>
        <w:tc>
          <w:tcPr>
            <w:tcW w:w="2926" w:type="dxa"/>
            <w:vMerge w:val="restart"/>
            <w:tcBorders>
              <w:tl2br w:val="nil"/>
              <w:tr2bl w:val="nil"/>
            </w:tcBorders>
            <w:noWrap w:val="0"/>
            <w:vAlign w:val="center"/>
          </w:tcPr>
          <w:p w14:paraId="0BDAEBE4">
            <w:pPr>
              <w:spacing w:line="4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长沙银行株洲分行</w:t>
            </w:r>
          </w:p>
        </w:tc>
        <w:tc>
          <w:tcPr>
            <w:tcW w:w="1590" w:type="dxa"/>
            <w:tcBorders>
              <w:tl2br w:val="nil"/>
              <w:tr2bl w:val="nil"/>
            </w:tcBorders>
            <w:noWrap w:val="0"/>
            <w:vAlign w:val="center"/>
          </w:tcPr>
          <w:p w14:paraId="28D74C32">
            <w:pPr>
              <w:spacing w:line="460" w:lineRule="exact"/>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易思宇</w:t>
            </w:r>
          </w:p>
        </w:tc>
        <w:tc>
          <w:tcPr>
            <w:tcW w:w="3585" w:type="dxa"/>
            <w:tcBorders>
              <w:tl2br w:val="nil"/>
              <w:tr2bl w:val="nil"/>
            </w:tcBorders>
            <w:noWrap w:val="0"/>
            <w:vAlign w:val="center"/>
          </w:tcPr>
          <w:p w14:paraId="600EB479">
            <w:pPr>
              <w:spacing w:line="460" w:lineRule="exact"/>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13762316666</w:t>
            </w:r>
          </w:p>
        </w:tc>
      </w:tr>
      <w:tr w14:paraId="3DB2B8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tcBorders>
              <w:tl2br w:val="nil"/>
              <w:tr2bl w:val="nil"/>
            </w:tcBorders>
            <w:noWrap w:val="0"/>
            <w:vAlign w:val="center"/>
          </w:tcPr>
          <w:p w14:paraId="3EE9E5CE">
            <w:pPr>
              <w:spacing w:line="460" w:lineRule="exact"/>
              <w:jc w:val="center"/>
              <w:rPr>
                <w:rFonts w:hint="eastAsia" w:asciiTheme="minorEastAsia" w:hAnsiTheme="minorEastAsia" w:eastAsiaTheme="minorEastAsia" w:cstheme="minorEastAsia"/>
                <w:bCs/>
                <w:color w:val="auto"/>
                <w:sz w:val="21"/>
                <w:szCs w:val="21"/>
                <w:highlight w:val="none"/>
                <w:lang w:eastAsia="zh-CN"/>
              </w:rPr>
            </w:pPr>
          </w:p>
        </w:tc>
        <w:tc>
          <w:tcPr>
            <w:tcW w:w="2926" w:type="dxa"/>
            <w:vMerge w:val="continue"/>
            <w:tcBorders>
              <w:tl2br w:val="nil"/>
              <w:tr2bl w:val="nil"/>
            </w:tcBorders>
            <w:noWrap w:val="0"/>
            <w:vAlign w:val="center"/>
          </w:tcPr>
          <w:p w14:paraId="1BEF7388">
            <w:pPr>
              <w:spacing w:line="460" w:lineRule="exact"/>
              <w:jc w:val="center"/>
              <w:rPr>
                <w:rFonts w:hint="eastAsia" w:asciiTheme="minorEastAsia" w:hAnsiTheme="minorEastAsia" w:eastAsiaTheme="minorEastAsia" w:cstheme="minorEastAsia"/>
                <w:bCs/>
                <w:color w:val="auto"/>
                <w:sz w:val="21"/>
                <w:szCs w:val="21"/>
                <w:highlight w:val="none"/>
                <w:lang w:eastAsia="zh-CN"/>
              </w:rPr>
            </w:pPr>
          </w:p>
        </w:tc>
        <w:tc>
          <w:tcPr>
            <w:tcW w:w="1590" w:type="dxa"/>
            <w:tcBorders>
              <w:tl2br w:val="nil"/>
              <w:tr2bl w:val="nil"/>
            </w:tcBorders>
            <w:noWrap w:val="0"/>
            <w:vAlign w:val="center"/>
          </w:tcPr>
          <w:p w14:paraId="4F932118">
            <w:pPr>
              <w:spacing w:line="460" w:lineRule="exact"/>
              <w:jc w:val="center"/>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曾名志</w:t>
            </w:r>
          </w:p>
        </w:tc>
        <w:tc>
          <w:tcPr>
            <w:tcW w:w="3585" w:type="dxa"/>
            <w:tcBorders>
              <w:tl2br w:val="nil"/>
              <w:tr2bl w:val="nil"/>
            </w:tcBorders>
            <w:noWrap w:val="0"/>
            <w:vAlign w:val="center"/>
          </w:tcPr>
          <w:p w14:paraId="4405FA2F">
            <w:pPr>
              <w:spacing w:line="460" w:lineRule="exact"/>
              <w:jc w:val="center"/>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13786360080</w:t>
            </w:r>
          </w:p>
        </w:tc>
      </w:tr>
      <w:tr w14:paraId="06DBBC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l2br w:val="nil"/>
              <w:tr2bl w:val="nil"/>
            </w:tcBorders>
            <w:noWrap w:val="0"/>
            <w:vAlign w:val="center"/>
          </w:tcPr>
          <w:p w14:paraId="7A074C56">
            <w:pPr>
              <w:spacing w:line="460" w:lineRule="exact"/>
              <w:jc w:val="center"/>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3</w:t>
            </w:r>
          </w:p>
        </w:tc>
        <w:tc>
          <w:tcPr>
            <w:tcW w:w="2926" w:type="dxa"/>
            <w:tcBorders>
              <w:tl2br w:val="nil"/>
              <w:tr2bl w:val="nil"/>
            </w:tcBorders>
            <w:noWrap w:val="0"/>
            <w:vAlign w:val="center"/>
          </w:tcPr>
          <w:p w14:paraId="62590777">
            <w:pPr>
              <w:spacing w:line="460" w:lineRule="exact"/>
              <w:jc w:val="center"/>
              <w:rPr>
                <w:rFonts w:hint="eastAsia"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lang w:eastAsia="zh-CN"/>
              </w:rPr>
              <w:t>农业银行株洲分行</w:t>
            </w:r>
            <w:r>
              <w:rPr>
                <w:rFonts w:hint="eastAsia" w:asciiTheme="minorEastAsia" w:hAnsiTheme="minorEastAsia" w:eastAsiaTheme="minorEastAsia" w:cstheme="minorEastAsia"/>
                <w:bCs/>
                <w:color w:val="auto"/>
                <w:sz w:val="21"/>
                <w:szCs w:val="21"/>
                <w:highlight w:val="none"/>
                <w:lang w:val="en-US" w:eastAsia="zh-CN"/>
              </w:rPr>
              <w:t>开发区支行</w:t>
            </w:r>
          </w:p>
        </w:tc>
        <w:tc>
          <w:tcPr>
            <w:tcW w:w="1590" w:type="dxa"/>
            <w:tcBorders>
              <w:tl2br w:val="nil"/>
              <w:tr2bl w:val="nil"/>
            </w:tcBorders>
            <w:noWrap w:val="0"/>
            <w:vAlign w:val="center"/>
          </w:tcPr>
          <w:p w14:paraId="290E0532">
            <w:pPr>
              <w:spacing w:line="460" w:lineRule="exact"/>
              <w:jc w:val="center"/>
              <w:rPr>
                <w:rFonts w:hint="eastAsia"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lang w:eastAsia="zh-CN"/>
              </w:rPr>
              <w:t>张</w:t>
            </w:r>
            <w:r>
              <w:rPr>
                <w:rFonts w:hint="eastAsia" w:asciiTheme="minorEastAsia" w:hAnsiTheme="minorEastAsia" w:eastAsiaTheme="minorEastAsia" w:cstheme="minorEastAsia"/>
                <w:bCs/>
                <w:color w:val="auto"/>
                <w:sz w:val="21"/>
                <w:szCs w:val="21"/>
                <w:highlight w:val="none"/>
                <w:lang w:val="en-US" w:eastAsia="zh-CN"/>
              </w:rPr>
              <w:t>启慧</w:t>
            </w:r>
          </w:p>
        </w:tc>
        <w:tc>
          <w:tcPr>
            <w:tcW w:w="3585" w:type="dxa"/>
            <w:tcBorders>
              <w:tl2br w:val="nil"/>
              <w:tr2bl w:val="nil"/>
            </w:tcBorders>
            <w:noWrap w:val="0"/>
            <w:vAlign w:val="center"/>
          </w:tcPr>
          <w:p w14:paraId="0EB28FFF">
            <w:pPr>
              <w:spacing w:line="460" w:lineRule="exact"/>
              <w:jc w:val="center"/>
              <w:rPr>
                <w:rFonts w:hint="eastAsia"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lang w:val="en-US" w:eastAsia="zh-CN"/>
              </w:rPr>
              <w:t>15973336667</w:t>
            </w:r>
          </w:p>
        </w:tc>
      </w:tr>
      <w:tr w14:paraId="4C7E6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l2br w:val="nil"/>
              <w:tr2bl w:val="nil"/>
            </w:tcBorders>
            <w:noWrap w:val="0"/>
            <w:vAlign w:val="center"/>
          </w:tcPr>
          <w:p w14:paraId="021E0393">
            <w:pPr>
              <w:spacing w:line="460" w:lineRule="exact"/>
              <w:jc w:val="center"/>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4</w:t>
            </w:r>
          </w:p>
        </w:tc>
        <w:tc>
          <w:tcPr>
            <w:tcW w:w="2926" w:type="dxa"/>
            <w:tcBorders>
              <w:tl2br w:val="nil"/>
              <w:tr2bl w:val="nil"/>
            </w:tcBorders>
            <w:noWrap w:val="0"/>
            <w:vAlign w:val="center"/>
          </w:tcPr>
          <w:p w14:paraId="3CA9F036">
            <w:pPr>
              <w:spacing w:line="460" w:lineRule="exact"/>
              <w:jc w:val="center"/>
              <w:rPr>
                <w:rFonts w:hint="eastAsia" w:asciiTheme="minorEastAsia" w:hAnsiTheme="minorEastAsia" w:eastAsiaTheme="minorEastAsia" w:cstheme="minorEastAsia"/>
                <w:bCs/>
                <w:color w:val="auto"/>
                <w:sz w:val="21"/>
                <w:szCs w:val="21"/>
                <w:highlight w:val="none"/>
                <w:lang w:val="ru-RU" w:eastAsia="ru-RU" w:bidi="ar-SA"/>
              </w:rPr>
            </w:pPr>
            <w:r>
              <w:rPr>
                <w:rFonts w:hint="eastAsia" w:asciiTheme="minorEastAsia" w:hAnsiTheme="minorEastAsia" w:eastAsiaTheme="minorEastAsia" w:cstheme="minorEastAsia"/>
                <w:bCs/>
                <w:color w:val="auto"/>
                <w:sz w:val="21"/>
                <w:szCs w:val="21"/>
                <w:highlight w:val="none"/>
                <w:lang w:eastAsia="zh-CN"/>
              </w:rPr>
              <w:t>兴业银行株洲分行</w:t>
            </w:r>
          </w:p>
        </w:tc>
        <w:tc>
          <w:tcPr>
            <w:tcW w:w="1590" w:type="dxa"/>
            <w:tcBorders>
              <w:tl2br w:val="nil"/>
              <w:tr2bl w:val="nil"/>
            </w:tcBorders>
            <w:noWrap w:val="0"/>
            <w:vAlign w:val="center"/>
          </w:tcPr>
          <w:p w14:paraId="50E5C80B">
            <w:pPr>
              <w:spacing w:line="460" w:lineRule="exact"/>
              <w:jc w:val="center"/>
              <w:rPr>
                <w:rFonts w:hint="eastAsia" w:asciiTheme="minorEastAsia" w:hAnsiTheme="minorEastAsia" w:eastAsiaTheme="minorEastAsia" w:cstheme="minorEastAsia"/>
                <w:bCs/>
                <w:color w:val="auto"/>
                <w:sz w:val="21"/>
                <w:szCs w:val="21"/>
                <w:highlight w:val="none"/>
                <w:lang w:val="ru-RU" w:eastAsia="ru-RU" w:bidi="ar-SA"/>
              </w:rPr>
            </w:pPr>
            <w:r>
              <w:rPr>
                <w:rFonts w:hint="eastAsia" w:asciiTheme="minorEastAsia" w:hAnsiTheme="minorEastAsia" w:eastAsiaTheme="minorEastAsia" w:cstheme="minorEastAsia"/>
                <w:bCs/>
                <w:color w:val="auto"/>
                <w:sz w:val="21"/>
                <w:szCs w:val="21"/>
                <w:highlight w:val="none"/>
                <w:lang w:eastAsia="zh-CN"/>
              </w:rPr>
              <w:t>张</w:t>
            </w:r>
            <w:r>
              <w:rPr>
                <w:rFonts w:hint="eastAsia" w:asciiTheme="minorEastAsia" w:hAnsiTheme="minorEastAsia" w:eastAsiaTheme="minorEastAsia" w:cstheme="minorEastAsia"/>
                <w:bCs/>
                <w:color w:val="auto"/>
                <w:sz w:val="21"/>
                <w:szCs w:val="21"/>
                <w:highlight w:val="none"/>
                <w:lang w:val="en-US" w:eastAsia="zh-CN"/>
              </w:rPr>
              <w:t xml:space="preserve">  </w:t>
            </w:r>
            <w:r>
              <w:rPr>
                <w:rFonts w:hint="eastAsia" w:asciiTheme="minorEastAsia" w:hAnsiTheme="minorEastAsia" w:eastAsiaTheme="minorEastAsia" w:cstheme="minorEastAsia"/>
                <w:bCs/>
                <w:color w:val="auto"/>
                <w:sz w:val="21"/>
                <w:szCs w:val="21"/>
                <w:highlight w:val="none"/>
                <w:lang w:eastAsia="zh-CN"/>
              </w:rPr>
              <w:t>维</w:t>
            </w:r>
          </w:p>
        </w:tc>
        <w:tc>
          <w:tcPr>
            <w:tcW w:w="3585" w:type="dxa"/>
            <w:tcBorders>
              <w:tl2br w:val="nil"/>
              <w:tr2bl w:val="nil"/>
            </w:tcBorders>
            <w:noWrap w:val="0"/>
            <w:vAlign w:val="center"/>
          </w:tcPr>
          <w:p w14:paraId="77E33B69">
            <w:pPr>
              <w:spacing w:line="460" w:lineRule="exact"/>
              <w:jc w:val="center"/>
              <w:rPr>
                <w:rFonts w:hint="eastAsia" w:asciiTheme="minorEastAsia" w:hAnsiTheme="minorEastAsia" w:eastAsiaTheme="minorEastAsia" w:cstheme="minorEastAsia"/>
                <w:bCs/>
                <w:color w:val="auto"/>
                <w:sz w:val="21"/>
                <w:szCs w:val="21"/>
                <w:highlight w:val="none"/>
                <w:lang w:val="ru-RU" w:eastAsia="ru-RU" w:bidi="ar-SA"/>
              </w:rPr>
            </w:pPr>
            <w:r>
              <w:rPr>
                <w:rFonts w:hint="eastAsia" w:asciiTheme="minorEastAsia" w:hAnsiTheme="minorEastAsia" w:eastAsiaTheme="minorEastAsia" w:cstheme="minorEastAsia"/>
                <w:bCs/>
                <w:color w:val="auto"/>
                <w:sz w:val="21"/>
                <w:szCs w:val="21"/>
                <w:highlight w:val="none"/>
                <w:lang w:eastAsia="zh-CN"/>
              </w:rPr>
              <w:t>13807312821</w:t>
            </w:r>
          </w:p>
        </w:tc>
      </w:tr>
      <w:tr w14:paraId="02E48A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l2br w:val="nil"/>
              <w:tr2bl w:val="nil"/>
            </w:tcBorders>
            <w:noWrap w:val="0"/>
            <w:vAlign w:val="center"/>
          </w:tcPr>
          <w:p w14:paraId="7D882D16">
            <w:pPr>
              <w:spacing w:line="460" w:lineRule="exact"/>
              <w:jc w:val="center"/>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5</w:t>
            </w:r>
          </w:p>
        </w:tc>
        <w:tc>
          <w:tcPr>
            <w:tcW w:w="2926" w:type="dxa"/>
            <w:tcBorders>
              <w:tl2br w:val="nil"/>
              <w:tr2bl w:val="nil"/>
            </w:tcBorders>
            <w:noWrap w:val="0"/>
            <w:vAlign w:val="center"/>
          </w:tcPr>
          <w:p w14:paraId="52B9830E">
            <w:pPr>
              <w:spacing w:line="460" w:lineRule="exact"/>
              <w:jc w:val="center"/>
              <w:rPr>
                <w:rFonts w:hint="eastAsia" w:asciiTheme="minorEastAsia" w:hAnsiTheme="minorEastAsia" w:eastAsiaTheme="minorEastAsia" w:cstheme="minorEastAsia"/>
                <w:bCs/>
                <w:color w:val="auto"/>
                <w:sz w:val="21"/>
                <w:szCs w:val="21"/>
                <w:highlight w:val="none"/>
                <w:lang w:val="ru-RU" w:eastAsia="ru-RU" w:bidi="ar-SA"/>
              </w:rPr>
            </w:pPr>
            <w:r>
              <w:rPr>
                <w:rFonts w:hint="eastAsia" w:asciiTheme="minorEastAsia" w:hAnsiTheme="minorEastAsia" w:eastAsiaTheme="minorEastAsia" w:cstheme="minorEastAsia"/>
                <w:bCs/>
                <w:color w:val="auto"/>
                <w:sz w:val="21"/>
                <w:szCs w:val="21"/>
                <w:highlight w:val="none"/>
                <w:lang w:eastAsia="zh-CN"/>
              </w:rPr>
              <w:t>渤海银行株洲分行</w:t>
            </w:r>
          </w:p>
        </w:tc>
        <w:tc>
          <w:tcPr>
            <w:tcW w:w="1590" w:type="dxa"/>
            <w:tcBorders>
              <w:tl2br w:val="nil"/>
              <w:tr2bl w:val="nil"/>
            </w:tcBorders>
            <w:noWrap w:val="0"/>
            <w:vAlign w:val="center"/>
          </w:tcPr>
          <w:p w14:paraId="2E7C2E01">
            <w:pPr>
              <w:spacing w:line="460" w:lineRule="exact"/>
              <w:jc w:val="center"/>
              <w:rPr>
                <w:rFonts w:hint="eastAsia" w:asciiTheme="minorEastAsia" w:hAnsiTheme="minorEastAsia" w:eastAsiaTheme="minorEastAsia" w:cstheme="minorEastAsia"/>
                <w:bCs/>
                <w:color w:val="auto"/>
                <w:sz w:val="21"/>
                <w:szCs w:val="21"/>
                <w:highlight w:val="none"/>
                <w:lang w:val="en-US" w:eastAsia="ru-RU" w:bidi="ar-SA"/>
              </w:rPr>
            </w:pPr>
            <w:r>
              <w:rPr>
                <w:rFonts w:hint="eastAsia" w:asciiTheme="minorEastAsia" w:hAnsiTheme="minorEastAsia" w:eastAsiaTheme="minorEastAsia" w:cstheme="minorEastAsia"/>
                <w:bCs/>
                <w:color w:val="auto"/>
                <w:sz w:val="21"/>
                <w:szCs w:val="21"/>
                <w:highlight w:val="none"/>
                <w:lang w:val="en-US" w:eastAsia="zh-CN"/>
              </w:rPr>
              <w:t>颜  震</w:t>
            </w:r>
          </w:p>
        </w:tc>
        <w:tc>
          <w:tcPr>
            <w:tcW w:w="3585" w:type="dxa"/>
            <w:tcBorders>
              <w:tl2br w:val="nil"/>
              <w:tr2bl w:val="nil"/>
            </w:tcBorders>
            <w:noWrap w:val="0"/>
            <w:vAlign w:val="center"/>
          </w:tcPr>
          <w:p w14:paraId="4B224E9E">
            <w:pPr>
              <w:spacing w:line="460" w:lineRule="exact"/>
              <w:jc w:val="center"/>
              <w:rPr>
                <w:rFonts w:hint="eastAsia" w:asciiTheme="minorEastAsia" w:hAnsiTheme="minorEastAsia" w:eastAsiaTheme="minorEastAsia" w:cstheme="minorEastAsia"/>
                <w:bCs/>
                <w:color w:val="auto"/>
                <w:sz w:val="21"/>
                <w:szCs w:val="21"/>
                <w:highlight w:val="none"/>
                <w:lang w:val="en-US" w:eastAsia="ru-RU" w:bidi="ar-SA"/>
              </w:rPr>
            </w:pPr>
            <w:r>
              <w:rPr>
                <w:rFonts w:hint="eastAsia" w:asciiTheme="minorEastAsia" w:hAnsiTheme="minorEastAsia" w:eastAsiaTheme="minorEastAsia" w:cstheme="minorEastAsia"/>
                <w:bCs/>
                <w:color w:val="auto"/>
                <w:sz w:val="21"/>
                <w:szCs w:val="21"/>
                <w:highlight w:val="none"/>
                <w:lang w:val="en-US" w:eastAsia="zh-CN"/>
              </w:rPr>
              <w:t>15673330011</w:t>
            </w:r>
          </w:p>
        </w:tc>
      </w:tr>
      <w:tr w14:paraId="47B042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l2br w:val="nil"/>
              <w:tr2bl w:val="nil"/>
            </w:tcBorders>
            <w:noWrap w:val="0"/>
            <w:vAlign w:val="center"/>
          </w:tcPr>
          <w:p w14:paraId="1C215D8F">
            <w:pPr>
              <w:spacing w:line="460" w:lineRule="exact"/>
              <w:jc w:val="center"/>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6</w:t>
            </w:r>
          </w:p>
        </w:tc>
        <w:tc>
          <w:tcPr>
            <w:tcW w:w="2926" w:type="dxa"/>
            <w:tcBorders>
              <w:tl2br w:val="nil"/>
              <w:tr2bl w:val="nil"/>
            </w:tcBorders>
            <w:noWrap w:val="0"/>
            <w:vAlign w:val="center"/>
          </w:tcPr>
          <w:p w14:paraId="2239EDFF">
            <w:pPr>
              <w:spacing w:line="460" w:lineRule="exact"/>
              <w:jc w:val="center"/>
              <w:rPr>
                <w:rFonts w:hint="eastAsia" w:asciiTheme="minorEastAsia" w:hAnsiTheme="minorEastAsia" w:eastAsiaTheme="minorEastAsia" w:cstheme="minorEastAsia"/>
                <w:bCs/>
                <w:color w:val="auto"/>
                <w:sz w:val="21"/>
                <w:szCs w:val="21"/>
                <w:highlight w:val="none"/>
                <w:lang w:val="ru-RU" w:eastAsia="ru-RU" w:bidi="ar-SA"/>
              </w:rPr>
            </w:pPr>
            <w:r>
              <w:rPr>
                <w:rFonts w:hint="eastAsia" w:asciiTheme="minorEastAsia" w:hAnsiTheme="minorEastAsia" w:eastAsiaTheme="minorEastAsia" w:cstheme="minorEastAsia"/>
                <w:bCs/>
                <w:color w:val="auto"/>
                <w:sz w:val="21"/>
                <w:szCs w:val="21"/>
                <w:highlight w:val="none"/>
                <w:lang w:eastAsia="zh-CN"/>
              </w:rPr>
              <w:t>浦发银行株洲分行</w:t>
            </w:r>
          </w:p>
        </w:tc>
        <w:tc>
          <w:tcPr>
            <w:tcW w:w="1590" w:type="dxa"/>
            <w:tcBorders>
              <w:tl2br w:val="nil"/>
              <w:tr2bl w:val="nil"/>
            </w:tcBorders>
            <w:noWrap w:val="0"/>
            <w:vAlign w:val="center"/>
          </w:tcPr>
          <w:p w14:paraId="450B07F3">
            <w:pPr>
              <w:spacing w:line="460" w:lineRule="exact"/>
              <w:jc w:val="center"/>
              <w:rPr>
                <w:rFonts w:hint="eastAsia" w:asciiTheme="minorEastAsia" w:hAnsiTheme="minorEastAsia" w:eastAsiaTheme="minorEastAsia" w:cstheme="minorEastAsia"/>
                <w:bCs/>
                <w:color w:val="auto"/>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bidi="ar-SA"/>
              </w:rPr>
              <w:t>蔡  晨</w:t>
            </w:r>
          </w:p>
        </w:tc>
        <w:tc>
          <w:tcPr>
            <w:tcW w:w="3585" w:type="dxa"/>
            <w:tcBorders>
              <w:tl2br w:val="nil"/>
              <w:tr2bl w:val="nil"/>
            </w:tcBorders>
            <w:noWrap w:val="0"/>
            <w:vAlign w:val="center"/>
          </w:tcPr>
          <w:p w14:paraId="79290ADB">
            <w:pPr>
              <w:spacing w:line="460" w:lineRule="exact"/>
              <w:jc w:val="center"/>
              <w:rPr>
                <w:rFonts w:hint="eastAsia" w:asciiTheme="minorEastAsia" w:hAnsiTheme="minorEastAsia" w:eastAsiaTheme="minorEastAsia" w:cstheme="minorEastAsia"/>
                <w:bCs/>
                <w:color w:val="auto"/>
                <w:sz w:val="21"/>
                <w:szCs w:val="21"/>
                <w:highlight w:val="none"/>
                <w:lang w:val="en-US" w:eastAsia="ru-RU" w:bidi="ar-SA"/>
              </w:rPr>
            </w:pPr>
            <w:r>
              <w:rPr>
                <w:rFonts w:hint="eastAsia" w:asciiTheme="minorEastAsia" w:hAnsiTheme="minorEastAsia" w:eastAsiaTheme="minorEastAsia" w:cstheme="minorEastAsia"/>
                <w:bCs/>
                <w:color w:val="auto"/>
                <w:sz w:val="21"/>
                <w:szCs w:val="21"/>
                <w:highlight w:val="none"/>
                <w:lang w:val="en-US" w:eastAsia="zh-CN"/>
              </w:rPr>
              <w:t>19907493171、28661018</w:t>
            </w:r>
          </w:p>
        </w:tc>
      </w:tr>
    </w:tbl>
    <w:p w14:paraId="7CF87F8C">
      <w:pPr>
        <w:spacing w:line="460" w:lineRule="exact"/>
        <w:ind w:firstLine="420" w:firstLineChars="200"/>
        <w:jc w:val="left"/>
        <w:rPr>
          <w:rFonts w:hint="eastAsia" w:ascii="仿宋" w:hAnsi="仿宋" w:eastAsia="仿宋" w:cs="仿宋"/>
          <w:bCs/>
          <w:color w:val="auto"/>
          <w:sz w:val="21"/>
          <w:szCs w:val="21"/>
          <w:highlight w:val="none"/>
          <w:lang w:val="en-US" w:eastAsia="zh-CN"/>
        </w:rPr>
      </w:pPr>
    </w:p>
    <w:p w14:paraId="3E6D404F">
      <w:pPr>
        <w:pStyle w:val="63"/>
        <w:rPr>
          <w:color w:val="auto"/>
          <w:highlight w:val="none"/>
        </w:rPr>
      </w:pPr>
    </w:p>
    <w:p w14:paraId="4ABB9308">
      <w:pPr>
        <w:pStyle w:val="26"/>
        <w:adjustRightInd w:val="0"/>
        <w:snapToGrid w:val="0"/>
        <w:spacing w:line="360" w:lineRule="auto"/>
        <w:jc w:val="center"/>
        <w:outlineLvl w:val="0"/>
        <w:rPr>
          <w:rFonts w:hAnsi="宋体" w:cs="宋体"/>
          <w:bCs/>
          <w:color w:val="auto"/>
          <w:w w:val="90"/>
          <w:sz w:val="32"/>
          <w:szCs w:val="32"/>
          <w:highlight w:val="none"/>
        </w:rPr>
      </w:pPr>
      <w:r>
        <w:rPr>
          <w:rFonts w:hint="eastAsia" w:hAnsi="宋体" w:cs="宋体"/>
          <w:color w:val="auto"/>
          <w:highlight w:val="none"/>
        </w:rPr>
        <w:br w:type="page"/>
      </w:r>
    </w:p>
    <w:p w14:paraId="7254FA04">
      <w:pPr>
        <w:pStyle w:val="4"/>
        <w:rPr>
          <w:rFonts w:ascii="宋体" w:hAnsi="宋体" w:cs="宋体"/>
          <w:color w:val="auto"/>
          <w:sz w:val="32"/>
          <w:szCs w:val="32"/>
          <w:highlight w:val="none"/>
        </w:rPr>
      </w:pPr>
      <w:bookmarkStart w:id="44" w:name="_Toc30286"/>
      <w:r>
        <w:rPr>
          <w:rFonts w:hint="eastAsia" w:ascii="宋体" w:hAnsi="宋体" w:cs="宋体"/>
          <w:color w:val="auto"/>
          <w:sz w:val="32"/>
          <w:szCs w:val="32"/>
          <w:highlight w:val="none"/>
        </w:rPr>
        <w:t>第三章 资格审查</w:t>
      </w:r>
      <w:bookmarkEnd w:id="44"/>
    </w:p>
    <w:p w14:paraId="79D96A6B">
      <w:pPr>
        <w:pStyle w:val="6"/>
        <w:adjustRightInd w:val="0"/>
        <w:snapToGrid w:val="0"/>
        <w:spacing w:beforeLines="50" w:after="0" w:line="360" w:lineRule="auto"/>
        <w:rPr>
          <w:rFonts w:ascii="宋体" w:hAnsi="宋体" w:cs="宋体"/>
          <w:color w:val="auto"/>
          <w:sz w:val="24"/>
          <w:szCs w:val="24"/>
          <w:highlight w:val="none"/>
        </w:rPr>
      </w:pPr>
      <w:bookmarkStart w:id="45" w:name="_Toc31656"/>
      <w:r>
        <w:rPr>
          <w:rFonts w:hint="eastAsia" w:ascii="宋体" w:hAnsi="宋体" w:cs="宋体"/>
          <w:color w:val="auto"/>
          <w:sz w:val="24"/>
          <w:szCs w:val="24"/>
          <w:highlight w:val="none"/>
        </w:rPr>
        <w:t>1．资格审查主体</w:t>
      </w:r>
      <w:bookmarkEnd w:id="45"/>
    </w:p>
    <w:p w14:paraId="1C1B94BF">
      <w:pPr>
        <w:adjustRightInd w:val="0"/>
        <w:snapToGrid w:val="0"/>
        <w:spacing w:beforeLines="50" w:line="360" w:lineRule="auto"/>
        <w:ind w:firstLine="417" w:firstLineChars="199"/>
        <w:jc w:val="left"/>
        <w:rPr>
          <w:rFonts w:ascii="宋体" w:hAnsi="宋体" w:cs="宋体"/>
          <w:color w:val="auto"/>
          <w:szCs w:val="21"/>
          <w:highlight w:val="none"/>
        </w:rPr>
      </w:pPr>
      <w:r>
        <w:rPr>
          <w:rFonts w:hint="eastAsia" w:ascii="宋体" w:hAnsi="宋体" w:cs="宋体"/>
          <w:color w:val="auto"/>
          <w:szCs w:val="21"/>
          <w:highlight w:val="none"/>
        </w:rPr>
        <w:t>1.1资格审查主体：采购人、采购代理机构负责资格审查。</w:t>
      </w:r>
    </w:p>
    <w:p w14:paraId="020D28B9">
      <w:pPr>
        <w:pStyle w:val="6"/>
        <w:adjustRightInd w:val="0"/>
        <w:snapToGrid w:val="0"/>
        <w:spacing w:beforeLines="50" w:after="0" w:line="360" w:lineRule="auto"/>
        <w:rPr>
          <w:rFonts w:ascii="宋体" w:hAnsi="宋体" w:cs="宋体"/>
          <w:color w:val="auto"/>
          <w:sz w:val="24"/>
          <w:szCs w:val="24"/>
          <w:highlight w:val="none"/>
        </w:rPr>
      </w:pPr>
      <w:bookmarkStart w:id="46" w:name="_Toc5131"/>
      <w:r>
        <w:rPr>
          <w:rFonts w:hint="eastAsia" w:ascii="宋体" w:hAnsi="宋体" w:cs="宋体"/>
          <w:color w:val="auto"/>
          <w:sz w:val="24"/>
          <w:szCs w:val="24"/>
          <w:highlight w:val="none"/>
        </w:rPr>
        <w:t>2．资格审查</w:t>
      </w:r>
      <w:bookmarkEnd w:id="46"/>
    </w:p>
    <w:p w14:paraId="26FE03F1">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2.1资格审查依据法律法规和招标文件的规定，对投标文件中的资格证明文件、投标保证金、投标报价等进行审查，以确定投标投标人是否具备投标资格。</w:t>
      </w:r>
    </w:p>
    <w:p w14:paraId="37BBD735">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2.2采购人、采购代理机构按本章附表1“资格审查表”所列审查项目及审查标准，对投标人资格进行审查。</w:t>
      </w:r>
    </w:p>
    <w:p w14:paraId="5FAC9427">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2.3在资格审查时，投标人存在下列情况之一的，资格审查不合格，其</w:t>
      </w:r>
      <w:r>
        <w:rPr>
          <w:rFonts w:hint="eastAsia" w:ascii="宋体" w:hAnsi="宋体" w:cs="宋体"/>
          <w:b/>
          <w:bCs/>
          <w:color w:val="auto"/>
          <w:szCs w:val="21"/>
          <w:highlight w:val="none"/>
        </w:rPr>
        <w:t>投标无效</w:t>
      </w:r>
      <w:r>
        <w:rPr>
          <w:rFonts w:hint="eastAsia" w:ascii="宋体" w:hAnsi="宋体" w:cs="宋体"/>
          <w:color w:val="auto"/>
          <w:szCs w:val="21"/>
          <w:highlight w:val="none"/>
        </w:rPr>
        <w:t>：</w:t>
      </w:r>
    </w:p>
    <w:p w14:paraId="4A4A34DB">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（1）不具备招标文件中规定的资格要求的，或提交的资格证明文件不符合招标文件要求的；</w:t>
      </w:r>
    </w:p>
    <w:p w14:paraId="6B81CA1C">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（2）联合体投标未提交联合体协议书，或未提交联合体各方资格证明文件的；</w:t>
      </w:r>
    </w:p>
    <w:p w14:paraId="319D1FD2">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（3）投标文件的资格证明文件未按照招标文件要求签署、盖章的；</w:t>
      </w:r>
    </w:p>
    <w:p w14:paraId="5B4672C0">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（4）未按照招标文件的规定提交投标保证金的。</w:t>
      </w:r>
    </w:p>
    <w:p w14:paraId="46A0665C">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（5）投标报价超过招标文件中规定的预算金额或者最高限价的；</w:t>
      </w:r>
    </w:p>
    <w:p w14:paraId="35F0DFAC">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（6）法律、法规和招标文件规定的其他投标无效情形的。</w:t>
      </w:r>
    </w:p>
    <w:p w14:paraId="0D8391B5">
      <w:pPr>
        <w:adjustRightInd w:val="0"/>
        <w:snapToGrid w:val="0"/>
        <w:spacing w:beforeLines="50" w:line="360" w:lineRule="auto"/>
        <w:ind w:firstLine="420" w:firstLineChars="200"/>
        <w:jc w:val="left"/>
        <w:rPr>
          <w:rFonts w:ascii="宋体" w:hAnsi="宋体" w:cs="宋体"/>
          <w:b/>
          <w:color w:val="auto"/>
          <w:sz w:val="32"/>
          <w:szCs w:val="32"/>
          <w:highlight w:val="none"/>
        </w:rPr>
      </w:pPr>
      <w:r>
        <w:rPr>
          <w:rFonts w:hint="eastAsia" w:ascii="宋体" w:hAnsi="宋体" w:cs="宋体"/>
          <w:color w:val="auto"/>
          <w:highlight w:val="none"/>
        </w:rPr>
        <w:t>2.4信用记录。开标结束后</w:t>
      </w:r>
      <w:r>
        <w:rPr>
          <w:rFonts w:hint="eastAsia" w:ascii="宋体" w:hAnsi="宋体" w:cs="宋体"/>
          <w:color w:val="auto"/>
          <w:szCs w:val="21"/>
          <w:highlight w:val="none"/>
        </w:rPr>
        <w:t>资格审查时，采购人、采购代理机构将对投标人信用记录进行甄别。</w:t>
      </w:r>
    </w:p>
    <w:p w14:paraId="7988A6E0">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（1）信用信息查询的查询渠道：信用中国网（www.creditchina.gov.cn）、中国政府采购网（www.ccgp.gov.cn）；</w:t>
      </w:r>
    </w:p>
    <w:p w14:paraId="36879087">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不良信用记录是指：投标人在“信用中国”网站被列入失信被执行人和重大税收违法案件当事人名单，或在“中国政府采购网”网站被列入政府采购严重违法失信行为记录名单。投标人有上述不良信用记录的，其</w:t>
      </w:r>
      <w:r>
        <w:rPr>
          <w:rFonts w:hint="eastAsia" w:ascii="宋体" w:hAnsi="宋体" w:cs="宋体"/>
          <w:b/>
          <w:bCs/>
          <w:color w:val="auto"/>
          <w:szCs w:val="21"/>
          <w:highlight w:val="none"/>
        </w:rPr>
        <w:t>投标无效</w:t>
      </w:r>
      <w:r>
        <w:rPr>
          <w:rFonts w:hint="eastAsia" w:ascii="宋体" w:hAnsi="宋体" w:cs="宋体"/>
          <w:color w:val="auto"/>
          <w:szCs w:val="21"/>
          <w:highlight w:val="none"/>
        </w:rPr>
        <w:t>，其中，列入政府采购严重违法失信行为记录名单的，按处罚结果执行。</w:t>
      </w:r>
    </w:p>
    <w:p w14:paraId="1FA71C93">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（3）联合体形式投标的，联合体成员存在不良信用记录的，视同联合体存在不良信用记录。</w:t>
      </w:r>
    </w:p>
    <w:p w14:paraId="1708BCB0">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信用信息查询记录和证据留存具体方式：采购人、采购代理机构经办人将查询网页截图、打印、签字，作为查询记录和证据，与其他采购文件一并保存。投标人不良信用记录以采购人、采购代理机构查询结果为准。</w:t>
      </w:r>
    </w:p>
    <w:p w14:paraId="15AD86B0">
      <w:pPr>
        <w:pStyle w:val="6"/>
        <w:adjustRightInd w:val="0"/>
        <w:snapToGrid w:val="0"/>
        <w:spacing w:beforeLines="50" w:after="0" w:line="360" w:lineRule="auto"/>
        <w:rPr>
          <w:rFonts w:ascii="宋体" w:hAnsi="宋体" w:cs="宋体"/>
          <w:color w:val="auto"/>
          <w:sz w:val="24"/>
          <w:szCs w:val="24"/>
          <w:highlight w:val="none"/>
        </w:rPr>
      </w:pPr>
      <w:bookmarkStart w:id="47" w:name="_Toc27906"/>
      <w:r>
        <w:rPr>
          <w:rFonts w:hint="eastAsia" w:ascii="宋体" w:hAnsi="宋体" w:cs="宋体"/>
          <w:color w:val="auto"/>
          <w:sz w:val="24"/>
          <w:szCs w:val="24"/>
          <w:highlight w:val="none"/>
        </w:rPr>
        <w:t>3．资格审查结果</w:t>
      </w:r>
      <w:bookmarkEnd w:id="47"/>
    </w:p>
    <w:p w14:paraId="2830CA47">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3.1未通过资格审查的投标人，采购人、采购代理机构应当告知其未通过的原因。</w:t>
      </w:r>
    </w:p>
    <w:p w14:paraId="116EE907">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3.2资格审查结束后，采购人、采购代理机构应将资格审查结果告知评标委员会。</w:t>
      </w:r>
    </w:p>
    <w:p w14:paraId="1F38FE78">
      <w:pPr>
        <w:adjustRightInd w:val="0"/>
        <w:snapToGrid w:val="0"/>
        <w:spacing w:beforeLines="50" w:line="360" w:lineRule="auto"/>
        <w:ind w:firstLine="420" w:firstLineChars="200"/>
        <w:jc w:val="left"/>
        <w:rPr>
          <w:rFonts w:ascii="宋体" w:hAnsi="宋体" w:cs="宋体"/>
          <w:b/>
          <w:bCs/>
          <w:color w:val="auto"/>
          <w:sz w:val="32"/>
          <w:highlight w:val="none"/>
        </w:rPr>
      </w:pPr>
      <w:r>
        <w:rPr>
          <w:rFonts w:hint="eastAsia" w:ascii="宋体" w:hAnsi="宋体" w:cs="宋体"/>
          <w:color w:val="auto"/>
          <w:highlight w:val="none"/>
        </w:rPr>
        <w:br w:type="page"/>
      </w:r>
    </w:p>
    <w:p w14:paraId="69C52C83">
      <w:pPr>
        <w:pStyle w:val="7"/>
        <w:adjustRightInd w:val="0"/>
        <w:snapToGrid w:val="0"/>
        <w:spacing w:before="0" w:after="0" w:line="360" w:lineRule="auto"/>
        <w:rPr>
          <w:rFonts w:ascii="宋体" w:hAnsi="宋体" w:eastAsia="宋体" w:cs="宋体"/>
          <w:color w:val="auto"/>
          <w:sz w:val="21"/>
          <w:szCs w:val="21"/>
          <w:highlight w:val="none"/>
        </w:rPr>
      </w:pPr>
      <w:bookmarkStart w:id="48" w:name="_Toc21801"/>
      <w:r>
        <w:rPr>
          <w:rFonts w:hint="eastAsia" w:ascii="宋体" w:hAnsi="宋体" w:eastAsia="宋体" w:cs="宋体"/>
          <w:color w:val="auto"/>
          <w:sz w:val="21"/>
          <w:szCs w:val="21"/>
          <w:highlight w:val="none"/>
        </w:rPr>
        <w:t>附表1资格审查表</w:t>
      </w:r>
      <w:bookmarkEnd w:id="48"/>
    </w:p>
    <w:p w14:paraId="01FAFD51">
      <w:pPr>
        <w:adjustRightInd w:val="0"/>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资格审查表</w:t>
      </w:r>
    </w:p>
    <w:p w14:paraId="7FDA1DA4">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采购代理编号：</w:t>
      </w:r>
      <w:r>
        <w:rPr>
          <w:rFonts w:hint="eastAsia" w:ascii="宋体" w:hAnsi="宋体" w:cs="宋体"/>
          <w:color w:val="auto"/>
          <w:szCs w:val="21"/>
          <w:highlight w:val="none"/>
          <w:u w:val="single"/>
        </w:rPr>
        <w:t xml:space="preserve">       </w:t>
      </w:r>
    </w:p>
    <w:tbl>
      <w:tblPr>
        <w:tblStyle w:val="46"/>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3"/>
        <w:gridCol w:w="3247"/>
        <w:gridCol w:w="5130"/>
      </w:tblGrid>
      <w:tr w14:paraId="33903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83" w:type="dxa"/>
            <w:tcBorders>
              <w:tl2br w:val="nil"/>
              <w:tr2bl w:val="nil"/>
            </w:tcBorders>
            <w:vAlign w:val="center"/>
          </w:tcPr>
          <w:p w14:paraId="4A5663A2">
            <w:pPr>
              <w:adjustRightInd w:val="0"/>
              <w:snapToGrid w:val="0"/>
              <w:spacing w:beforeLines="50"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3247" w:type="dxa"/>
            <w:tcBorders>
              <w:tl2br w:val="nil"/>
              <w:tr2bl w:val="nil"/>
            </w:tcBorders>
            <w:vAlign w:val="center"/>
          </w:tcPr>
          <w:p w14:paraId="510C2386">
            <w:pPr>
              <w:adjustRightInd w:val="0"/>
              <w:snapToGrid w:val="0"/>
              <w:spacing w:beforeLines="50"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审查项目</w:t>
            </w:r>
          </w:p>
        </w:tc>
        <w:tc>
          <w:tcPr>
            <w:tcW w:w="5130" w:type="dxa"/>
            <w:tcBorders>
              <w:tl2br w:val="nil"/>
              <w:tr2bl w:val="nil"/>
            </w:tcBorders>
            <w:vAlign w:val="center"/>
          </w:tcPr>
          <w:p w14:paraId="39E9E61A">
            <w:pPr>
              <w:adjustRightInd w:val="0"/>
              <w:snapToGrid w:val="0"/>
              <w:spacing w:beforeLines="50"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审查标准</w:t>
            </w:r>
          </w:p>
        </w:tc>
      </w:tr>
      <w:tr w14:paraId="6F7F7C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3" w:type="dxa"/>
            <w:tcBorders>
              <w:tl2br w:val="nil"/>
              <w:tr2bl w:val="nil"/>
            </w:tcBorders>
            <w:vAlign w:val="center"/>
          </w:tcPr>
          <w:p w14:paraId="399DC77A">
            <w:pPr>
              <w:adjustRightInd w:val="0"/>
              <w:snapToGrid w:val="0"/>
              <w:spacing w:beforeLines="50"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247" w:type="dxa"/>
            <w:tcBorders>
              <w:tl2br w:val="nil"/>
              <w:tr2bl w:val="nil"/>
            </w:tcBorders>
            <w:vAlign w:val="center"/>
          </w:tcPr>
          <w:p w14:paraId="491FCEE3">
            <w:pPr>
              <w:spacing w:line="360" w:lineRule="auto"/>
              <w:rPr>
                <w:rFonts w:ascii="宋体" w:hAnsi="宋体" w:cs="宋体"/>
                <w:color w:val="auto"/>
                <w:szCs w:val="21"/>
                <w:highlight w:val="none"/>
              </w:rPr>
            </w:pPr>
            <w:r>
              <w:rPr>
                <w:rFonts w:hint="eastAsia" w:ascii="宋体" w:hAnsi="宋体" w:cs="宋体"/>
                <w:color w:val="auto"/>
                <w:szCs w:val="21"/>
                <w:highlight w:val="none"/>
              </w:rPr>
              <w:t>资格证明文件的签署、盖章</w:t>
            </w:r>
          </w:p>
        </w:tc>
        <w:tc>
          <w:tcPr>
            <w:tcW w:w="5130" w:type="dxa"/>
            <w:tcBorders>
              <w:tl2br w:val="nil"/>
              <w:tr2bl w:val="nil"/>
            </w:tcBorders>
            <w:vAlign w:val="center"/>
          </w:tcPr>
          <w:p w14:paraId="365B5471">
            <w:pPr>
              <w:spacing w:line="360" w:lineRule="auto"/>
              <w:rPr>
                <w:rFonts w:ascii="宋体" w:hAnsi="宋体" w:cs="宋体"/>
                <w:color w:val="auto"/>
                <w:szCs w:val="21"/>
                <w:highlight w:val="none"/>
              </w:rPr>
            </w:pPr>
            <w:r>
              <w:rPr>
                <w:rFonts w:hint="eastAsia" w:ascii="宋体" w:hAnsi="宋体" w:cs="宋体"/>
                <w:color w:val="auto"/>
                <w:szCs w:val="21"/>
                <w:highlight w:val="none"/>
              </w:rPr>
              <w:t>未按招标文件格式及要求签署或盖章的，审查结果为不合格。</w:t>
            </w:r>
          </w:p>
        </w:tc>
      </w:tr>
      <w:tr w14:paraId="6C4DB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3" w:type="dxa"/>
            <w:tcBorders>
              <w:tl2br w:val="nil"/>
              <w:tr2bl w:val="nil"/>
            </w:tcBorders>
            <w:shd w:val="clear" w:color="auto" w:fill="auto"/>
            <w:vAlign w:val="center"/>
          </w:tcPr>
          <w:p w14:paraId="537833A5">
            <w:pPr>
              <w:adjustRightInd w:val="0"/>
              <w:snapToGrid w:val="0"/>
              <w:spacing w:before="156" w:beforeLines="5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w:t>
            </w:r>
          </w:p>
        </w:tc>
        <w:tc>
          <w:tcPr>
            <w:tcW w:w="3247" w:type="dxa"/>
            <w:tcBorders>
              <w:tl2br w:val="nil"/>
              <w:tr2bl w:val="nil"/>
            </w:tcBorders>
            <w:shd w:val="clear" w:color="auto" w:fill="auto"/>
            <w:vAlign w:val="center"/>
          </w:tcPr>
          <w:p w14:paraId="4A1A246A">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投标保证金</w:t>
            </w:r>
          </w:p>
        </w:tc>
        <w:tc>
          <w:tcPr>
            <w:tcW w:w="5130" w:type="dxa"/>
            <w:tcBorders>
              <w:tl2br w:val="nil"/>
              <w:tr2bl w:val="nil"/>
            </w:tcBorders>
            <w:shd w:val="clear" w:color="auto" w:fill="auto"/>
            <w:vAlign w:val="center"/>
          </w:tcPr>
          <w:p w14:paraId="62577511">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未按招标文件要求</w:t>
            </w:r>
            <w:r>
              <w:rPr>
                <w:rFonts w:hint="eastAsia" w:ascii="宋体" w:hAnsi="宋体" w:cs="宋体"/>
                <w:color w:val="auto"/>
                <w:szCs w:val="21"/>
                <w:highlight w:val="none"/>
                <w:lang w:eastAsia="zh-CN"/>
              </w:rPr>
              <w:t>提交投标保证金</w:t>
            </w:r>
            <w:r>
              <w:rPr>
                <w:rFonts w:hint="eastAsia" w:ascii="宋体" w:hAnsi="宋体" w:cs="宋体"/>
                <w:color w:val="auto"/>
                <w:szCs w:val="21"/>
                <w:highlight w:val="none"/>
              </w:rPr>
              <w:t>的，审查结果为不合格。</w:t>
            </w:r>
          </w:p>
        </w:tc>
      </w:tr>
      <w:tr w14:paraId="24B163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3" w:type="dxa"/>
            <w:tcBorders>
              <w:tl2br w:val="nil"/>
              <w:tr2bl w:val="nil"/>
            </w:tcBorders>
            <w:vAlign w:val="center"/>
          </w:tcPr>
          <w:p w14:paraId="1AFB8C4F">
            <w:pPr>
              <w:adjustRightInd w:val="0"/>
              <w:snapToGrid w:val="0"/>
              <w:spacing w:beforeLines="50"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c>
          <w:tcPr>
            <w:tcW w:w="3247" w:type="dxa"/>
            <w:tcBorders>
              <w:tl2br w:val="nil"/>
              <w:tr2bl w:val="nil"/>
            </w:tcBorders>
            <w:vAlign w:val="center"/>
          </w:tcPr>
          <w:p w14:paraId="6AA40362">
            <w:pPr>
              <w:spacing w:line="360" w:lineRule="auto"/>
              <w:rPr>
                <w:rFonts w:ascii="宋体" w:hAnsi="宋体" w:cs="宋体"/>
                <w:color w:val="auto"/>
                <w:szCs w:val="21"/>
                <w:highlight w:val="none"/>
              </w:rPr>
            </w:pPr>
            <w:r>
              <w:rPr>
                <w:rFonts w:hint="eastAsia" w:ascii="宋体" w:hAnsi="宋体" w:cs="宋体"/>
                <w:color w:val="auto"/>
                <w:szCs w:val="21"/>
                <w:highlight w:val="none"/>
              </w:rPr>
              <w:t>投标报价</w:t>
            </w:r>
          </w:p>
        </w:tc>
        <w:tc>
          <w:tcPr>
            <w:tcW w:w="5130" w:type="dxa"/>
            <w:tcBorders>
              <w:tl2br w:val="nil"/>
              <w:tr2bl w:val="nil"/>
            </w:tcBorders>
            <w:vAlign w:val="center"/>
          </w:tcPr>
          <w:p w14:paraId="37E3C1A1">
            <w:pPr>
              <w:spacing w:line="360" w:lineRule="auto"/>
              <w:rPr>
                <w:rFonts w:ascii="宋体" w:hAnsi="宋体" w:cs="宋体"/>
                <w:color w:val="auto"/>
                <w:szCs w:val="21"/>
                <w:highlight w:val="none"/>
              </w:rPr>
            </w:pPr>
            <w:r>
              <w:rPr>
                <w:rFonts w:hint="eastAsia" w:ascii="宋体" w:hAnsi="宋体" w:cs="宋体"/>
                <w:color w:val="auto"/>
                <w:szCs w:val="21"/>
                <w:highlight w:val="none"/>
              </w:rPr>
              <w:t>投标人投标报价超过采购预算或最高限价的（如果设定了最高限价），审查结果为不合格。</w:t>
            </w:r>
          </w:p>
        </w:tc>
      </w:tr>
      <w:tr w14:paraId="3A3BED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3" w:type="dxa"/>
            <w:tcBorders>
              <w:tl2br w:val="nil"/>
              <w:tr2bl w:val="nil"/>
            </w:tcBorders>
            <w:vAlign w:val="center"/>
          </w:tcPr>
          <w:p w14:paraId="293098E9">
            <w:pPr>
              <w:adjustRightInd w:val="0"/>
              <w:snapToGrid w:val="0"/>
              <w:spacing w:beforeLines="50"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3247" w:type="dxa"/>
            <w:tcBorders>
              <w:tl2br w:val="nil"/>
              <w:tr2bl w:val="nil"/>
            </w:tcBorders>
            <w:vAlign w:val="center"/>
          </w:tcPr>
          <w:p w14:paraId="740B7F3A">
            <w:pPr>
              <w:spacing w:line="360" w:lineRule="auto"/>
              <w:rPr>
                <w:rFonts w:ascii="宋体" w:hAnsi="宋体" w:cs="宋体"/>
                <w:color w:val="auto"/>
                <w:szCs w:val="21"/>
                <w:highlight w:val="none"/>
              </w:rPr>
            </w:pPr>
            <w:r>
              <w:rPr>
                <w:rFonts w:hint="eastAsia" w:ascii="宋体" w:hAnsi="宋体" w:cs="宋体"/>
                <w:color w:val="auto"/>
                <w:szCs w:val="21"/>
                <w:highlight w:val="none"/>
              </w:rPr>
              <w:t>投标代表参与投标的授权书或身份证明</w:t>
            </w:r>
          </w:p>
        </w:tc>
        <w:tc>
          <w:tcPr>
            <w:tcW w:w="5130" w:type="dxa"/>
            <w:tcBorders>
              <w:tl2br w:val="nil"/>
              <w:tr2bl w:val="nil"/>
            </w:tcBorders>
            <w:vAlign w:val="center"/>
          </w:tcPr>
          <w:p w14:paraId="4B7273B1">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法定代表人（单位负责人）身份证明（代理人投标须提供授权委托书并附法定代表人（单位负责人）身份证明），未按要求提供的，审查结果为不合格。</w:t>
            </w:r>
          </w:p>
        </w:tc>
      </w:tr>
      <w:tr w14:paraId="075A4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3" w:type="dxa"/>
            <w:tcBorders>
              <w:tl2br w:val="nil"/>
              <w:tr2bl w:val="nil"/>
            </w:tcBorders>
            <w:vAlign w:val="center"/>
          </w:tcPr>
          <w:p w14:paraId="1E9BF971">
            <w:pPr>
              <w:adjustRightInd w:val="0"/>
              <w:snapToGrid w:val="0"/>
              <w:spacing w:beforeLines="50"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3247" w:type="dxa"/>
            <w:tcBorders>
              <w:tl2br w:val="nil"/>
              <w:tr2bl w:val="nil"/>
            </w:tcBorders>
            <w:vAlign w:val="center"/>
          </w:tcPr>
          <w:p w14:paraId="42B8A2CE">
            <w:pPr>
              <w:spacing w:line="360" w:lineRule="auto"/>
              <w:rPr>
                <w:rFonts w:ascii="宋体" w:hAnsi="宋体" w:cs="宋体"/>
                <w:color w:val="auto"/>
                <w:szCs w:val="21"/>
                <w:highlight w:val="none"/>
              </w:rPr>
            </w:pPr>
            <w:r>
              <w:rPr>
                <w:rFonts w:hint="eastAsia" w:ascii="宋体" w:hAnsi="宋体" w:cs="宋体"/>
                <w:color w:val="auto"/>
                <w:szCs w:val="21"/>
                <w:highlight w:val="none"/>
              </w:rPr>
              <w:t>法人或者其他组织的营业执照等主体资格证明文件，自然人的身份证明</w:t>
            </w:r>
          </w:p>
        </w:tc>
        <w:tc>
          <w:tcPr>
            <w:tcW w:w="5130" w:type="dxa"/>
            <w:tcBorders>
              <w:tl2br w:val="nil"/>
              <w:tr2bl w:val="nil"/>
            </w:tcBorders>
            <w:vAlign w:val="center"/>
          </w:tcPr>
          <w:p w14:paraId="1D9ED914">
            <w:pPr>
              <w:spacing w:line="360" w:lineRule="auto"/>
              <w:rPr>
                <w:rFonts w:ascii="宋体" w:hAnsi="宋体" w:cs="宋体"/>
                <w:color w:val="auto"/>
                <w:szCs w:val="21"/>
                <w:highlight w:val="none"/>
              </w:rPr>
            </w:pPr>
            <w:r>
              <w:rPr>
                <w:rFonts w:hint="eastAsia" w:ascii="宋体" w:hAnsi="宋体" w:cs="宋体"/>
                <w:color w:val="auto"/>
                <w:szCs w:val="21"/>
                <w:highlight w:val="none"/>
              </w:rPr>
              <w:t>法人或者其他组织提供加盖单位公章的营业执照等主体资格证明文件复印件，自然人提供本人身份证，否则，审查结果为不合格。</w:t>
            </w:r>
          </w:p>
        </w:tc>
      </w:tr>
      <w:tr w14:paraId="6DE403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3" w:type="dxa"/>
            <w:tcBorders>
              <w:tl2br w:val="nil"/>
              <w:tr2bl w:val="nil"/>
            </w:tcBorders>
            <w:vAlign w:val="center"/>
          </w:tcPr>
          <w:p w14:paraId="75A89111">
            <w:pPr>
              <w:adjustRightInd w:val="0"/>
              <w:snapToGrid w:val="0"/>
              <w:spacing w:beforeLines="50"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6</w:t>
            </w:r>
          </w:p>
        </w:tc>
        <w:tc>
          <w:tcPr>
            <w:tcW w:w="3247" w:type="dxa"/>
            <w:tcBorders>
              <w:tl2br w:val="nil"/>
              <w:tr2bl w:val="nil"/>
            </w:tcBorders>
            <w:vAlign w:val="center"/>
          </w:tcPr>
          <w:p w14:paraId="5BDBB963">
            <w:pPr>
              <w:spacing w:line="360" w:lineRule="auto"/>
              <w:rPr>
                <w:rFonts w:ascii="宋体" w:hAnsi="宋体" w:cs="宋体"/>
                <w:color w:val="auto"/>
                <w:szCs w:val="21"/>
                <w:highlight w:val="none"/>
              </w:rPr>
            </w:pPr>
            <w:r>
              <w:rPr>
                <w:rFonts w:hint="eastAsia" w:ascii="宋体" w:hAnsi="宋体" w:cs="宋体"/>
                <w:color w:val="auto"/>
                <w:szCs w:val="21"/>
                <w:highlight w:val="none"/>
              </w:rPr>
              <w:t>湖南省政府采购供应商资格承诺函</w:t>
            </w:r>
          </w:p>
        </w:tc>
        <w:tc>
          <w:tcPr>
            <w:tcW w:w="5130" w:type="dxa"/>
            <w:tcBorders>
              <w:tl2br w:val="nil"/>
              <w:tr2bl w:val="nil"/>
            </w:tcBorders>
            <w:vAlign w:val="center"/>
          </w:tcPr>
          <w:p w14:paraId="1479BFD9">
            <w:pPr>
              <w:spacing w:line="360" w:lineRule="auto"/>
              <w:rPr>
                <w:rFonts w:ascii="宋体" w:hAnsi="宋体" w:cs="宋体"/>
                <w:color w:val="auto"/>
                <w:szCs w:val="21"/>
                <w:highlight w:val="none"/>
              </w:rPr>
            </w:pPr>
            <w:r>
              <w:rPr>
                <w:rFonts w:hint="eastAsia" w:ascii="宋体" w:hAnsi="宋体" w:cs="宋体"/>
                <w:color w:val="auto"/>
                <w:szCs w:val="21"/>
                <w:highlight w:val="none"/>
              </w:rPr>
              <w:t>未按招标文件要求及格式提供</w:t>
            </w:r>
            <w:r>
              <w:rPr>
                <w:rFonts w:hint="eastAsia" w:ascii="宋体" w:hAnsi="宋体" w:cs="宋体"/>
                <w:color w:val="auto"/>
                <w:szCs w:val="21"/>
                <w:highlight w:val="none"/>
                <w:lang w:eastAsia="zh-CN"/>
              </w:rPr>
              <w:t>《</w:t>
            </w:r>
            <w:r>
              <w:rPr>
                <w:rFonts w:hint="eastAsia" w:ascii="宋体" w:hAnsi="宋体" w:cs="宋体"/>
                <w:color w:val="auto"/>
                <w:szCs w:val="21"/>
                <w:highlight w:val="none"/>
              </w:rPr>
              <w:t>湖南省政府采购供应商资格承诺函</w:t>
            </w:r>
            <w:r>
              <w:rPr>
                <w:rFonts w:hint="eastAsia" w:ascii="宋体" w:hAnsi="宋体" w:cs="宋体"/>
                <w:color w:val="auto"/>
                <w:szCs w:val="21"/>
                <w:highlight w:val="none"/>
                <w:lang w:eastAsia="zh-CN"/>
              </w:rPr>
              <w:t>》</w:t>
            </w:r>
            <w:r>
              <w:rPr>
                <w:rFonts w:hint="eastAsia" w:ascii="宋体" w:hAnsi="宋体" w:cs="宋体"/>
                <w:color w:val="auto"/>
                <w:szCs w:val="21"/>
                <w:highlight w:val="none"/>
              </w:rPr>
              <w:t>的，审查结果为不合格。</w:t>
            </w:r>
          </w:p>
        </w:tc>
      </w:tr>
      <w:tr w14:paraId="5F19EF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3" w:type="dxa"/>
            <w:tcBorders>
              <w:tl2br w:val="nil"/>
              <w:tr2bl w:val="nil"/>
            </w:tcBorders>
            <w:vAlign w:val="center"/>
          </w:tcPr>
          <w:p w14:paraId="62BE9598">
            <w:pPr>
              <w:adjustRightInd w:val="0"/>
              <w:snapToGrid w:val="0"/>
              <w:spacing w:beforeLines="50"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7</w:t>
            </w:r>
          </w:p>
        </w:tc>
        <w:tc>
          <w:tcPr>
            <w:tcW w:w="3247" w:type="dxa"/>
            <w:tcBorders>
              <w:tl2br w:val="nil"/>
              <w:tr2bl w:val="nil"/>
            </w:tcBorders>
            <w:vAlign w:val="center"/>
          </w:tcPr>
          <w:p w14:paraId="625658FF">
            <w:pPr>
              <w:spacing w:line="360" w:lineRule="auto"/>
              <w:rPr>
                <w:rFonts w:ascii="宋体" w:hAnsi="宋体" w:cs="宋体"/>
                <w:color w:val="auto"/>
                <w:szCs w:val="21"/>
                <w:highlight w:val="none"/>
              </w:rPr>
            </w:pPr>
            <w:r>
              <w:rPr>
                <w:rFonts w:hint="eastAsia" w:ascii="宋体" w:hAnsi="宋体" w:cs="宋体"/>
                <w:color w:val="auto"/>
                <w:szCs w:val="21"/>
                <w:highlight w:val="none"/>
              </w:rPr>
              <w:t>投标人信用查询记录</w:t>
            </w:r>
          </w:p>
        </w:tc>
        <w:tc>
          <w:tcPr>
            <w:tcW w:w="5130" w:type="dxa"/>
            <w:tcBorders>
              <w:tl2br w:val="nil"/>
              <w:tr2bl w:val="nil"/>
            </w:tcBorders>
            <w:vAlign w:val="center"/>
          </w:tcPr>
          <w:p w14:paraId="01D58565">
            <w:pPr>
              <w:spacing w:line="360" w:lineRule="auto"/>
              <w:rPr>
                <w:rFonts w:ascii="宋体" w:hAnsi="宋体" w:cs="宋体"/>
                <w:color w:val="auto"/>
                <w:szCs w:val="21"/>
                <w:highlight w:val="none"/>
              </w:rPr>
            </w:pPr>
            <w:r>
              <w:rPr>
                <w:rFonts w:hint="eastAsia" w:ascii="宋体" w:hAnsi="宋体" w:cs="宋体"/>
                <w:color w:val="auto"/>
                <w:szCs w:val="21"/>
                <w:highlight w:val="none"/>
              </w:rPr>
              <w:t>投标人在“信用中国”网站被列入失信被执行人和重大税收违法案件当事人名单，或在“中国政府采购网”网站被列入政府采购严重违法失信行为记录名单的，审查结果为不合格。</w:t>
            </w:r>
          </w:p>
        </w:tc>
      </w:tr>
      <w:tr w14:paraId="5A0AC5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3" w:type="dxa"/>
            <w:tcBorders>
              <w:tl2br w:val="nil"/>
              <w:tr2bl w:val="nil"/>
            </w:tcBorders>
            <w:vAlign w:val="center"/>
          </w:tcPr>
          <w:p w14:paraId="749F6849">
            <w:pPr>
              <w:adjustRightInd w:val="0"/>
              <w:snapToGrid w:val="0"/>
              <w:spacing w:beforeLines="50"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8</w:t>
            </w:r>
          </w:p>
        </w:tc>
        <w:tc>
          <w:tcPr>
            <w:tcW w:w="3247" w:type="dxa"/>
            <w:tcBorders>
              <w:tl2br w:val="nil"/>
              <w:tr2bl w:val="nil"/>
            </w:tcBorders>
            <w:vAlign w:val="center"/>
          </w:tcPr>
          <w:p w14:paraId="221A4EEB">
            <w:pPr>
              <w:spacing w:line="360" w:lineRule="auto"/>
              <w:rPr>
                <w:rFonts w:ascii="宋体" w:hAnsi="宋体" w:cs="宋体"/>
                <w:color w:val="auto"/>
                <w:szCs w:val="21"/>
                <w:highlight w:val="none"/>
              </w:rPr>
            </w:pPr>
            <w:r>
              <w:rPr>
                <w:rFonts w:hint="eastAsia" w:ascii="宋体" w:hAnsi="宋体" w:cs="宋体"/>
                <w:color w:val="auto"/>
                <w:szCs w:val="21"/>
                <w:highlight w:val="none"/>
              </w:rPr>
              <w:t>投标人特定资格证明材料</w:t>
            </w:r>
          </w:p>
        </w:tc>
        <w:tc>
          <w:tcPr>
            <w:tcW w:w="5130" w:type="dxa"/>
            <w:tcBorders>
              <w:tl2br w:val="nil"/>
              <w:tr2bl w:val="nil"/>
            </w:tcBorders>
            <w:vAlign w:val="center"/>
          </w:tcPr>
          <w:p w14:paraId="10FD8BBF">
            <w:pPr>
              <w:spacing w:line="360" w:lineRule="auto"/>
              <w:rPr>
                <w:rFonts w:ascii="宋体" w:hAnsi="宋体" w:cs="宋体"/>
                <w:color w:val="auto"/>
                <w:szCs w:val="21"/>
                <w:highlight w:val="none"/>
              </w:rPr>
            </w:pPr>
            <w:r>
              <w:rPr>
                <w:rFonts w:hint="eastAsia" w:ascii="宋体" w:hAnsi="宋体" w:cs="宋体"/>
                <w:color w:val="auto"/>
                <w:szCs w:val="21"/>
                <w:highlight w:val="none"/>
              </w:rPr>
              <w:t>未按招标文件要求提供投标人特定资格证明材料的，审查结果为不合格。</w:t>
            </w:r>
          </w:p>
        </w:tc>
      </w:tr>
      <w:tr w14:paraId="3994C6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83" w:type="dxa"/>
            <w:tcBorders>
              <w:tl2br w:val="nil"/>
              <w:tr2bl w:val="nil"/>
            </w:tcBorders>
            <w:vAlign w:val="center"/>
          </w:tcPr>
          <w:p w14:paraId="667826C2">
            <w:pPr>
              <w:adjustRightInd w:val="0"/>
              <w:snapToGrid w:val="0"/>
              <w:spacing w:beforeLines="50"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结论</w:t>
            </w:r>
          </w:p>
        </w:tc>
        <w:tc>
          <w:tcPr>
            <w:tcW w:w="8377" w:type="dxa"/>
            <w:gridSpan w:val="2"/>
            <w:tcBorders>
              <w:tl2br w:val="nil"/>
              <w:tr2bl w:val="nil"/>
            </w:tcBorders>
            <w:vAlign w:val="center"/>
          </w:tcPr>
          <w:p w14:paraId="636EFFA7">
            <w:pPr>
              <w:adjustRightInd w:val="0"/>
              <w:snapToGrid w:val="0"/>
              <w:spacing w:beforeLines="50" w:line="360" w:lineRule="auto"/>
              <w:jc w:val="center"/>
              <w:rPr>
                <w:rFonts w:ascii="宋体" w:hAnsi="宋体" w:cs="宋体"/>
                <w:color w:val="auto"/>
                <w:kern w:val="0"/>
                <w:szCs w:val="21"/>
                <w:highlight w:val="none"/>
              </w:rPr>
            </w:pPr>
          </w:p>
        </w:tc>
      </w:tr>
    </w:tbl>
    <w:p w14:paraId="25A9589C">
      <w:pPr>
        <w:rPr>
          <w:rFonts w:ascii="宋体" w:hAnsi="宋体" w:cs="宋体"/>
          <w:color w:val="auto"/>
          <w:highlight w:val="none"/>
        </w:rPr>
      </w:pPr>
    </w:p>
    <w:p w14:paraId="34B50F93">
      <w:pPr>
        <w:widowControl/>
        <w:jc w:val="left"/>
        <w:rPr>
          <w:rFonts w:ascii="宋体" w:hAnsi="宋体" w:cs="宋体"/>
          <w:bCs/>
          <w:color w:val="auto"/>
          <w:szCs w:val="21"/>
          <w:highlight w:val="none"/>
        </w:rPr>
      </w:pPr>
      <w:r>
        <w:rPr>
          <w:rFonts w:hint="eastAsia" w:ascii="宋体" w:hAnsi="宋体" w:cs="宋体"/>
          <w:b/>
          <w:color w:val="auto"/>
          <w:szCs w:val="21"/>
          <w:highlight w:val="none"/>
        </w:rPr>
        <w:br w:type="page"/>
      </w:r>
    </w:p>
    <w:p w14:paraId="348E94E3">
      <w:pPr>
        <w:pStyle w:val="7"/>
        <w:adjustRightInd w:val="0"/>
        <w:snapToGrid w:val="0"/>
        <w:spacing w:before="0" w:after="0" w:line="360" w:lineRule="auto"/>
        <w:rPr>
          <w:rFonts w:ascii="宋体" w:hAnsi="宋体" w:eastAsia="宋体" w:cs="宋体"/>
          <w:b w:val="0"/>
          <w:color w:val="auto"/>
          <w:sz w:val="21"/>
          <w:szCs w:val="21"/>
          <w:highlight w:val="none"/>
        </w:rPr>
      </w:pPr>
      <w:bookmarkStart w:id="49" w:name="_Toc18991"/>
      <w:r>
        <w:rPr>
          <w:rFonts w:hint="eastAsia" w:ascii="宋体" w:hAnsi="宋体" w:eastAsia="宋体" w:cs="宋体"/>
          <w:b w:val="0"/>
          <w:color w:val="auto"/>
          <w:sz w:val="21"/>
          <w:szCs w:val="21"/>
          <w:highlight w:val="none"/>
        </w:rPr>
        <w:t>附表2 资格审查结果一览表</w:t>
      </w:r>
      <w:bookmarkEnd w:id="49"/>
    </w:p>
    <w:p w14:paraId="35D6760F">
      <w:pPr>
        <w:adjustRightInd w:val="0"/>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资格审查结果一览表</w:t>
      </w:r>
    </w:p>
    <w:p w14:paraId="7AD7B3DD">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采购代理编号：</w:t>
      </w:r>
      <w:r>
        <w:rPr>
          <w:rFonts w:hint="eastAsia" w:ascii="宋体" w:hAnsi="宋体" w:cs="宋体"/>
          <w:color w:val="auto"/>
          <w:szCs w:val="21"/>
          <w:highlight w:val="none"/>
          <w:u w:val="single"/>
        </w:rPr>
        <w:t xml:space="preserve">         </w:t>
      </w:r>
    </w:p>
    <w:tbl>
      <w:tblPr>
        <w:tblStyle w:val="46"/>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963"/>
        <w:gridCol w:w="2439"/>
        <w:gridCol w:w="2961"/>
      </w:tblGrid>
      <w:tr w14:paraId="5FBA3E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7" w:type="dxa"/>
            <w:tcBorders>
              <w:tl2br w:val="nil"/>
              <w:tr2bl w:val="nil"/>
            </w:tcBorders>
            <w:vAlign w:val="center"/>
          </w:tcPr>
          <w:p w14:paraId="64F097EA">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963" w:type="dxa"/>
            <w:tcBorders>
              <w:tl2br w:val="nil"/>
              <w:tr2bl w:val="nil"/>
            </w:tcBorders>
            <w:vAlign w:val="center"/>
          </w:tcPr>
          <w:p w14:paraId="48DBEEE6">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投标人名称</w:t>
            </w:r>
          </w:p>
        </w:tc>
        <w:tc>
          <w:tcPr>
            <w:tcW w:w="2439" w:type="dxa"/>
            <w:tcBorders>
              <w:tl2br w:val="nil"/>
              <w:tr2bl w:val="nil"/>
            </w:tcBorders>
            <w:vAlign w:val="center"/>
          </w:tcPr>
          <w:p w14:paraId="57136995">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资格审查结果</w:t>
            </w:r>
          </w:p>
          <w:p w14:paraId="0A15D055">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（合格/不合格）</w:t>
            </w:r>
          </w:p>
        </w:tc>
        <w:tc>
          <w:tcPr>
            <w:tcW w:w="2961" w:type="dxa"/>
            <w:tcBorders>
              <w:tl2br w:val="nil"/>
              <w:tr2bl w:val="nil"/>
            </w:tcBorders>
            <w:vAlign w:val="center"/>
          </w:tcPr>
          <w:p w14:paraId="52283F40">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资格审查不合格原因</w:t>
            </w:r>
          </w:p>
        </w:tc>
      </w:tr>
      <w:tr w14:paraId="682D4C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7" w:type="dxa"/>
            <w:tcBorders>
              <w:tl2br w:val="nil"/>
              <w:tr2bl w:val="nil"/>
            </w:tcBorders>
          </w:tcPr>
          <w:p w14:paraId="580EA517">
            <w:pPr>
              <w:adjustRightInd w:val="0"/>
              <w:snapToGrid w:val="0"/>
              <w:spacing w:line="360" w:lineRule="auto"/>
              <w:rPr>
                <w:rFonts w:ascii="宋体" w:hAnsi="宋体" w:cs="宋体"/>
                <w:color w:val="auto"/>
                <w:kern w:val="0"/>
                <w:sz w:val="24"/>
                <w:highlight w:val="none"/>
              </w:rPr>
            </w:pPr>
          </w:p>
        </w:tc>
        <w:tc>
          <w:tcPr>
            <w:tcW w:w="2963" w:type="dxa"/>
            <w:tcBorders>
              <w:tl2br w:val="nil"/>
              <w:tr2bl w:val="nil"/>
            </w:tcBorders>
          </w:tcPr>
          <w:p w14:paraId="72206362">
            <w:pPr>
              <w:adjustRightInd w:val="0"/>
              <w:snapToGrid w:val="0"/>
              <w:spacing w:line="360" w:lineRule="auto"/>
              <w:rPr>
                <w:rFonts w:ascii="宋体" w:hAnsi="宋体" w:cs="宋体"/>
                <w:color w:val="auto"/>
                <w:kern w:val="0"/>
                <w:sz w:val="24"/>
                <w:highlight w:val="none"/>
              </w:rPr>
            </w:pPr>
          </w:p>
        </w:tc>
        <w:tc>
          <w:tcPr>
            <w:tcW w:w="2439" w:type="dxa"/>
            <w:tcBorders>
              <w:tl2br w:val="nil"/>
              <w:tr2bl w:val="nil"/>
            </w:tcBorders>
          </w:tcPr>
          <w:p w14:paraId="77D904A6">
            <w:pPr>
              <w:adjustRightInd w:val="0"/>
              <w:snapToGrid w:val="0"/>
              <w:spacing w:line="360" w:lineRule="auto"/>
              <w:rPr>
                <w:rFonts w:ascii="宋体" w:hAnsi="宋体" w:cs="宋体"/>
                <w:color w:val="auto"/>
                <w:kern w:val="0"/>
                <w:sz w:val="24"/>
                <w:highlight w:val="none"/>
              </w:rPr>
            </w:pPr>
          </w:p>
        </w:tc>
        <w:tc>
          <w:tcPr>
            <w:tcW w:w="2961" w:type="dxa"/>
            <w:tcBorders>
              <w:tl2br w:val="nil"/>
              <w:tr2bl w:val="nil"/>
            </w:tcBorders>
          </w:tcPr>
          <w:p w14:paraId="23CEC836">
            <w:pPr>
              <w:adjustRightInd w:val="0"/>
              <w:snapToGrid w:val="0"/>
              <w:spacing w:line="360" w:lineRule="auto"/>
              <w:rPr>
                <w:rFonts w:ascii="宋体" w:hAnsi="宋体" w:cs="宋体"/>
                <w:color w:val="auto"/>
                <w:kern w:val="0"/>
                <w:sz w:val="24"/>
                <w:highlight w:val="none"/>
              </w:rPr>
            </w:pPr>
          </w:p>
        </w:tc>
      </w:tr>
      <w:tr w14:paraId="5A7A76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7" w:type="dxa"/>
            <w:tcBorders>
              <w:tl2br w:val="nil"/>
              <w:tr2bl w:val="nil"/>
            </w:tcBorders>
          </w:tcPr>
          <w:p w14:paraId="6DFB07B0">
            <w:pPr>
              <w:adjustRightInd w:val="0"/>
              <w:snapToGrid w:val="0"/>
              <w:spacing w:line="360" w:lineRule="auto"/>
              <w:rPr>
                <w:rFonts w:ascii="宋体" w:hAnsi="宋体" w:cs="宋体"/>
                <w:color w:val="auto"/>
                <w:kern w:val="0"/>
                <w:sz w:val="24"/>
                <w:highlight w:val="none"/>
              </w:rPr>
            </w:pPr>
          </w:p>
        </w:tc>
        <w:tc>
          <w:tcPr>
            <w:tcW w:w="2963" w:type="dxa"/>
            <w:tcBorders>
              <w:tl2br w:val="nil"/>
              <w:tr2bl w:val="nil"/>
            </w:tcBorders>
          </w:tcPr>
          <w:p w14:paraId="19D099AB">
            <w:pPr>
              <w:adjustRightInd w:val="0"/>
              <w:snapToGrid w:val="0"/>
              <w:spacing w:line="360" w:lineRule="auto"/>
              <w:rPr>
                <w:rFonts w:ascii="宋体" w:hAnsi="宋体" w:cs="宋体"/>
                <w:color w:val="auto"/>
                <w:kern w:val="0"/>
                <w:sz w:val="24"/>
                <w:highlight w:val="none"/>
              </w:rPr>
            </w:pPr>
          </w:p>
        </w:tc>
        <w:tc>
          <w:tcPr>
            <w:tcW w:w="2439" w:type="dxa"/>
            <w:tcBorders>
              <w:tl2br w:val="nil"/>
              <w:tr2bl w:val="nil"/>
            </w:tcBorders>
          </w:tcPr>
          <w:p w14:paraId="26DC32F1">
            <w:pPr>
              <w:adjustRightInd w:val="0"/>
              <w:snapToGrid w:val="0"/>
              <w:spacing w:line="360" w:lineRule="auto"/>
              <w:rPr>
                <w:rFonts w:ascii="宋体" w:hAnsi="宋体" w:cs="宋体"/>
                <w:color w:val="auto"/>
                <w:kern w:val="0"/>
                <w:sz w:val="24"/>
                <w:highlight w:val="none"/>
              </w:rPr>
            </w:pPr>
          </w:p>
        </w:tc>
        <w:tc>
          <w:tcPr>
            <w:tcW w:w="2961" w:type="dxa"/>
            <w:tcBorders>
              <w:tl2br w:val="nil"/>
              <w:tr2bl w:val="nil"/>
            </w:tcBorders>
          </w:tcPr>
          <w:p w14:paraId="6F89412C">
            <w:pPr>
              <w:adjustRightInd w:val="0"/>
              <w:snapToGrid w:val="0"/>
              <w:spacing w:line="360" w:lineRule="auto"/>
              <w:rPr>
                <w:rFonts w:ascii="宋体" w:hAnsi="宋体" w:cs="宋体"/>
                <w:color w:val="auto"/>
                <w:kern w:val="0"/>
                <w:sz w:val="24"/>
                <w:highlight w:val="none"/>
              </w:rPr>
            </w:pPr>
          </w:p>
        </w:tc>
      </w:tr>
      <w:tr w14:paraId="185A1D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7" w:type="dxa"/>
            <w:tcBorders>
              <w:tl2br w:val="nil"/>
              <w:tr2bl w:val="nil"/>
            </w:tcBorders>
          </w:tcPr>
          <w:p w14:paraId="2FDF6D2C">
            <w:pPr>
              <w:adjustRightInd w:val="0"/>
              <w:snapToGrid w:val="0"/>
              <w:spacing w:line="360" w:lineRule="auto"/>
              <w:rPr>
                <w:rFonts w:ascii="宋体" w:hAnsi="宋体" w:cs="宋体"/>
                <w:color w:val="auto"/>
                <w:kern w:val="0"/>
                <w:sz w:val="24"/>
                <w:highlight w:val="none"/>
              </w:rPr>
            </w:pPr>
          </w:p>
        </w:tc>
        <w:tc>
          <w:tcPr>
            <w:tcW w:w="2963" w:type="dxa"/>
            <w:tcBorders>
              <w:tl2br w:val="nil"/>
              <w:tr2bl w:val="nil"/>
            </w:tcBorders>
          </w:tcPr>
          <w:p w14:paraId="31DC063F">
            <w:pPr>
              <w:adjustRightInd w:val="0"/>
              <w:snapToGrid w:val="0"/>
              <w:spacing w:line="360" w:lineRule="auto"/>
              <w:rPr>
                <w:rFonts w:ascii="宋体" w:hAnsi="宋体" w:cs="宋体"/>
                <w:color w:val="auto"/>
                <w:kern w:val="0"/>
                <w:sz w:val="24"/>
                <w:highlight w:val="none"/>
              </w:rPr>
            </w:pPr>
          </w:p>
        </w:tc>
        <w:tc>
          <w:tcPr>
            <w:tcW w:w="2439" w:type="dxa"/>
            <w:tcBorders>
              <w:tl2br w:val="nil"/>
              <w:tr2bl w:val="nil"/>
            </w:tcBorders>
          </w:tcPr>
          <w:p w14:paraId="2F802F98">
            <w:pPr>
              <w:adjustRightInd w:val="0"/>
              <w:snapToGrid w:val="0"/>
              <w:spacing w:line="360" w:lineRule="auto"/>
              <w:rPr>
                <w:rFonts w:ascii="宋体" w:hAnsi="宋体" w:cs="宋体"/>
                <w:color w:val="auto"/>
                <w:kern w:val="0"/>
                <w:sz w:val="24"/>
                <w:highlight w:val="none"/>
              </w:rPr>
            </w:pPr>
          </w:p>
        </w:tc>
        <w:tc>
          <w:tcPr>
            <w:tcW w:w="2961" w:type="dxa"/>
            <w:tcBorders>
              <w:tl2br w:val="nil"/>
              <w:tr2bl w:val="nil"/>
            </w:tcBorders>
          </w:tcPr>
          <w:p w14:paraId="2EBA938B">
            <w:pPr>
              <w:adjustRightInd w:val="0"/>
              <w:snapToGrid w:val="0"/>
              <w:spacing w:line="360" w:lineRule="auto"/>
              <w:rPr>
                <w:rFonts w:ascii="宋体" w:hAnsi="宋体" w:cs="宋体"/>
                <w:color w:val="auto"/>
                <w:kern w:val="0"/>
                <w:sz w:val="24"/>
                <w:highlight w:val="none"/>
              </w:rPr>
            </w:pPr>
          </w:p>
        </w:tc>
      </w:tr>
      <w:tr w14:paraId="58BC11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7" w:type="dxa"/>
            <w:tcBorders>
              <w:tl2br w:val="nil"/>
              <w:tr2bl w:val="nil"/>
            </w:tcBorders>
          </w:tcPr>
          <w:p w14:paraId="3FF50C8C">
            <w:pPr>
              <w:adjustRightInd w:val="0"/>
              <w:snapToGrid w:val="0"/>
              <w:spacing w:line="360" w:lineRule="auto"/>
              <w:rPr>
                <w:rFonts w:ascii="宋体" w:hAnsi="宋体" w:cs="宋体"/>
                <w:color w:val="auto"/>
                <w:kern w:val="0"/>
                <w:sz w:val="24"/>
                <w:highlight w:val="none"/>
              </w:rPr>
            </w:pPr>
          </w:p>
        </w:tc>
        <w:tc>
          <w:tcPr>
            <w:tcW w:w="2963" w:type="dxa"/>
            <w:tcBorders>
              <w:tl2br w:val="nil"/>
              <w:tr2bl w:val="nil"/>
            </w:tcBorders>
          </w:tcPr>
          <w:p w14:paraId="7935390D">
            <w:pPr>
              <w:adjustRightInd w:val="0"/>
              <w:snapToGrid w:val="0"/>
              <w:spacing w:line="360" w:lineRule="auto"/>
              <w:rPr>
                <w:rFonts w:ascii="宋体" w:hAnsi="宋体" w:cs="宋体"/>
                <w:color w:val="auto"/>
                <w:kern w:val="0"/>
                <w:sz w:val="24"/>
                <w:highlight w:val="none"/>
              </w:rPr>
            </w:pPr>
          </w:p>
        </w:tc>
        <w:tc>
          <w:tcPr>
            <w:tcW w:w="2439" w:type="dxa"/>
            <w:tcBorders>
              <w:tl2br w:val="nil"/>
              <w:tr2bl w:val="nil"/>
            </w:tcBorders>
          </w:tcPr>
          <w:p w14:paraId="2916DB15">
            <w:pPr>
              <w:adjustRightInd w:val="0"/>
              <w:snapToGrid w:val="0"/>
              <w:spacing w:line="360" w:lineRule="auto"/>
              <w:rPr>
                <w:rFonts w:ascii="宋体" w:hAnsi="宋体" w:cs="宋体"/>
                <w:color w:val="auto"/>
                <w:kern w:val="0"/>
                <w:sz w:val="24"/>
                <w:highlight w:val="none"/>
              </w:rPr>
            </w:pPr>
          </w:p>
        </w:tc>
        <w:tc>
          <w:tcPr>
            <w:tcW w:w="2961" w:type="dxa"/>
            <w:tcBorders>
              <w:tl2br w:val="nil"/>
              <w:tr2bl w:val="nil"/>
            </w:tcBorders>
          </w:tcPr>
          <w:p w14:paraId="1BE91AA0">
            <w:pPr>
              <w:adjustRightInd w:val="0"/>
              <w:snapToGrid w:val="0"/>
              <w:spacing w:line="360" w:lineRule="auto"/>
              <w:rPr>
                <w:rFonts w:ascii="宋体" w:hAnsi="宋体" w:cs="宋体"/>
                <w:color w:val="auto"/>
                <w:kern w:val="0"/>
                <w:sz w:val="24"/>
                <w:highlight w:val="none"/>
              </w:rPr>
            </w:pPr>
          </w:p>
        </w:tc>
      </w:tr>
      <w:tr w14:paraId="568FE3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7" w:type="dxa"/>
            <w:tcBorders>
              <w:tl2br w:val="nil"/>
              <w:tr2bl w:val="nil"/>
            </w:tcBorders>
          </w:tcPr>
          <w:p w14:paraId="6C21CA34">
            <w:pPr>
              <w:adjustRightInd w:val="0"/>
              <w:snapToGrid w:val="0"/>
              <w:spacing w:line="360" w:lineRule="auto"/>
              <w:rPr>
                <w:rFonts w:ascii="宋体" w:hAnsi="宋体" w:cs="宋体"/>
                <w:color w:val="auto"/>
                <w:kern w:val="0"/>
                <w:sz w:val="24"/>
                <w:highlight w:val="none"/>
              </w:rPr>
            </w:pPr>
          </w:p>
        </w:tc>
        <w:tc>
          <w:tcPr>
            <w:tcW w:w="2963" w:type="dxa"/>
            <w:tcBorders>
              <w:tl2br w:val="nil"/>
              <w:tr2bl w:val="nil"/>
            </w:tcBorders>
          </w:tcPr>
          <w:p w14:paraId="665BFA3C">
            <w:pPr>
              <w:adjustRightInd w:val="0"/>
              <w:snapToGrid w:val="0"/>
              <w:spacing w:line="360" w:lineRule="auto"/>
              <w:rPr>
                <w:rFonts w:ascii="宋体" w:hAnsi="宋体" w:cs="宋体"/>
                <w:color w:val="auto"/>
                <w:kern w:val="0"/>
                <w:sz w:val="24"/>
                <w:highlight w:val="none"/>
              </w:rPr>
            </w:pPr>
          </w:p>
        </w:tc>
        <w:tc>
          <w:tcPr>
            <w:tcW w:w="2439" w:type="dxa"/>
            <w:tcBorders>
              <w:tl2br w:val="nil"/>
              <w:tr2bl w:val="nil"/>
            </w:tcBorders>
          </w:tcPr>
          <w:p w14:paraId="4BDD70E3">
            <w:pPr>
              <w:adjustRightInd w:val="0"/>
              <w:snapToGrid w:val="0"/>
              <w:spacing w:line="360" w:lineRule="auto"/>
              <w:rPr>
                <w:rFonts w:ascii="宋体" w:hAnsi="宋体" w:cs="宋体"/>
                <w:color w:val="auto"/>
                <w:kern w:val="0"/>
                <w:sz w:val="24"/>
                <w:highlight w:val="none"/>
              </w:rPr>
            </w:pPr>
          </w:p>
        </w:tc>
        <w:tc>
          <w:tcPr>
            <w:tcW w:w="2961" w:type="dxa"/>
            <w:tcBorders>
              <w:tl2br w:val="nil"/>
              <w:tr2bl w:val="nil"/>
            </w:tcBorders>
          </w:tcPr>
          <w:p w14:paraId="124EFCCC">
            <w:pPr>
              <w:adjustRightInd w:val="0"/>
              <w:snapToGrid w:val="0"/>
              <w:spacing w:line="360" w:lineRule="auto"/>
              <w:rPr>
                <w:rFonts w:ascii="宋体" w:hAnsi="宋体" w:cs="宋体"/>
                <w:color w:val="auto"/>
                <w:kern w:val="0"/>
                <w:sz w:val="24"/>
                <w:highlight w:val="none"/>
              </w:rPr>
            </w:pPr>
          </w:p>
        </w:tc>
      </w:tr>
      <w:tr w14:paraId="520093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7" w:type="dxa"/>
            <w:tcBorders>
              <w:tl2br w:val="nil"/>
              <w:tr2bl w:val="nil"/>
            </w:tcBorders>
          </w:tcPr>
          <w:p w14:paraId="5377C320">
            <w:pPr>
              <w:adjustRightInd w:val="0"/>
              <w:snapToGrid w:val="0"/>
              <w:spacing w:line="360" w:lineRule="auto"/>
              <w:rPr>
                <w:rFonts w:ascii="宋体" w:hAnsi="宋体" w:cs="宋体"/>
                <w:color w:val="auto"/>
                <w:kern w:val="0"/>
                <w:sz w:val="24"/>
                <w:highlight w:val="none"/>
              </w:rPr>
            </w:pPr>
          </w:p>
        </w:tc>
        <w:tc>
          <w:tcPr>
            <w:tcW w:w="2963" w:type="dxa"/>
            <w:tcBorders>
              <w:tl2br w:val="nil"/>
              <w:tr2bl w:val="nil"/>
            </w:tcBorders>
          </w:tcPr>
          <w:p w14:paraId="71F0817E">
            <w:pPr>
              <w:adjustRightInd w:val="0"/>
              <w:snapToGrid w:val="0"/>
              <w:spacing w:line="360" w:lineRule="auto"/>
              <w:rPr>
                <w:rFonts w:ascii="宋体" w:hAnsi="宋体" w:cs="宋体"/>
                <w:color w:val="auto"/>
                <w:kern w:val="0"/>
                <w:sz w:val="24"/>
                <w:highlight w:val="none"/>
              </w:rPr>
            </w:pPr>
          </w:p>
        </w:tc>
        <w:tc>
          <w:tcPr>
            <w:tcW w:w="2439" w:type="dxa"/>
            <w:tcBorders>
              <w:tl2br w:val="nil"/>
              <w:tr2bl w:val="nil"/>
            </w:tcBorders>
          </w:tcPr>
          <w:p w14:paraId="5502D484">
            <w:pPr>
              <w:adjustRightInd w:val="0"/>
              <w:snapToGrid w:val="0"/>
              <w:spacing w:line="360" w:lineRule="auto"/>
              <w:rPr>
                <w:rFonts w:ascii="宋体" w:hAnsi="宋体" w:cs="宋体"/>
                <w:color w:val="auto"/>
                <w:kern w:val="0"/>
                <w:sz w:val="24"/>
                <w:highlight w:val="none"/>
              </w:rPr>
            </w:pPr>
          </w:p>
        </w:tc>
        <w:tc>
          <w:tcPr>
            <w:tcW w:w="2961" w:type="dxa"/>
            <w:tcBorders>
              <w:tl2br w:val="nil"/>
              <w:tr2bl w:val="nil"/>
            </w:tcBorders>
          </w:tcPr>
          <w:p w14:paraId="240E6F76">
            <w:pPr>
              <w:adjustRightInd w:val="0"/>
              <w:snapToGrid w:val="0"/>
              <w:spacing w:line="360" w:lineRule="auto"/>
              <w:rPr>
                <w:rFonts w:ascii="宋体" w:hAnsi="宋体" w:cs="宋体"/>
                <w:color w:val="auto"/>
                <w:kern w:val="0"/>
                <w:sz w:val="24"/>
                <w:highlight w:val="none"/>
              </w:rPr>
            </w:pPr>
          </w:p>
        </w:tc>
      </w:tr>
      <w:tr w14:paraId="136694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7" w:type="dxa"/>
            <w:tcBorders>
              <w:tl2br w:val="nil"/>
              <w:tr2bl w:val="nil"/>
            </w:tcBorders>
          </w:tcPr>
          <w:p w14:paraId="68E1F90A">
            <w:pPr>
              <w:adjustRightInd w:val="0"/>
              <w:snapToGrid w:val="0"/>
              <w:spacing w:line="360" w:lineRule="auto"/>
              <w:rPr>
                <w:rFonts w:ascii="宋体" w:hAnsi="宋体" w:cs="宋体"/>
                <w:color w:val="auto"/>
                <w:kern w:val="0"/>
                <w:sz w:val="24"/>
                <w:highlight w:val="none"/>
              </w:rPr>
            </w:pPr>
          </w:p>
        </w:tc>
        <w:tc>
          <w:tcPr>
            <w:tcW w:w="2963" w:type="dxa"/>
            <w:tcBorders>
              <w:tl2br w:val="nil"/>
              <w:tr2bl w:val="nil"/>
            </w:tcBorders>
          </w:tcPr>
          <w:p w14:paraId="46B87FFE">
            <w:pPr>
              <w:adjustRightInd w:val="0"/>
              <w:snapToGrid w:val="0"/>
              <w:spacing w:line="360" w:lineRule="auto"/>
              <w:rPr>
                <w:rFonts w:ascii="宋体" w:hAnsi="宋体" w:cs="宋体"/>
                <w:color w:val="auto"/>
                <w:kern w:val="0"/>
                <w:sz w:val="24"/>
                <w:highlight w:val="none"/>
              </w:rPr>
            </w:pPr>
          </w:p>
        </w:tc>
        <w:tc>
          <w:tcPr>
            <w:tcW w:w="2439" w:type="dxa"/>
            <w:tcBorders>
              <w:tl2br w:val="nil"/>
              <w:tr2bl w:val="nil"/>
            </w:tcBorders>
          </w:tcPr>
          <w:p w14:paraId="3C289911">
            <w:pPr>
              <w:adjustRightInd w:val="0"/>
              <w:snapToGrid w:val="0"/>
              <w:spacing w:line="360" w:lineRule="auto"/>
              <w:rPr>
                <w:rFonts w:ascii="宋体" w:hAnsi="宋体" w:cs="宋体"/>
                <w:color w:val="auto"/>
                <w:kern w:val="0"/>
                <w:sz w:val="24"/>
                <w:highlight w:val="none"/>
              </w:rPr>
            </w:pPr>
          </w:p>
        </w:tc>
        <w:tc>
          <w:tcPr>
            <w:tcW w:w="2961" w:type="dxa"/>
            <w:tcBorders>
              <w:tl2br w:val="nil"/>
              <w:tr2bl w:val="nil"/>
            </w:tcBorders>
          </w:tcPr>
          <w:p w14:paraId="3DD02128">
            <w:pPr>
              <w:adjustRightInd w:val="0"/>
              <w:snapToGrid w:val="0"/>
              <w:spacing w:line="360" w:lineRule="auto"/>
              <w:rPr>
                <w:rFonts w:ascii="宋体" w:hAnsi="宋体" w:cs="宋体"/>
                <w:color w:val="auto"/>
                <w:kern w:val="0"/>
                <w:sz w:val="24"/>
                <w:highlight w:val="none"/>
              </w:rPr>
            </w:pPr>
          </w:p>
        </w:tc>
      </w:tr>
      <w:tr w14:paraId="71F2B1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7" w:type="dxa"/>
            <w:tcBorders>
              <w:tl2br w:val="nil"/>
              <w:tr2bl w:val="nil"/>
            </w:tcBorders>
          </w:tcPr>
          <w:p w14:paraId="2696BA55">
            <w:pPr>
              <w:adjustRightInd w:val="0"/>
              <w:snapToGrid w:val="0"/>
              <w:spacing w:line="360" w:lineRule="auto"/>
              <w:rPr>
                <w:rFonts w:ascii="宋体" w:hAnsi="宋体" w:cs="宋体"/>
                <w:color w:val="auto"/>
                <w:kern w:val="0"/>
                <w:sz w:val="24"/>
                <w:highlight w:val="none"/>
              </w:rPr>
            </w:pPr>
          </w:p>
        </w:tc>
        <w:tc>
          <w:tcPr>
            <w:tcW w:w="2963" w:type="dxa"/>
            <w:tcBorders>
              <w:tl2br w:val="nil"/>
              <w:tr2bl w:val="nil"/>
            </w:tcBorders>
          </w:tcPr>
          <w:p w14:paraId="15FA7364">
            <w:pPr>
              <w:adjustRightInd w:val="0"/>
              <w:snapToGrid w:val="0"/>
              <w:spacing w:line="360" w:lineRule="auto"/>
              <w:rPr>
                <w:rFonts w:ascii="宋体" w:hAnsi="宋体" w:cs="宋体"/>
                <w:color w:val="auto"/>
                <w:kern w:val="0"/>
                <w:sz w:val="24"/>
                <w:highlight w:val="none"/>
              </w:rPr>
            </w:pPr>
          </w:p>
        </w:tc>
        <w:tc>
          <w:tcPr>
            <w:tcW w:w="2439" w:type="dxa"/>
            <w:tcBorders>
              <w:tl2br w:val="nil"/>
              <w:tr2bl w:val="nil"/>
            </w:tcBorders>
          </w:tcPr>
          <w:p w14:paraId="37237265">
            <w:pPr>
              <w:adjustRightInd w:val="0"/>
              <w:snapToGrid w:val="0"/>
              <w:spacing w:line="360" w:lineRule="auto"/>
              <w:rPr>
                <w:rFonts w:ascii="宋体" w:hAnsi="宋体" w:cs="宋体"/>
                <w:color w:val="auto"/>
                <w:kern w:val="0"/>
                <w:sz w:val="24"/>
                <w:highlight w:val="none"/>
              </w:rPr>
            </w:pPr>
          </w:p>
        </w:tc>
        <w:tc>
          <w:tcPr>
            <w:tcW w:w="2961" w:type="dxa"/>
            <w:tcBorders>
              <w:tl2br w:val="nil"/>
              <w:tr2bl w:val="nil"/>
            </w:tcBorders>
          </w:tcPr>
          <w:p w14:paraId="3F01CBE6">
            <w:pPr>
              <w:adjustRightInd w:val="0"/>
              <w:snapToGrid w:val="0"/>
              <w:spacing w:line="360" w:lineRule="auto"/>
              <w:rPr>
                <w:rFonts w:ascii="宋体" w:hAnsi="宋体" w:cs="宋体"/>
                <w:color w:val="auto"/>
                <w:kern w:val="0"/>
                <w:sz w:val="24"/>
                <w:highlight w:val="none"/>
              </w:rPr>
            </w:pPr>
          </w:p>
        </w:tc>
      </w:tr>
      <w:tr w14:paraId="3C2BEA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7" w:type="dxa"/>
            <w:tcBorders>
              <w:tl2br w:val="nil"/>
              <w:tr2bl w:val="nil"/>
            </w:tcBorders>
          </w:tcPr>
          <w:p w14:paraId="0CDB5FAB">
            <w:pPr>
              <w:adjustRightInd w:val="0"/>
              <w:snapToGrid w:val="0"/>
              <w:spacing w:line="360" w:lineRule="auto"/>
              <w:rPr>
                <w:rFonts w:ascii="宋体" w:hAnsi="宋体" w:cs="宋体"/>
                <w:color w:val="auto"/>
                <w:kern w:val="0"/>
                <w:sz w:val="24"/>
                <w:highlight w:val="none"/>
              </w:rPr>
            </w:pPr>
          </w:p>
        </w:tc>
        <w:tc>
          <w:tcPr>
            <w:tcW w:w="2963" w:type="dxa"/>
            <w:tcBorders>
              <w:tl2br w:val="nil"/>
              <w:tr2bl w:val="nil"/>
            </w:tcBorders>
          </w:tcPr>
          <w:p w14:paraId="711029CD">
            <w:pPr>
              <w:adjustRightInd w:val="0"/>
              <w:snapToGrid w:val="0"/>
              <w:spacing w:line="360" w:lineRule="auto"/>
              <w:rPr>
                <w:rFonts w:ascii="宋体" w:hAnsi="宋体" w:cs="宋体"/>
                <w:color w:val="auto"/>
                <w:kern w:val="0"/>
                <w:sz w:val="24"/>
                <w:highlight w:val="none"/>
              </w:rPr>
            </w:pPr>
          </w:p>
        </w:tc>
        <w:tc>
          <w:tcPr>
            <w:tcW w:w="2439" w:type="dxa"/>
            <w:tcBorders>
              <w:tl2br w:val="nil"/>
              <w:tr2bl w:val="nil"/>
            </w:tcBorders>
          </w:tcPr>
          <w:p w14:paraId="1E34CEF3">
            <w:pPr>
              <w:adjustRightInd w:val="0"/>
              <w:snapToGrid w:val="0"/>
              <w:spacing w:line="360" w:lineRule="auto"/>
              <w:rPr>
                <w:rFonts w:ascii="宋体" w:hAnsi="宋体" w:cs="宋体"/>
                <w:color w:val="auto"/>
                <w:kern w:val="0"/>
                <w:sz w:val="24"/>
                <w:highlight w:val="none"/>
              </w:rPr>
            </w:pPr>
          </w:p>
        </w:tc>
        <w:tc>
          <w:tcPr>
            <w:tcW w:w="2961" w:type="dxa"/>
            <w:tcBorders>
              <w:tl2br w:val="nil"/>
              <w:tr2bl w:val="nil"/>
            </w:tcBorders>
          </w:tcPr>
          <w:p w14:paraId="55CE3EDA">
            <w:pPr>
              <w:adjustRightInd w:val="0"/>
              <w:snapToGrid w:val="0"/>
              <w:spacing w:line="360" w:lineRule="auto"/>
              <w:rPr>
                <w:rFonts w:ascii="宋体" w:hAnsi="宋体" w:cs="宋体"/>
                <w:color w:val="auto"/>
                <w:kern w:val="0"/>
                <w:sz w:val="24"/>
                <w:highlight w:val="none"/>
              </w:rPr>
            </w:pPr>
          </w:p>
        </w:tc>
      </w:tr>
    </w:tbl>
    <w:p w14:paraId="2ECEF5DC">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5822EFC1">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7CC8E03">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67A3379">
      <w:pPr>
        <w:widowControl/>
        <w:jc w:val="left"/>
        <w:rPr>
          <w:rFonts w:ascii="宋体" w:hAnsi="宋体" w:cs="宋体"/>
          <w:color w:val="auto"/>
          <w:sz w:val="24"/>
          <w:highlight w:val="none"/>
        </w:rPr>
      </w:pPr>
      <w:r>
        <w:rPr>
          <w:rFonts w:hint="eastAsia" w:ascii="宋体" w:hAnsi="宋体" w:cs="宋体"/>
          <w:color w:val="auto"/>
          <w:sz w:val="24"/>
          <w:highlight w:val="none"/>
        </w:rPr>
        <w:br w:type="page"/>
      </w:r>
    </w:p>
    <w:p w14:paraId="634CCDC1">
      <w:pPr>
        <w:pStyle w:val="7"/>
        <w:adjustRightInd w:val="0"/>
        <w:snapToGrid w:val="0"/>
        <w:spacing w:before="0" w:after="0" w:line="360" w:lineRule="auto"/>
        <w:rPr>
          <w:rFonts w:ascii="宋体" w:hAnsi="宋体" w:eastAsia="宋体" w:cs="宋体"/>
          <w:b w:val="0"/>
          <w:color w:val="auto"/>
          <w:sz w:val="21"/>
          <w:szCs w:val="21"/>
          <w:highlight w:val="none"/>
        </w:rPr>
      </w:pPr>
      <w:bookmarkStart w:id="50" w:name="_Toc28898"/>
      <w:r>
        <w:rPr>
          <w:rFonts w:hint="eastAsia" w:ascii="宋体" w:hAnsi="宋体" w:eastAsia="宋体" w:cs="宋体"/>
          <w:b w:val="0"/>
          <w:color w:val="auto"/>
          <w:sz w:val="21"/>
          <w:szCs w:val="21"/>
          <w:highlight w:val="none"/>
        </w:rPr>
        <w:t>附表3 资格审查合格投标人名单</w:t>
      </w:r>
      <w:bookmarkEnd w:id="50"/>
    </w:p>
    <w:p w14:paraId="46644103">
      <w:pPr>
        <w:adjustRightInd w:val="0"/>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资格审查合格投标人名单</w:t>
      </w:r>
    </w:p>
    <w:p w14:paraId="4FFD618B">
      <w:pPr>
        <w:adjustRightInd w:val="0"/>
        <w:snapToGrid w:val="0"/>
        <w:spacing w:line="360" w:lineRule="auto"/>
        <w:rPr>
          <w:rFonts w:ascii="宋体" w:hAnsi="宋体" w:cs="宋体"/>
          <w:color w:val="auto"/>
          <w:sz w:val="32"/>
          <w:szCs w:val="32"/>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采购代理编号：</w:t>
      </w:r>
      <w:r>
        <w:rPr>
          <w:rFonts w:hint="eastAsia" w:ascii="宋体" w:hAnsi="宋体" w:cs="宋体"/>
          <w:color w:val="auto"/>
          <w:szCs w:val="21"/>
          <w:highlight w:val="none"/>
          <w:u w:val="single"/>
        </w:rPr>
        <w:t xml:space="preserve">           </w:t>
      </w:r>
    </w:p>
    <w:tbl>
      <w:tblPr>
        <w:tblStyle w:val="46"/>
        <w:tblW w:w="878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796"/>
      </w:tblGrid>
      <w:tr w14:paraId="061F89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3" w:type="dxa"/>
            <w:tcBorders>
              <w:tl2br w:val="nil"/>
              <w:tr2bl w:val="nil"/>
            </w:tcBorders>
            <w:vAlign w:val="center"/>
          </w:tcPr>
          <w:p w14:paraId="1DD8B200">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7796" w:type="dxa"/>
            <w:tcBorders>
              <w:tl2br w:val="nil"/>
              <w:tr2bl w:val="nil"/>
            </w:tcBorders>
            <w:vAlign w:val="center"/>
          </w:tcPr>
          <w:p w14:paraId="2516F193">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合格投标人名称</w:t>
            </w:r>
          </w:p>
        </w:tc>
      </w:tr>
      <w:tr w14:paraId="49B64C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3" w:type="dxa"/>
            <w:tcBorders>
              <w:tl2br w:val="nil"/>
              <w:tr2bl w:val="nil"/>
            </w:tcBorders>
          </w:tcPr>
          <w:p w14:paraId="37ECC516">
            <w:pPr>
              <w:adjustRightInd w:val="0"/>
              <w:snapToGrid w:val="0"/>
              <w:spacing w:line="360" w:lineRule="auto"/>
              <w:rPr>
                <w:rFonts w:ascii="宋体" w:hAnsi="宋体" w:cs="宋体"/>
                <w:color w:val="auto"/>
                <w:kern w:val="0"/>
                <w:szCs w:val="21"/>
                <w:highlight w:val="none"/>
              </w:rPr>
            </w:pPr>
          </w:p>
        </w:tc>
        <w:tc>
          <w:tcPr>
            <w:tcW w:w="7796" w:type="dxa"/>
            <w:tcBorders>
              <w:tl2br w:val="nil"/>
              <w:tr2bl w:val="nil"/>
            </w:tcBorders>
          </w:tcPr>
          <w:p w14:paraId="5205224B">
            <w:pPr>
              <w:adjustRightInd w:val="0"/>
              <w:snapToGrid w:val="0"/>
              <w:spacing w:line="360" w:lineRule="auto"/>
              <w:rPr>
                <w:rFonts w:ascii="宋体" w:hAnsi="宋体" w:cs="宋体"/>
                <w:color w:val="auto"/>
                <w:kern w:val="0"/>
                <w:szCs w:val="21"/>
                <w:highlight w:val="none"/>
              </w:rPr>
            </w:pPr>
          </w:p>
        </w:tc>
      </w:tr>
      <w:tr w14:paraId="12534E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3" w:type="dxa"/>
            <w:tcBorders>
              <w:tl2br w:val="nil"/>
              <w:tr2bl w:val="nil"/>
            </w:tcBorders>
          </w:tcPr>
          <w:p w14:paraId="20A1F399">
            <w:pPr>
              <w:adjustRightInd w:val="0"/>
              <w:snapToGrid w:val="0"/>
              <w:spacing w:line="360" w:lineRule="auto"/>
              <w:rPr>
                <w:rFonts w:ascii="宋体" w:hAnsi="宋体" w:cs="宋体"/>
                <w:color w:val="auto"/>
                <w:kern w:val="0"/>
                <w:sz w:val="24"/>
                <w:highlight w:val="none"/>
              </w:rPr>
            </w:pPr>
          </w:p>
        </w:tc>
        <w:tc>
          <w:tcPr>
            <w:tcW w:w="7796" w:type="dxa"/>
            <w:tcBorders>
              <w:tl2br w:val="nil"/>
              <w:tr2bl w:val="nil"/>
            </w:tcBorders>
          </w:tcPr>
          <w:p w14:paraId="3BC12132">
            <w:pPr>
              <w:adjustRightInd w:val="0"/>
              <w:snapToGrid w:val="0"/>
              <w:spacing w:line="360" w:lineRule="auto"/>
              <w:rPr>
                <w:rFonts w:ascii="宋体" w:hAnsi="宋体" w:cs="宋体"/>
                <w:color w:val="auto"/>
                <w:kern w:val="0"/>
                <w:sz w:val="24"/>
                <w:highlight w:val="none"/>
              </w:rPr>
            </w:pPr>
          </w:p>
        </w:tc>
      </w:tr>
      <w:tr w14:paraId="493145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3" w:type="dxa"/>
            <w:tcBorders>
              <w:tl2br w:val="nil"/>
              <w:tr2bl w:val="nil"/>
            </w:tcBorders>
          </w:tcPr>
          <w:p w14:paraId="23E32E90">
            <w:pPr>
              <w:adjustRightInd w:val="0"/>
              <w:snapToGrid w:val="0"/>
              <w:spacing w:line="360" w:lineRule="auto"/>
              <w:rPr>
                <w:rFonts w:ascii="宋体" w:hAnsi="宋体" w:cs="宋体"/>
                <w:color w:val="auto"/>
                <w:kern w:val="0"/>
                <w:sz w:val="24"/>
                <w:highlight w:val="none"/>
              </w:rPr>
            </w:pPr>
          </w:p>
        </w:tc>
        <w:tc>
          <w:tcPr>
            <w:tcW w:w="7796" w:type="dxa"/>
            <w:tcBorders>
              <w:tl2br w:val="nil"/>
              <w:tr2bl w:val="nil"/>
            </w:tcBorders>
          </w:tcPr>
          <w:p w14:paraId="030E5595">
            <w:pPr>
              <w:adjustRightInd w:val="0"/>
              <w:snapToGrid w:val="0"/>
              <w:spacing w:line="360" w:lineRule="auto"/>
              <w:rPr>
                <w:rFonts w:ascii="宋体" w:hAnsi="宋体" w:cs="宋体"/>
                <w:color w:val="auto"/>
                <w:kern w:val="0"/>
                <w:sz w:val="24"/>
                <w:highlight w:val="none"/>
              </w:rPr>
            </w:pPr>
          </w:p>
        </w:tc>
      </w:tr>
      <w:tr w14:paraId="0FE8D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3" w:type="dxa"/>
            <w:tcBorders>
              <w:tl2br w:val="nil"/>
              <w:tr2bl w:val="nil"/>
            </w:tcBorders>
          </w:tcPr>
          <w:p w14:paraId="180E4541">
            <w:pPr>
              <w:adjustRightInd w:val="0"/>
              <w:snapToGrid w:val="0"/>
              <w:spacing w:line="360" w:lineRule="auto"/>
              <w:rPr>
                <w:rFonts w:ascii="宋体" w:hAnsi="宋体" w:cs="宋体"/>
                <w:color w:val="auto"/>
                <w:kern w:val="0"/>
                <w:sz w:val="24"/>
                <w:highlight w:val="none"/>
              </w:rPr>
            </w:pPr>
          </w:p>
        </w:tc>
        <w:tc>
          <w:tcPr>
            <w:tcW w:w="7796" w:type="dxa"/>
            <w:tcBorders>
              <w:tl2br w:val="nil"/>
              <w:tr2bl w:val="nil"/>
            </w:tcBorders>
          </w:tcPr>
          <w:p w14:paraId="511AB49F">
            <w:pPr>
              <w:adjustRightInd w:val="0"/>
              <w:snapToGrid w:val="0"/>
              <w:spacing w:line="360" w:lineRule="auto"/>
              <w:rPr>
                <w:rFonts w:ascii="宋体" w:hAnsi="宋体" w:cs="宋体"/>
                <w:color w:val="auto"/>
                <w:kern w:val="0"/>
                <w:sz w:val="24"/>
                <w:highlight w:val="none"/>
              </w:rPr>
            </w:pPr>
          </w:p>
        </w:tc>
      </w:tr>
      <w:tr w14:paraId="765A6E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3" w:type="dxa"/>
            <w:tcBorders>
              <w:tl2br w:val="nil"/>
              <w:tr2bl w:val="nil"/>
            </w:tcBorders>
          </w:tcPr>
          <w:p w14:paraId="724FD6DA">
            <w:pPr>
              <w:adjustRightInd w:val="0"/>
              <w:snapToGrid w:val="0"/>
              <w:spacing w:line="360" w:lineRule="auto"/>
              <w:rPr>
                <w:rFonts w:ascii="宋体" w:hAnsi="宋体" w:cs="宋体"/>
                <w:color w:val="auto"/>
                <w:kern w:val="0"/>
                <w:sz w:val="24"/>
                <w:highlight w:val="none"/>
              </w:rPr>
            </w:pPr>
          </w:p>
        </w:tc>
        <w:tc>
          <w:tcPr>
            <w:tcW w:w="7796" w:type="dxa"/>
            <w:tcBorders>
              <w:tl2br w:val="nil"/>
              <w:tr2bl w:val="nil"/>
            </w:tcBorders>
          </w:tcPr>
          <w:p w14:paraId="029F72F5">
            <w:pPr>
              <w:adjustRightInd w:val="0"/>
              <w:snapToGrid w:val="0"/>
              <w:spacing w:line="360" w:lineRule="auto"/>
              <w:rPr>
                <w:rFonts w:ascii="宋体" w:hAnsi="宋体" w:cs="宋体"/>
                <w:color w:val="auto"/>
                <w:kern w:val="0"/>
                <w:sz w:val="24"/>
                <w:highlight w:val="none"/>
              </w:rPr>
            </w:pPr>
          </w:p>
        </w:tc>
      </w:tr>
      <w:tr w14:paraId="6E88C4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3" w:type="dxa"/>
            <w:tcBorders>
              <w:tl2br w:val="nil"/>
              <w:tr2bl w:val="nil"/>
            </w:tcBorders>
          </w:tcPr>
          <w:p w14:paraId="41A99C94">
            <w:pPr>
              <w:adjustRightInd w:val="0"/>
              <w:snapToGrid w:val="0"/>
              <w:spacing w:line="360" w:lineRule="auto"/>
              <w:rPr>
                <w:rFonts w:ascii="宋体" w:hAnsi="宋体" w:cs="宋体"/>
                <w:color w:val="auto"/>
                <w:kern w:val="0"/>
                <w:sz w:val="24"/>
                <w:highlight w:val="none"/>
              </w:rPr>
            </w:pPr>
          </w:p>
        </w:tc>
        <w:tc>
          <w:tcPr>
            <w:tcW w:w="7796" w:type="dxa"/>
            <w:tcBorders>
              <w:tl2br w:val="nil"/>
              <w:tr2bl w:val="nil"/>
            </w:tcBorders>
          </w:tcPr>
          <w:p w14:paraId="74A68683">
            <w:pPr>
              <w:adjustRightInd w:val="0"/>
              <w:snapToGrid w:val="0"/>
              <w:spacing w:line="360" w:lineRule="auto"/>
              <w:rPr>
                <w:rFonts w:ascii="宋体" w:hAnsi="宋体" w:cs="宋体"/>
                <w:color w:val="auto"/>
                <w:kern w:val="0"/>
                <w:sz w:val="24"/>
                <w:highlight w:val="none"/>
              </w:rPr>
            </w:pPr>
          </w:p>
        </w:tc>
      </w:tr>
    </w:tbl>
    <w:p w14:paraId="3B6FA2F8">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5750820C">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42D54B2">
      <w:pPr>
        <w:rPr>
          <w:rFonts w:ascii="宋体" w:hAnsi="宋体" w:cs="宋体"/>
          <w:b/>
          <w:color w:val="auto"/>
          <w:sz w:val="32"/>
          <w:szCs w:val="32"/>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highlight w:val="none"/>
        </w:rPr>
        <w:br w:type="page"/>
      </w:r>
    </w:p>
    <w:p w14:paraId="61216840">
      <w:pPr>
        <w:pStyle w:val="26"/>
        <w:adjustRightInd w:val="0"/>
        <w:snapToGrid w:val="0"/>
        <w:spacing w:line="360" w:lineRule="auto"/>
        <w:jc w:val="center"/>
        <w:outlineLvl w:val="0"/>
        <w:rPr>
          <w:rFonts w:hAnsi="宋体" w:cs="宋体"/>
          <w:b/>
          <w:color w:val="auto"/>
          <w:sz w:val="28"/>
          <w:szCs w:val="28"/>
          <w:highlight w:val="none"/>
        </w:rPr>
      </w:pPr>
      <w:bookmarkStart w:id="51" w:name="_Toc8231"/>
      <w:r>
        <w:rPr>
          <w:rFonts w:hint="eastAsia" w:hAnsi="宋体" w:cs="宋体"/>
          <w:b/>
          <w:color w:val="auto"/>
          <w:sz w:val="32"/>
          <w:szCs w:val="32"/>
          <w:highlight w:val="none"/>
        </w:rPr>
        <w:t>第四章 评标方法及标准</w:t>
      </w:r>
      <w:bookmarkEnd w:id="51"/>
    </w:p>
    <w:p w14:paraId="0EEA95AF">
      <w:pPr>
        <w:pStyle w:val="5"/>
        <w:adjustRightInd w:val="0"/>
        <w:snapToGrid w:val="0"/>
        <w:jc w:val="center"/>
        <w:rPr>
          <w:rFonts w:ascii="宋体" w:hAnsi="宋体" w:cs="宋体"/>
          <w:color w:val="auto"/>
          <w:sz w:val="28"/>
          <w:szCs w:val="28"/>
          <w:highlight w:val="none"/>
        </w:rPr>
      </w:pPr>
      <w:bookmarkStart w:id="52" w:name="_Toc18984"/>
      <w:r>
        <w:rPr>
          <w:rFonts w:hint="eastAsia" w:ascii="宋体" w:hAnsi="宋体" w:cs="宋体"/>
          <w:color w:val="auto"/>
          <w:sz w:val="28"/>
          <w:szCs w:val="28"/>
          <w:highlight w:val="none"/>
        </w:rPr>
        <w:t>第一节 评标方法及标准前附表</w:t>
      </w:r>
      <w:bookmarkEnd w:id="52"/>
    </w:p>
    <w:p w14:paraId="3E2749FC">
      <w:pPr>
        <w:adjustRightInd w:val="0"/>
        <w:snapToGrid w:val="0"/>
        <w:spacing w:line="360" w:lineRule="auto"/>
        <w:rPr>
          <w:rFonts w:ascii="宋体" w:hAnsi="宋体" w:cs="宋体"/>
          <w:bCs/>
          <w:iCs/>
          <w:color w:val="auto"/>
          <w:szCs w:val="21"/>
          <w:highlight w:val="none"/>
        </w:rPr>
      </w:pPr>
      <w:r>
        <w:rPr>
          <w:rFonts w:hint="eastAsia" w:ascii="宋体" w:hAnsi="宋体" w:cs="宋体"/>
          <w:bCs/>
          <w:iCs/>
          <w:color w:val="auto"/>
          <w:szCs w:val="21"/>
          <w:highlight w:val="none"/>
        </w:rPr>
        <w:t>本项目启用的条款在“编列内容规定”栏内以“■”标注。</w:t>
      </w:r>
    </w:p>
    <w:tbl>
      <w:tblPr>
        <w:tblStyle w:val="45"/>
        <w:tblpPr w:leftFromText="180" w:rightFromText="180" w:vertAnchor="text" w:horzAnchor="page" w:tblpX="1560" w:tblpY="407"/>
        <w:tblOverlap w:val="never"/>
        <w:tblW w:w="89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920"/>
        <w:gridCol w:w="5911"/>
      </w:tblGrid>
      <w:tr w14:paraId="74043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5" w:type="dxa"/>
            <w:tcBorders>
              <w:tl2br w:val="nil"/>
              <w:tr2bl w:val="nil"/>
            </w:tcBorders>
          </w:tcPr>
          <w:p w14:paraId="60F036AF">
            <w:pPr>
              <w:adjustRightInd w:val="0"/>
              <w:snapToGrid w:val="0"/>
              <w:spacing w:beforeLines="50" w:line="360" w:lineRule="auto"/>
              <w:jc w:val="center"/>
              <w:rPr>
                <w:rFonts w:ascii="宋体" w:hAnsi="宋体" w:cs="宋体"/>
                <w:b/>
                <w:color w:val="auto"/>
                <w:highlight w:val="none"/>
              </w:rPr>
            </w:pPr>
            <w:r>
              <w:rPr>
                <w:rFonts w:hint="eastAsia" w:ascii="宋体" w:hAnsi="宋体" w:cs="宋体"/>
                <w:b/>
                <w:color w:val="auto"/>
                <w:highlight w:val="none"/>
              </w:rPr>
              <w:t>条款号</w:t>
            </w:r>
          </w:p>
        </w:tc>
        <w:tc>
          <w:tcPr>
            <w:tcW w:w="1920" w:type="dxa"/>
            <w:tcBorders>
              <w:tl2br w:val="nil"/>
              <w:tr2bl w:val="nil"/>
            </w:tcBorders>
          </w:tcPr>
          <w:p w14:paraId="45B602AF">
            <w:pPr>
              <w:adjustRightInd w:val="0"/>
              <w:snapToGrid w:val="0"/>
              <w:spacing w:beforeLines="50" w:line="360" w:lineRule="auto"/>
              <w:jc w:val="center"/>
              <w:rPr>
                <w:rFonts w:ascii="宋体" w:hAnsi="宋体" w:cs="宋体"/>
                <w:b/>
                <w:color w:val="auto"/>
                <w:highlight w:val="none"/>
              </w:rPr>
            </w:pPr>
            <w:r>
              <w:rPr>
                <w:rFonts w:hint="eastAsia" w:ascii="宋体" w:hAnsi="宋体" w:cs="宋体"/>
                <w:b/>
                <w:color w:val="auto"/>
                <w:highlight w:val="none"/>
              </w:rPr>
              <w:t>条款名称</w:t>
            </w:r>
          </w:p>
        </w:tc>
        <w:tc>
          <w:tcPr>
            <w:tcW w:w="5911" w:type="dxa"/>
            <w:tcBorders>
              <w:tl2br w:val="nil"/>
              <w:tr2bl w:val="nil"/>
            </w:tcBorders>
          </w:tcPr>
          <w:p w14:paraId="6DBE1BE9">
            <w:pPr>
              <w:adjustRightInd w:val="0"/>
              <w:snapToGrid w:val="0"/>
              <w:spacing w:beforeLines="50" w:line="360" w:lineRule="auto"/>
              <w:jc w:val="center"/>
              <w:rPr>
                <w:rFonts w:ascii="宋体" w:hAnsi="宋体" w:cs="宋体"/>
                <w:b/>
                <w:color w:val="auto"/>
                <w:highlight w:val="none"/>
              </w:rPr>
            </w:pPr>
            <w:r>
              <w:rPr>
                <w:rFonts w:hint="eastAsia" w:ascii="宋体" w:hAnsi="宋体" w:cs="宋体"/>
                <w:b/>
                <w:color w:val="auto"/>
                <w:highlight w:val="none"/>
              </w:rPr>
              <w:t>编列内容规定</w:t>
            </w:r>
          </w:p>
        </w:tc>
      </w:tr>
      <w:tr w14:paraId="7D9F02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45" w:type="dxa"/>
            <w:tcBorders>
              <w:tl2br w:val="nil"/>
              <w:tr2bl w:val="nil"/>
            </w:tcBorders>
            <w:vAlign w:val="center"/>
          </w:tcPr>
          <w:p w14:paraId="1A0D026C">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第1.3</w:t>
            </w:r>
            <w:r>
              <w:rPr>
                <w:rFonts w:hint="eastAsia" w:ascii="宋体" w:hAnsi="宋体" w:cs="宋体"/>
                <w:color w:val="auto"/>
                <w:kern w:val="0"/>
                <w:szCs w:val="21"/>
                <w:highlight w:val="none"/>
                <w:lang w:val="zh-CN"/>
              </w:rPr>
              <w:t>款</w:t>
            </w:r>
          </w:p>
        </w:tc>
        <w:tc>
          <w:tcPr>
            <w:tcW w:w="1920" w:type="dxa"/>
            <w:tcBorders>
              <w:tl2br w:val="nil"/>
              <w:tr2bl w:val="nil"/>
            </w:tcBorders>
            <w:vAlign w:val="center"/>
          </w:tcPr>
          <w:p w14:paraId="6D902AA5">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评标方法</w:t>
            </w:r>
          </w:p>
        </w:tc>
        <w:tc>
          <w:tcPr>
            <w:tcW w:w="5911" w:type="dxa"/>
            <w:tcBorders>
              <w:tl2br w:val="nil"/>
              <w:tr2bl w:val="nil"/>
            </w:tcBorders>
            <w:vAlign w:val="center"/>
          </w:tcPr>
          <w:p w14:paraId="6AD569E7">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综合评分法</w:t>
            </w:r>
          </w:p>
        </w:tc>
      </w:tr>
      <w:tr w14:paraId="791DF9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5" w:type="dxa"/>
            <w:tcBorders>
              <w:tl2br w:val="nil"/>
              <w:tr2bl w:val="nil"/>
            </w:tcBorders>
            <w:vAlign w:val="center"/>
          </w:tcPr>
          <w:p w14:paraId="66AD445E">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第3.4</w:t>
            </w:r>
            <w:r>
              <w:rPr>
                <w:rFonts w:hint="eastAsia" w:ascii="宋体" w:hAnsi="宋体" w:cs="宋体"/>
                <w:color w:val="auto"/>
                <w:kern w:val="0"/>
                <w:szCs w:val="21"/>
                <w:highlight w:val="none"/>
                <w:lang w:val="zh-CN"/>
              </w:rPr>
              <w:t>款</w:t>
            </w:r>
          </w:p>
        </w:tc>
        <w:tc>
          <w:tcPr>
            <w:tcW w:w="1920" w:type="dxa"/>
            <w:tcBorders>
              <w:tl2br w:val="nil"/>
              <w:tr2bl w:val="nil"/>
            </w:tcBorders>
            <w:vAlign w:val="center"/>
          </w:tcPr>
          <w:p w14:paraId="7EF87074">
            <w:pPr>
              <w:adjustRightInd w:val="0"/>
              <w:snapToGrid w:val="0"/>
              <w:spacing w:beforeLines="50" w:line="360" w:lineRule="auto"/>
              <w:jc w:val="center"/>
              <w:rPr>
                <w:rFonts w:ascii="宋体" w:hAnsi="宋体" w:cs="宋体"/>
                <w:bCs/>
                <w:color w:val="auto"/>
                <w:szCs w:val="21"/>
                <w:highlight w:val="none"/>
              </w:rPr>
            </w:pPr>
            <w:r>
              <w:rPr>
                <w:rFonts w:hint="eastAsia" w:ascii="宋体" w:hAnsi="宋体" w:cs="宋体"/>
                <w:bCs/>
                <w:color w:val="auto"/>
                <w:szCs w:val="21"/>
                <w:highlight w:val="none"/>
              </w:rPr>
              <w:t>非单一产品采购项目的核心产品</w:t>
            </w:r>
          </w:p>
        </w:tc>
        <w:tc>
          <w:tcPr>
            <w:tcW w:w="5911" w:type="dxa"/>
            <w:tcBorders>
              <w:tl2br w:val="nil"/>
              <w:tr2bl w:val="nil"/>
            </w:tcBorders>
            <w:vAlign w:val="center"/>
          </w:tcPr>
          <w:p w14:paraId="49A42344">
            <w:pPr>
              <w:adjustRightInd w:val="0"/>
              <w:snapToGrid w:val="0"/>
              <w:spacing w:beforeLines="50" w:line="360" w:lineRule="auto"/>
              <w:rPr>
                <w:rFonts w:ascii="宋体" w:hAnsi="宋体" w:cs="宋体"/>
                <w:color w:val="auto"/>
                <w:szCs w:val="21"/>
                <w:highlight w:val="none"/>
              </w:rPr>
            </w:pPr>
            <w:r>
              <w:rPr>
                <w:rFonts w:hint="eastAsia" w:ascii="宋体" w:hAnsi="宋体" w:cs="宋体"/>
                <w:b/>
                <w:bCs/>
                <w:color w:val="auto"/>
                <w:szCs w:val="21"/>
                <w:highlight w:val="none"/>
              </w:rPr>
              <w:t>本项目确定的核心产品为：</w:t>
            </w:r>
            <w:r>
              <w:rPr>
                <w:rFonts w:hint="eastAsia" w:ascii="宋体" w:hAnsi="宋体" w:cs="宋体"/>
                <w:b/>
                <w:bCs/>
                <w:color w:val="auto"/>
                <w:szCs w:val="21"/>
                <w:highlight w:val="none"/>
                <w:u w:val="single"/>
              </w:rPr>
              <w:t xml:space="preserve">  /   </w:t>
            </w:r>
            <w:r>
              <w:rPr>
                <w:rFonts w:hint="eastAsia" w:ascii="宋体" w:hAnsi="宋体" w:cs="宋体"/>
                <w:b/>
                <w:bCs/>
                <w:color w:val="auto"/>
                <w:szCs w:val="21"/>
                <w:highlight w:val="none"/>
              </w:rPr>
              <w:t>。</w:t>
            </w:r>
          </w:p>
        </w:tc>
      </w:tr>
      <w:tr w14:paraId="6B9E6A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5" w:type="dxa"/>
            <w:tcBorders>
              <w:tl2br w:val="nil"/>
              <w:tr2bl w:val="nil"/>
            </w:tcBorders>
            <w:vAlign w:val="center"/>
          </w:tcPr>
          <w:p w14:paraId="11C2DE34">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第4.2</w:t>
            </w:r>
            <w:r>
              <w:rPr>
                <w:rFonts w:hint="eastAsia" w:ascii="宋体" w:hAnsi="宋体" w:cs="宋体"/>
                <w:color w:val="auto"/>
                <w:kern w:val="0"/>
                <w:szCs w:val="21"/>
                <w:highlight w:val="none"/>
                <w:lang w:val="zh-CN"/>
              </w:rPr>
              <w:t>款</w:t>
            </w:r>
          </w:p>
        </w:tc>
        <w:tc>
          <w:tcPr>
            <w:tcW w:w="1920" w:type="dxa"/>
            <w:tcBorders>
              <w:tl2br w:val="nil"/>
              <w:tr2bl w:val="nil"/>
            </w:tcBorders>
            <w:vAlign w:val="center"/>
          </w:tcPr>
          <w:p w14:paraId="5AF67786">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投标文件报价出现前后不一致的修正</w:t>
            </w:r>
          </w:p>
        </w:tc>
        <w:tc>
          <w:tcPr>
            <w:tcW w:w="5911" w:type="dxa"/>
            <w:tcBorders>
              <w:tl2br w:val="nil"/>
              <w:tr2bl w:val="nil"/>
            </w:tcBorders>
            <w:vAlign w:val="center"/>
          </w:tcPr>
          <w:p w14:paraId="4CC79D63">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按本章第二节第 4.2 款规定修正。</w:t>
            </w:r>
          </w:p>
        </w:tc>
      </w:tr>
      <w:tr w14:paraId="178295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145" w:type="dxa"/>
            <w:tcBorders>
              <w:tl2br w:val="nil"/>
              <w:tr2bl w:val="nil"/>
            </w:tcBorders>
            <w:vAlign w:val="center"/>
          </w:tcPr>
          <w:p w14:paraId="2DD3BF0D">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第5.2（1）</w:t>
            </w:r>
            <w:r>
              <w:rPr>
                <w:rFonts w:hint="eastAsia" w:ascii="宋体" w:hAnsi="宋体" w:cs="宋体"/>
                <w:color w:val="auto"/>
                <w:kern w:val="0"/>
                <w:szCs w:val="21"/>
                <w:highlight w:val="none"/>
                <w:lang w:val="zh-CN"/>
              </w:rPr>
              <w:t>项</w:t>
            </w:r>
          </w:p>
        </w:tc>
        <w:tc>
          <w:tcPr>
            <w:tcW w:w="1920" w:type="dxa"/>
            <w:tcBorders>
              <w:tl2br w:val="nil"/>
              <w:tr2bl w:val="nil"/>
            </w:tcBorders>
            <w:vAlign w:val="center"/>
          </w:tcPr>
          <w:p w14:paraId="1A3BA8BB">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相同品牌产品投标报价相同的</w:t>
            </w:r>
          </w:p>
        </w:tc>
        <w:tc>
          <w:tcPr>
            <w:tcW w:w="5911" w:type="dxa"/>
            <w:tcBorders>
              <w:tl2br w:val="nil"/>
              <w:tr2bl w:val="nil"/>
            </w:tcBorders>
            <w:vAlign w:val="center"/>
          </w:tcPr>
          <w:p w14:paraId="176842C8">
            <w:pPr>
              <w:pStyle w:val="123"/>
              <w:spacing w:line="360" w:lineRule="auto"/>
              <w:jc w:val="center"/>
              <w:rPr>
                <w:color w:val="auto"/>
                <w:szCs w:val="21"/>
                <w:highlight w:val="none"/>
                <w:lang w:val="en-US"/>
              </w:rPr>
            </w:pPr>
            <w:r>
              <w:rPr>
                <w:rFonts w:hint="eastAsia"/>
                <w:color w:val="auto"/>
                <w:szCs w:val="21"/>
                <w:highlight w:val="none"/>
                <w:lang w:val="en-US"/>
              </w:rPr>
              <w:t>/</w:t>
            </w:r>
          </w:p>
        </w:tc>
      </w:tr>
      <w:tr w14:paraId="33067D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145" w:type="dxa"/>
            <w:tcBorders>
              <w:tl2br w:val="nil"/>
              <w:tr2bl w:val="nil"/>
            </w:tcBorders>
            <w:vAlign w:val="center"/>
          </w:tcPr>
          <w:p w14:paraId="56597AE1">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第5.2（2）</w:t>
            </w:r>
            <w:r>
              <w:rPr>
                <w:rFonts w:hint="eastAsia" w:ascii="宋体" w:hAnsi="宋体" w:cs="宋体"/>
                <w:color w:val="auto"/>
                <w:kern w:val="0"/>
                <w:szCs w:val="21"/>
                <w:highlight w:val="none"/>
                <w:lang w:val="zh-CN"/>
              </w:rPr>
              <w:t>项</w:t>
            </w:r>
          </w:p>
        </w:tc>
        <w:tc>
          <w:tcPr>
            <w:tcW w:w="1920" w:type="dxa"/>
            <w:tcBorders>
              <w:tl2br w:val="nil"/>
              <w:tr2bl w:val="nil"/>
            </w:tcBorders>
            <w:vAlign w:val="center"/>
          </w:tcPr>
          <w:p w14:paraId="3483BC29">
            <w:pPr>
              <w:adjustRightInd w:val="0"/>
              <w:snapToGrid w:val="0"/>
              <w:spacing w:beforeLines="50" w:line="360" w:lineRule="auto"/>
              <w:jc w:val="center"/>
              <w:rPr>
                <w:rFonts w:ascii="宋体" w:hAnsi="宋体" w:cs="宋体"/>
                <w:bCs/>
                <w:color w:val="auto"/>
                <w:szCs w:val="21"/>
                <w:highlight w:val="none"/>
              </w:rPr>
            </w:pPr>
            <w:r>
              <w:rPr>
                <w:rFonts w:hint="eastAsia" w:ascii="宋体" w:hAnsi="宋体" w:cs="宋体"/>
                <w:bCs/>
                <w:color w:val="auto"/>
                <w:szCs w:val="21"/>
                <w:highlight w:val="none"/>
              </w:rPr>
              <w:t>相同品牌产品评审得分相同的规定</w:t>
            </w:r>
          </w:p>
        </w:tc>
        <w:tc>
          <w:tcPr>
            <w:tcW w:w="5911" w:type="dxa"/>
            <w:tcBorders>
              <w:tl2br w:val="nil"/>
              <w:tr2bl w:val="nil"/>
            </w:tcBorders>
            <w:vAlign w:val="center"/>
          </w:tcPr>
          <w:p w14:paraId="53FECB7A">
            <w:pPr>
              <w:pStyle w:val="123"/>
              <w:spacing w:before="78" w:line="360" w:lineRule="auto"/>
              <w:ind w:right="87"/>
              <w:rPr>
                <w:color w:val="auto"/>
                <w:szCs w:val="21"/>
                <w:highlight w:val="none"/>
              </w:rPr>
            </w:pPr>
            <w:r>
              <w:rPr>
                <w:rFonts w:hint="eastAsia"/>
                <w:color w:val="auto"/>
                <w:szCs w:val="21"/>
                <w:highlight w:val="none"/>
                <w:lang w:val="en-US" w:bidi="ar-SA"/>
              </w:rPr>
              <w:t>由业主评委直接确定，业主方未委派评委的由评标组长现场随机抽签确定（综合评分法）。</w:t>
            </w:r>
          </w:p>
        </w:tc>
      </w:tr>
      <w:tr w14:paraId="448795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1145" w:type="dxa"/>
            <w:tcBorders>
              <w:tl2br w:val="nil"/>
              <w:tr2bl w:val="nil"/>
            </w:tcBorders>
            <w:vAlign w:val="center"/>
          </w:tcPr>
          <w:p w14:paraId="735A5983">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eastAsia="宋体" w:cs="宋体"/>
                <w:color w:val="auto"/>
                <w:szCs w:val="21"/>
                <w:highlight w:val="none"/>
              </w:rPr>
              <w:t>第5.</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lang w:val="zh-CN"/>
              </w:rPr>
              <w:t>项</w:t>
            </w:r>
          </w:p>
        </w:tc>
        <w:tc>
          <w:tcPr>
            <w:tcW w:w="1920" w:type="dxa"/>
            <w:tcBorders>
              <w:tl2br w:val="nil"/>
              <w:tr2bl w:val="nil"/>
            </w:tcBorders>
            <w:vAlign w:val="center"/>
          </w:tcPr>
          <w:p w14:paraId="3232686D">
            <w:pPr>
              <w:adjustRightInd w:val="0"/>
              <w:snapToGrid w:val="0"/>
              <w:spacing w:before="156" w:beforeLines="50" w:line="360" w:lineRule="auto"/>
              <w:jc w:val="center"/>
              <w:rPr>
                <w:rFonts w:ascii="宋体" w:hAnsi="宋体" w:cs="宋体"/>
                <w:bCs/>
                <w:color w:val="auto"/>
                <w:szCs w:val="21"/>
                <w:highlight w:val="none"/>
              </w:rPr>
            </w:pPr>
            <w:r>
              <w:rPr>
                <w:rFonts w:hint="eastAsia" w:ascii="宋体" w:hAnsi="宋体" w:eastAsia="宋体" w:cs="宋体"/>
                <w:color w:val="auto"/>
                <w:szCs w:val="21"/>
                <w:highlight w:val="none"/>
              </w:rPr>
              <w:t>价格评审优惠</w:t>
            </w:r>
          </w:p>
        </w:tc>
        <w:tc>
          <w:tcPr>
            <w:tcW w:w="5911" w:type="dxa"/>
            <w:tcBorders>
              <w:tl2br w:val="nil"/>
              <w:tr2bl w:val="nil"/>
            </w:tcBorders>
            <w:vAlign w:val="center"/>
          </w:tcPr>
          <w:p w14:paraId="53A941DB">
            <w:pPr>
              <w:pStyle w:val="143"/>
              <w:widowControl w:val="0"/>
              <w:adjustRightInd w:val="0"/>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①对于经主管预算单位统筹后未预留份额专门面向中小企业采购的采购项目，以及预留份额项目中的非预留部分采购包，采购人、采购代理机构应当</w:t>
            </w:r>
            <w:r>
              <w:rPr>
                <w:rFonts w:hint="eastAsia" w:ascii="宋体" w:hAnsi="宋体" w:eastAsia="宋体" w:cs="宋体"/>
                <w:color w:val="auto"/>
                <w:sz w:val="21"/>
                <w:szCs w:val="21"/>
                <w:highlight w:val="none"/>
                <w:lang w:val="en-US" w:eastAsia="zh-CN"/>
              </w:rPr>
              <w:t>对</w:t>
            </w:r>
            <w:r>
              <w:rPr>
                <w:rFonts w:hint="eastAsia" w:ascii="宋体" w:hAnsi="宋体" w:eastAsia="宋体" w:cs="宋体"/>
                <w:color w:val="auto"/>
                <w:sz w:val="21"/>
                <w:szCs w:val="21"/>
                <w:highlight w:val="none"/>
              </w:rPr>
              <w:t>符合《政府采购促进中小企业发展管理办法》</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财库[2020]46号文</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湖南省财政厅关于政府采购促进中小企业发展有关措施的通知</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湘财购[2022]17号文</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color w:val="auto"/>
                <w:sz w:val="21"/>
                <w:szCs w:val="21"/>
                <w:highlight w:val="none"/>
              </w:rPr>
              <w:t>规定的小微企业报价给予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%（工程项目</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%）的扣除，用扣除后的价格参加评审。具体扣除比例</w:t>
            </w:r>
            <w:r>
              <w:rPr>
                <w:rFonts w:hint="eastAsia" w:ascii="宋体" w:hAnsi="宋体" w:eastAsia="宋体" w:cs="宋体"/>
                <w:color w:val="auto"/>
                <w:sz w:val="21"/>
                <w:szCs w:val="21"/>
                <w:highlight w:val="none"/>
                <w:lang w:val="en-US" w:eastAsia="zh-CN"/>
              </w:rPr>
              <w:t>如下</w:t>
            </w:r>
            <w:r>
              <w:rPr>
                <w:rFonts w:hint="eastAsia" w:ascii="宋体" w:hAnsi="宋体" w:eastAsia="宋体" w:cs="宋体"/>
                <w:color w:val="auto"/>
                <w:sz w:val="21"/>
                <w:szCs w:val="21"/>
                <w:highlight w:val="none"/>
              </w:rPr>
              <w:t>：</w:t>
            </w:r>
          </w:p>
          <w:p w14:paraId="2F121F81">
            <w:pPr>
              <w:pStyle w:val="143"/>
              <w:widowControl w:val="0"/>
              <w:adjustRightInd w:val="0"/>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货物采购：货物由</w:t>
            </w:r>
            <w:r>
              <w:rPr>
                <w:rFonts w:hint="eastAsia" w:ascii="宋体" w:hAnsi="宋体" w:eastAsia="宋体" w:cs="宋体"/>
                <w:color w:val="auto"/>
                <w:sz w:val="21"/>
                <w:szCs w:val="21"/>
                <w:highlight w:val="none"/>
                <w:lang w:val="en-US" w:eastAsia="zh-CN"/>
              </w:rPr>
              <w:t>中小</w:t>
            </w:r>
            <w:r>
              <w:rPr>
                <w:rFonts w:hint="eastAsia" w:ascii="宋体" w:hAnsi="宋体" w:eastAsia="宋体" w:cs="宋体"/>
                <w:color w:val="auto"/>
                <w:sz w:val="21"/>
                <w:szCs w:val="21"/>
                <w:highlight w:val="none"/>
              </w:rPr>
              <w:t>企业制造，即货物由</w:t>
            </w:r>
            <w:r>
              <w:rPr>
                <w:rFonts w:hint="eastAsia" w:ascii="宋体" w:hAnsi="宋体" w:eastAsia="宋体" w:cs="宋体"/>
                <w:color w:val="auto"/>
                <w:sz w:val="21"/>
                <w:szCs w:val="21"/>
                <w:highlight w:val="none"/>
                <w:lang w:val="en-US" w:eastAsia="zh-CN"/>
              </w:rPr>
              <w:t>中小</w:t>
            </w:r>
            <w:r>
              <w:rPr>
                <w:rFonts w:hint="eastAsia" w:ascii="宋体" w:hAnsi="宋体" w:eastAsia="宋体" w:cs="宋体"/>
                <w:color w:val="auto"/>
                <w:sz w:val="21"/>
                <w:szCs w:val="21"/>
                <w:highlight w:val="none"/>
              </w:rPr>
              <w:t>企业生产且使用该</w:t>
            </w:r>
            <w:r>
              <w:rPr>
                <w:rFonts w:hint="eastAsia" w:ascii="宋体" w:hAnsi="宋体" w:eastAsia="宋体" w:cs="宋体"/>
                <w:color w:val="auto"/>
                <w:sz w:val="21"/>
                <w:szCs w:val="21"/>
                <w:highlight w:val="none"/>
                <w:lang w:val="en-US" w:eastAsia="zh-CN"/>
              </w:rPr>
              <w:t>中小</w:t>
            </w:r>
            <w:r>
              <w:rPr>
                <w:rFonts w:hint="eastAsia" w:ascii="宋体" w:hAnsi="宋体" w:eastAsia="宋体" w:cs="宋体"/>
                <w:color w:val="auto"/>
                <w:sz w:val="21"/>
                <w:szCs w:val="21"/>
                <w:highlight w:val="none"/>
              </w:rPr>
              <w:t>企业商号或者注册商标。</w:t>
            </w:r>
            <w:r>
              <w:rPr>
                <w:rFonts w:hint="eastAsia" w:ascii="宋体" w:hAnsi="宋体" w:eastAsia="宋体" w:cs="宋体"/>
                <w:b/>
                <w:bCs/>
                <w:color w:val="auto"/>
                <w:sz w:val="21"/>
                <w:szCs w:val="21"/>
                <w:highlight w:val="none"/>
              </w:rPr>
              <w:t>本项目给予小微企业</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rPr>
              <w:t>%的扣除。</w:t>
            </w:r>
          </w:p>
          <w:p w14:paraId="09B4F5C8">
            <w:pPr>
              <w:pStyle w:val="143"/>
              <w:widowControl w:val="0"/>
              <w:adjustRightInd w:val="0"/>
              <w:spacing w:before="0"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□工程采购：工程由</w:t>
            </w:r>
            <w:r>
              <w:rPr>
                <w:rFonts w:hint="eastAsia" w:ascii="宋体" w:hAnsi="宋体" w:eastAsia="宋体" w:cs="宋体"/>
                <w:color w:val="auto"/>
                <w:sz w:val="21"/>
                <w:szCs w:val="21"/>
                <w:highlight w:val="none"/>
                <w:lang w:val="en-US" w:eastAsia="zh-CN"/>
              </w:rPr>
              <w:t>中小</w:t>
            </w:r>
            <w:r>
              <w:rPr>
                <w:rFonts w:hint="eastAsia" w:ascii="宋体" w:hAnsi="宋体" w:eastAsia="宋体" w:cs="宋体"/>
                <w:color w:val="auto"/>
                <w:sz w:val="21"/>
                <w:szCs w:val="21"/>
                <w:highlight w:val="none"/>
              </w:rPr>
              <w:t>企业承建，即工程施工单位为</w:t>
            </w:r>
            <w:r>
              <w:rPr>
                <w:rFonts w:hint="eastAsia" w:ascii="宋体" w:hAnsi="宋体" w:eastAsia="宋体" w:cs="宋体"/>
                <w:color w:val="auto"/>
                <w:sz w:val="21"/>
                <w:szCs w:val="21"/>
                <w:highlight w:val="none"/>
                <w:lang w:val="en-US" w:eastAsia="zh-CN"/>
              </w:rPr>
              <w:t>中小</w:t>
            </w:r>
            <w:r>
              <w:rPr>
                <w:rFonts w:hint="eastAsia" w:ascii="宋体" w:hAnsi="宋体" w:eastAsia="宋体" w:cs="宋体"/>
                <w:color w:val="auto"/>
                <w:sz w:val="21"/>
                <w:szCs w:val="21"/>
                <w:highlight w:val="none"/>
              </w:rPr>
              <w:t>企业。本项目给予小微企业</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的扣除。</w:t>
            </w:r>
          </w:p>
          <w:p w14:paraId="15110050">
            <w:pPr>
              <w:pStyle w:val="143"/>
              <w:widowControl w:val="0"/>
              <w:adjustRightInd w:val="0"/>
              <w:spacing w:before="0" w:after="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i w:val="0"/>
                <w:iCs/>
                <w:color w:val="auto"/>
                <w:sz w:val="21"/>
                <w:szCs w:val="21"/>
                <w:highlight w:val="none"/>
              </w:rPr>
              <w:t>■</w:t>
            </w:r>
            <w:r>
              <w:rPr>
                <w:rFonts w:hint="eastAsia" w:ascii="宋体" w:hAnsi="宋体" w:eastAsia="宋体" w:cs="宋体"/>
                <w:b w:val="0"/>
                <w:bCs w:val="0"/>
                <w:snapToGrid w:val="0"/>
                <w:color w:val="auto"/>
                <w:sz w:val="21"/>
                <w:szCs w:val="21"/>
                <w:highlight w:val="none"/>
                <w:lang w:val="en-US" w:eastAsia="zh-CN"/>
              </w:rPr>
              <w:t xml:space="preserve"> </w:t>
            </w:r>
            <w:r>
              <w:rPr>
                <w:rFonts w:hint="eastAsia" w:ascii="宋体" w:hAnsi="宋体" w:eastAsia="宋体" w:cs="宋体"/>
                <w:color w:val="auto"/>
                <w:sz w:val="21"/>
                <w:szCs w:val="21"/>
                <w:highlight w:val="none"/>
              </w:rPr>
              <w:t>服务采购：服务由</w:t>
            </w:r>
            <w:r>
              <w:rPr>
                <w:rFonts w:hint="eastAsia" w:ascii="宋体" w:hAnsi="宋体" w:eastAsia="宋体" w:cs="宋体"/>
                <w:color w:val="auto"/>
                <w:sz w:val="21"/>
                <w:szCs w:val="21"/>
                <w:highlight w:val="none"/>
                <w:lang w:val="en-US" w:eastAsia="zh-CN"/>
              </w:rPr>
              <w:t>中小</w:t>
            </w:r>
            <w:r>
              <w:rPr>
                <w:rFonts w:hint="eastAsia" w:ascii="宋体" w:hAnsi="宋体" w:eastAsia="宋体" w:cs="宋体"/>
                <w:color w:val="auto"/>
                <w:sz w:val="21"/>
                <w:szCs w:val="21"/>
                <w:highlight w:val="none"/>
              </w:rPr>
              <w:t>企业承接，即提供服务的人员为</w:t>
            </w:r>
            <w:r>
              <w:rPr>
                <w:rFonts w:hint="eastAsia" w:ascii="宋体" w:hAnsi="宋体" w:eastAsia="宋体" w:cs="宋体"/>
                <w:color w:val="auto"/>
                <w:sz w:val="21"/>
                <w:szCs w:val="21"/>
                <w:highlight w:val="none"/>
                <w:lang w:val="en-US" w:eastAsia="zh-CN"/>
              </w:rPr>
              <w:t>中小</w:t>
            </w:r>
            <w:r>
              <w:rPr>
                <w:rFonts w:hint="eastAsia" w:ascii="宋体" w:hAnsi="宋体" w:eastAsia="宋体" w:cs="宋体"/>
                <w:color w:val="auto"/>
                <w:sz w:val="21"/>
                <w:szCs w:val="21"/>
                <w:highlight w:val="none"/>
              </w:rPr>
              <w:t>企业依照《</w:t>
            </w:r>
            <w:r>
              <w:rPr>
                <w:rFonts w:hint="eastAsia" w:ascii="宋体" w:hAnsi="宋体" w:eastAsia="宋体" w:cs="宋体"/>
                <w:color w:val="auto"/>
                <w:sz w:val="21"/>
                <w:szCs w:val="21"/>
                <w:highlight w:val="none"/>
                <w:lang w:val="en-US" w:eastAsia="zh-CN"/>
              </w:rPr>
              <w:t>中华人民共和国劳动合同法</w:t>
            </w:r>
            <w:r>
              <w:rPr>
                <w:rFonts w:hint="eastAsia" w:ascii="宋体" w:hAnsi="宋体" w:eastAsia="宋体" w:cs="宋体"/>
                <w:color w:val="auto"/>
                <w:sz w:val="21"/>
                <w:szCs w:val="21"/>
                <w:highlight w:val="none"/>
              </w:rPr>
              <w:t>》订立劳动合同的从业人员。</w:t>
            </w:r>
            <w:r>
              <w:rPr>
                <w:rFonts w:hint="eastAsia" w:ascii="宋体" w:hAnsi="宋体" w:eastAsia="宋体" w:cs="宋体"/>
                <w:b/>
                <w:bCs/>
                <w:color w:val="auto"/>
                <w:sz w:val="21"/>
                <w:szCs w:val="21"/>
                <w:highlight w:val="none"/>
              </w:rPr>
              <w:t>本项目给予小微企业</w:t>
            </w:r>
            <w:r>
              <w:rPr>
                <w:rFonts w:hint="eastAsia" w:ascii="宋体" w:hAnsi="宋体" w:eastAsia="宋体" w:cs="宋体"/>
                <w:b/>
                <w:bCs/>
                <w:color w:val="auto"/>
                <w:sz w:val="21"/>
                <w:szCs w:val="21"/>
                <w:highlight w:val="none"/>
                <w:u w:val="single"/>
                <w:lang w:val="en-US" w:eastAsia="zh-CN"/>
              </w:rPr>
              <w:t xml:space="preserve"> / </w:t>
            </w:r>
            <w:r>
              <w:rPr>
                <w:rFonts w:hint="eastAsia" w:ascii="宋体" w:hAnsi="宋体" w:eastAsia="宋体" w:cs="宋体"/>
                <w:b/>
                <w:bCs/>
                <w:color w:val="auto"/>
                <w:sz w:val="21"/>
                <w:szCs w:val="21"/>
                <w:highlight w:val="none"/>
              </w:rPr>
              <w:t>%的扣除。</w:t>
            </w:r>
            <w:r>
              <w:rPr>
                <w:rFonts w:hint="eastAsia" w:ascii="宋体" w:hAnsi="宋体" w:eastAsia="宋体" w:cs="宋体"/>
                <w:b/>
                <w:bCs/>
                <w:color w:val="auto"/>
                <w:sz w:val="21"/>
                <w:szCs w:val="21"/>
                <w:highlight w:val="none"/>
                <w:lang w:eastAsia="zh-CN"/>
              </w:rPr>
              <w:t>（本项目专门面向中小企业采购，不再对小微企业进行价格扣除。）</w:t>
            </w:r>
          </w:p>
          <w:p w14:paraId="68947D38">
            <w:pPr>
              <w:pStyle w:val="144"/>
              <w:keepNext w:val="0"/>
              <w:keepLines w:val="0"/>
              <w:pageBreakBefore w:val="0"/>
              <w:widowControl w:val="0"/>
              <w:kinsoku/>
              <w:wordWrap w:val="0"/>
              <w:overflowPunct/>
              <w:topLinePunct/>
              <w:autoSpaceDE/>
              <w:autoSpaceDN/>
              <w:bidi w:val="0"/>
              <w:adjustRightInd w:val="0"/>
              <w:snapToGrid/>
              <w:spacing w:before="0" w:after="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投标人提供的货物既有中小企业制造货物，也有大型企业制造货物的，不享受中小企业扶持政策。根据财政部发布的《政府采购促进中小企业发展政策问答》（http://gks.mof.gov.cn/guizhangzhidu/202102/t20210220_3659586.htm）:在货物采购项目中，供应商提供的货物既有中型企业制造，也有小微企业制造的，不享受办法规定的小微企业扶持政策。）</w:t>
            </w:r>
          </w:p>
          <w:p w14:paraId="552E0956">
            <w:pPr>
              <w:pStyle w:val="144"/>
              <w:widowControl w:val="0"/>
              <w:adjustRightInd w:val="0"/>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具体扣除比例如下：</w:t>
            </w:r>
          </w:p>
          <w:p w14:paraId="7A216683">
            <w:pPr>
              <w:pStyle w:val="144"/>
              <w:widowControl w:val="0"/>
              <w:adjustRightInd w:val="0"/>
              <w:spacing w:before="0"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□货物采购：本项目扣除比例为</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w:t>
            </w:r>
          </w:p>
          <w:p w14:paraId="3DBA2D2E">
            <w:pPr>
              <w:pStyle w:val="143"/>
              <w:widowControl w:val="0"/>
              <w:adjustRightInd w:val="0"/>
              <w:spacing w:before="0"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□工程采购：本项目扣除比例为</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w:t>
            </w:r>
          </w:p>
          <w:p w14:paraId="6B3D9AA9">
            <w:pPr>
              <w:pStyle w:val="144"/>
              <w:widowControl w:val="0"/>
              <w:adjustRightInd w:val="0"/>
              <w:spacing w:before="0"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□服务采购：本项目扣除比例为</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w:t>
            </w:r>
          </w:p>
          <w:p w14:paraId="6FFB5E2B">
            <w:pPr>
              <w:pStyle w:val="144"/>
              <w:widowControl w:val="0"/>
              <w:adjustRightInd w:val="0"/>
              <w:spacing w:before="0"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（以联合体形式参加政府采购活动，联合体各方均为小微企业的，联合体视同</w:t>
            </w:r>
            <w:r>
              <w:rPr>
                <w:rFonts w:hint="eastAsia" w:ascii="宋体" w:hAnsi="宋体" w:eastAsia="宋体" w:cs="宋体"/>
                <w:color w:val="auto"/>
                <w:sz w:val="21"/>
                <w:szCs w:val="21"/>
                <w:highlight w:val="none"/>
                <w:lang w:val="en-US" w:eastAsia="zh-CN"/>
              </w:rPr>
              <w:t>为</w:t>
            </w:r>
            <w:r>
              <w:rPr>
                <w:rFonts w:hint="eastAsia" w:ascii="宋体" w:hAnsi="宋体" w:eastAsia="宋体" w:cs="宋体"/>
                <w:color w:val="auto"/>
                <w:sz w:val="21"/>
                <w:szCs w:val="21"/>
                <w:highlight w:val="none"/>
              </w:rPr>
              <w:t>小微企业。）</w:t>
            </w:r>
          </w:p>
          <w:p w14:paraId="07D09762">
            <w:pPr>
              <w:pStyle w:val="144"/>
              <w:widowControl w:val="0"/>
              <w:adjustRightInd w:val="0"/>
              <w:spacing w:before="0" w:after="0"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③监狱企业、残疾人福利性单位视同小微企业，享受评审中价格扣除等促进中小企业发展的政府采购政策。用扣除后的价格参与评审，</w:t>
            </w:r>
            <w:r>
              <w:rPr>
                <w:rFonts w:hint="eastAsia" w:ascii="宋体" w:hAnsi="宋体" w:eastAsia="宋体" w:cs="宋体"/>
                <w:b/>
                <w:bCs/>
                <w:color w:val="auto"/>
                <w:sz w:val="21"/>
                <w:szCs w:val="21"/>
                <w:highlight w:val="none"/>
              </w:rPr>
              <w:t>本项目具体扣除比例为</w:t>
            </w:r>
            <w:r>
              <w:rPr>
                <w:rFonts w:hint="eastAsia" w:ascii="宋体" w:hAnsi="宋体" w:eastAsia="宋体" w:cs="宋体"/>
                <w:b/>
                <w:bCs/>
                <w:color w:val="auto"/>
                <w:sz w:val="21"/>
                <w:szCs w:val="21"/>
                <w:highlight w:val="none"/>
                <w:u w:val="single"/>
                <w:lang w:val="en-US" w:eastAsia="zh-CN"/>
              </w:rPr>
              <w:t xml:space="preserve"> / </w:t>
            </w:r>
            <w:r>
              <w:rPr>
                <w:rFonts w:hint="eastAsia" w:ascii="宋体" w:hAnsi="宋体" w:eastAsia="宋体" w:cs="宋体"/>
                <w:b/>
                <w:bCs/>
                <w:color w:val="auto"/>
                <w:sz w:val="21"/>
                <w:szCs w:val="21"/>
                <w:highlight w:val="none"/>
              </w:rPr>
              <w:t>%。</w:t>
            </w:r>
          </w:p>
          <w:p w14:paraId="014F1247">
            <w:pPr>
              <w:spacing w:line="360" w:lineRule="auto"/>
              <w:rPr>
                <w:rFonts w:ascii="宋体" w:hAnsi="宋体" w:cs="宋体"/>
                <w:color w:val="auto"/>
                <w:szCs w:val="21"/>
                <w:highlight w:val="none"/>
              </w:rPr>
            </w:pPr>
            <w:r>
              <w:rPr>
                <w:rFonts w:hint="eastAsia" w:ascii="宋体" w:hAnsi="宋体" w:eastAsia="宋体" w:cs="宋体"/>
                <w:color w:val="auto"/>
                <w:sz w:val="21"/>
                <w:szCs w:val="21"/>
                <w:highlight w:val="none"/>
              </w:rPr>
              <w:t>（监狱企业、残疾人福利性单位同时属于小微企业的，不重复享受价格评审优惠政策）</w:t>
            </w:r>
          </w:p>
        </w:tc>
      </w:tr>
      <w:tr w14:paraId="040051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5" w:type="dxa"/>
            <w:vMerge w:val="restart"/>
            <w:tcBorders>
              <w:tl2br w:val="nil"/>
              <w:tr2bl w:val="nil"/>
            </w:tcBorders>
            <w:vAlign w:val="center"/>
          </w:tcPr>
          <w:p w14:paraId="68FC4729">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eastAsia="宋体" w:cs="宋体"/>
                <w:color w:val="auto"/>
                <w:szCs w:val="21"/>
                <w:highlight w:val="none"/>
              </w:rPr>
              <w:t>第5.</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（2）</w:t>
            </w:r>
            <w:r>
              <w:rPr>
                <w:rFonts w:hint="eastAsia" w:ascii="宋体" w:hAnsi="宋体" w:eastAsia="宋体" w:cs="宋体"/>
                <w:color w:val="auto"/>
                <w:kern w:val="0"/>
                <w:szCs w:val="21"/>
                <w:highlight w:val="none"/>
                <w:lang w:val="zh-CN"/>
              </w:rPr>
              <w:t>项</w:t>
            </w:r>
          </w:p>
        </w:tc>
        <w:tc>
          <w:tcPr>
            <w:tcW w:w="1920" w:type="dxa"/>
            <w:vMerge w:val="restart"/>
            <w:tcBorders>
              <w:tl2br w:val="nil"/>
              <w:tr2bl w:val="nil"/>
            </w:tcBorders>
            <w:vAlign w:val="center"/>
          </w:tcPr>
          <w:p w14:paraId="6F3D6F12">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eastAsia="宋体" w:cs="宋体"/>
                <w:color w:val="auto"/>
                <w:szCs w:val="21"/>
                <w:highlight w:val="none"/>
              </w:rPr>
              <w:t>优先采购</w:t>
            </w:r>
          </w:p>
        </w:tc>
        <w:tc>
          <w:tcPr>
            <w:tcW w:w="5911" w:type="dxa"/>
            <w:tcBorders>
              <w:tl2br w:val="nil"/>
              <w:tr2bl w:val="nil"/>
            </w:tcBorders>
            <w:vAlign w:val="top"/>
          </w:tcPr>
          <w:p w14:paraId="4B30D8A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最低评标价法：</w:t>
            </w:r>
          </w:p>
          <w:p w14:paraId="2F5CEF85">
            <w:pPr>
              <w:spacing w:line="360" w:lineRule="auto"/>
              <w:rPr>
                <w:rFonts w:ascii="宋体" w:hAnsi="宋体" w:cs="宋体"/>
                <w:color w:val="auto"/>
                <w:szCs w:val="21"/>
                <w:highlight w:val="none"/>
              </w:rPr>
            </w:pPr>
            <w:r>
              <w:rPr>
                <w:rFonts w:hint="eastAsia" w:ascii="宋体" w:hAnsi="宋体" w:eastAsia="宋体" w:cs="宋体"/>
                <w:color w:val="auto"/>
                <w:highlight w:val="none"/>
              </w:rPr>
              <w:t>符合节能产品、环境标志产品优先采购政策的，对于投标报价，应给予 5%-10%的价格扣除，本项目具体扣除比例为</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w:t>
            </w:r>
          </w:p>
        </w:tc>
      </w:tr>
      <w:tr w14:paraId="4CDBD7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5" w:type="dxa"/>
            <w:vMerge w:val="continue"/>
            <w:tcBorders>
              <w:tl2br w:val="nil"/>
              <w:tr2bl w:val="nil"/>
            </w:tcBorders>
            <w:vAlign w:val="center"/>
          </w:tcPr>
          <w:p w14:paraId="6CE5C9F4">
            <w:pPr>
              <w:adjustRightInd w:val="0"/>
              <w:snapToGrid w:val="0"/>
              <w:spacing w:before="156" w:beforeLines="50" w:line="360" w:lineRule="auto"/>
              <w:jc w:val="center"/>
              <w:rPr>
                <w:rFonts w:hint="eastAsia" w:ascii="宋体" w:hAnsi="宋体" w:cs="宋体"/>
                <w:color w:val="auto"/>
                <w:szCs w:val="21"/>
                <w:highlight w:val="none"/>
              </w:rPr>
            </w:pPr>
          </w:p>
        </w:tc>
        <w:tc>
          <w:tcPr>
            <w:tcW w:w="1920" w:type="dxa"/>
            <w:vMerge w:val="continue"/>
            <w:tcBorders>
              <w:tl2br w:val="nil"/>
              <w:tr2bl w:val="nil"/>
            </w:tcBorders>
            <w:vAlign w:val="center"/>
          </w:tcPr>
          <w:p w14:paraId="3D817C8B">
            <w:pPr>
              <w:adjustRightInd w:val="0"/>
              <w:snapToGrid w:val="0"/>
              <w:spacing w:before="156" w:beforeLines="50" w:line="360" w:lineRule="auto"/>
              <w:jc w:val="center"/>
              <w:rPr>
                <w:rFonts w:hint="eastAsia" w:ascii="宋体" w:hAnsi="宋体" w:cs="宋体"/>
                <w:color w:val="auto"/>
                <w:highlight w:val="none"/>
              </w:rPr>
            </w:pPr>
          </w:p>
        </w:tc>
        <w:tc>
          <w:tcPr>
            <w:tcW w:w="5911" w:type="dxa"/>
            <w:tcBorders>
              <w:tl2br w:val="nil"/>
              <w:tr2bl w:val="nil"/>
            </w:tcBorders>
            <w:vAlign w:val="top"/>
          </w:tcPr>
          <w:p w14:paraId="0BAC79E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综合评分法：</w:t>
            </w:r>
          </w:p>
          <w:p w14:paraId="65D093F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A、投标产品为《节能产品政府采购品目清单》非“</w:t>
            </w:r>
            <w:r>
              <w:rPr>
                <w:rFonts w:hint="eastAsia" w:ascii="仿宋" w:hAnsi="仿宋" w:eastAsia="仿宋" w:cs="仿宋"/>
                <w:color w:val="auto"/>
                <w:sz w:val="21"/>
                <w:szCs w:val="21"/>
                <w:highlight w:val="none"/>
                <w:lang w:val="en-US" w:eastAsia="zh-CN"/>
              </w:rPr>
              <w:sym w:font="Wingdings" w:char="00AB"/>
            </w:r>
            <w:r>
              <w:rPr>
                <w:rFonts w:hint="eastAsia" w:ascii="宋体" w:hAnsi="宋体" w:eastAsia="宋体" w:cs="宋体"/>
                <w:color w:val="auto"/>
                <w:highlight w:val="none"/>
              </w:rPr>
              <w:t>”产品、《环境标志产品政府采购品目清单》产品的，对于价格和技术分，应分别给予总分值4%-8%的加分。投标人必需提供有效的节能或环境标志产品认证证书复印件，未按以上要求提供认证证书复印件或不是有效清单内的产品，评审时不予优先采购。</w:t>
            </w:r>
          </w:p>
          <w:p w14:paraId="5B316362">
            <w:pPr>
              <w:spacing w:line="360" w:lineRule="auto"/>
              <w:rPr>
                <w:rFonts w:hint="eastAsia" w:ascii="宋体" w:hAnsi="宋体" w:cs="宋体"/>
                <w:color w:val="auto"/>
                <w:highlight w:val="none"/>
              </w:rPr>
            </w:pPr>
            <w:r>
              <w:rPr>
                <w:rFonts w:hint="eastAsia" w:ascii="宋体" w:hAnsi="宋体" w:eastAsia="宋体" w:cs="宋体"/>
                <w:b/>
                <w:bCs/>
                <w:color w:val="auto"/>
                <w:highlight w:val="none"/>
              </w:rPr>
              <w:t>本项目具体加分比例分别为：价格总分值</w:t>
            </w:r>
            <w:r>
              <w:rPr>
                <w:rFonts w:hint="eastAsia" w:ascii="宋体" w:hAnsi="宋体" w:eastAsia="宋体" w:cs="宋体"/>
                <w:b/>
                <w:bCs/>
                <w:color w:val="auto"/>
                <w:highlight w:val="none"/>
                <w:u w:val="single"/>
              </w:rPr>
              <w:t xml:space="preserve"> </w:t>
            </w:r>
            <w:r>
              <w:rPr>
                <w:rFonts w:hint="eastAsia" w:ascii="宋体" w:hAnsi="宋体" w:cs="宋体"/>
                <w:b/>
                <w:bCs/>
                <w:color w:val="auto"/>
                <w:highlight w:val="none"/>
                <w:u w:val="single"/>
                <w:lang w:val="en-US" w:eastAsia="zh-CN"/>
              </w:rPr>
              <w:t>/</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rPr>
              <w:t>%的加分、技术总分值</w:t>
            </w:r>
            <w:r>
              <w:rPr>
                <w:rFonts w:hint="eastAsia" w:ascii="宋体" w:hAnsi="宋体" w:eastAsia="宋体" w:cs="宋体"/>
                <w:b/>
                <w:bCs/>
                <w:color w:val="auto"/>
                <w:highlight w:val="none"/>
                <w:u w:val="single"/>
              </w:rPr>
              <w:t xml:space="preserve"> </w:t>
            </w:r>
            <w:r>
              <w:rPr>
                <w:rFonts w:hint="eastAsia" w:ascii="宋体" w:hAnsi="宋体" w:cs="宋体"/>
                <w:b/>
                <w:bCs/>
                <w:color w:val="auto"/>
                <w:highlight w:val="none"/>
                <w:u w:val="single"/>
                <w:lang w:val="en-US" w:eastAsia="zh-CN"/>
              </w:rPr>
              <w:t>/</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rPr>
              <w:t>%的加分。</w:t>
            </w:r>
          </w:p>
        </w:tc>
      </w:tr>
      <w:tr w14:paraId="07E31D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5" w:type="dxa"/>
            <w:vMerge w:val="continue"/>
            <w:tcBorders>
              <w:tl2br w:val="nil"/>
              <w:tr2bl w:val="nil"/>
            </w:tcBorders>
            <w:vAlign w:val="center"/>
          </w:tcPr>
          <w:p w14:paraId="427FDE07">
            <w:pPr>
              <w:adjustRightInd w:val="0"/>
              <w:snapToGrid w:val="0"/>
              <w:spacing w:before="156" w:beforeLines="50" w:line="360" w:lineRule="auto"/>
              <w:jc w:val="center"/>
              <w:rPr>
                <w:rFonts w:ascii="宋体" w:hAnsi="宋体" w:cs="宋体"/>
                <w:color w:val="auto"/>
                <w:szCs w:val="21"/>
                <w:highlight w:val="none"/>
              </w:rPr>
            </w:pPr>
          </w:p>
        </w:tc>
        <w:tc>
          <w:tcPr>
            <w:tcW w:w="1920" w:type="dxa"/>
            <w:vMerge w:val="continue"/>
            <w:tcBorders>
              <w:tl2br w:val="nil"/>
              <w:tr2bl w:val="nil"/>
            </w:tcBorders>
            <w:vAlign w:val="center"/>
          </w:tcPr>
          <w:p w14:paraId="4ECA23B9">
            <w:pPr>
              <w:adjustRightInd w:val="0"/>
              <w:snapToGrid w:val="0"/>
              <w:spacing w:before="156" w:beforeLines="50" w:line="360" w:lineRule="auto"/>
              <w:jc w:val="center"/>
              <w:rPr>
                <w:rFonts w:ascii="宋体" w:hAnsi="宋体" w:cs="宋体"/>
                <w:color w:val="auto"/>
                <w:szCs w:val="21"/>
                <w:highlight w:val="none"/>
              </w:rPr>
            </w:pPr>
          </w:p>
        </w:tc>
        <w:tc>
          <w:tcPr>
            <w:tcW w:w="5911" w:type="dxa"/>
            <w:tcBorders>
              <w:tl2br w:val="nil"/>
              <w:tr2bl w:val="nil"/>
            </w:tcBorders>
            <w:vAlign w:val="top"/>
          </w:tcPr>
          <w:p w14:paraId="22306C9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备注：</w:t>
            </w:r>
          </w:p>
          <w:p w14:paraId="5566CB4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（1）优先采购同时属于“节能产品”、“环境标志产品”的，评审时只有其中一项产品能享受优先采购优惠（投标人自行选择，并在投标文件中填报相关信息及数据）。</w:t>
            </w:r>
          </w:p>
          <w:p w14:paraId="7284447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（2）小型和微型企业的价格评审优惠可以与同时属于“节能产品”、“环境标志产品”中的一项优先采购优惠累加计算。</w:t>
            </w:r>
          </w:p>
          <w:p w14:paraId="1A5CB737">
            <w:pPr>
              <w:spacing w:line="360" w:lineRule="auto"/>
              <w:rPr>
                <w:rFonts w:ascii="宋体" w:hAnsi="宋体" w:cs="宋体"/>
                <w:color w:val="auto"/>
                <w:szCs w:val="21"/>
                <w:highlight w:val="none"/>
              </w:rPr>
            </w:pPr>
            <w:r>
              <w:rPr>
                <w:rFonts w:hint="eastAsia" w:ascii="宋体" w:hAnsi="宋体" w:eastAsia="宋体" w:cs="宋体"/>
                <w:color w:val="auto"/>
                <w:highlight w:val="none"/>
              </w:rPr>
              <w:t>（3）投标人符合第二章第33.1款、第33.2款、第33.3款规定的，应按第二章第33.6款规定提供相关证明资料。</w:t>
            </w:r>
          </w:p>
        </w:tc>
      </w:tr>
      <w:tr w14:paraId="19DC6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145" w:type="dxa"/>
            <w:tcBorders>
              <w:tl2br w:val="nil"/>
              <w:tr2bl w:val="nil"/>
            </w:tcBorders>
            <w:vAlign w:val="center"/>
          </w:tcPr>
          <w:p w14:paraId="4D7D37FB">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eastAsia="宋体" w:cs="宋体"/>
                <w:color w:val="auto"/>
                <w:szCs w:val="21"/>
                <w:highlight w:val="none"/>
              </w:rPr>
              <w:t>第6.1</w:t>
            </w:r>
            <w:r>
              <w:rPr>
                <w:rFonts w:hint="eastAsia" w:ascii="宋体" w:hAnsi="宋体" w:eastAsia="宋体" w:cs="宋体"/>
                <w:color w:val="auto"/>
                <w:kern w:val="0"/>
                <w:szCs w:val="21"/>
                <w:highlight w:val="none"/>
                <w:lang w:val="zh-CN"/>
              </w:rPr>
              <w:t>款</w:t>
            </w:r>
          </w:p>
        </w:tc>
        <w:tc>
          <w:tcPr>
            <w:tcW w:w="1920" w:type="dxa"/>
            <w:tcBorders>
              <w:tl2br w:val="nil"/>
              <w:tr2bl w:val="nil"/>
            </w:tcBorders>
            <w:vAlign w:val="center"/>
          </w:tcPr>
          <w:p w14:paraId="0641AE50">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eastAsia="宋体" w:cs="宋体"/>
                <w:color w:val="auto"/>
                <w:szCs w:val="21"/>
                <w:highlight w:val="none"/>
              </w:rPr>
              <w:t>中标候选人并列的确定中标人的方式</w:t>
            </w:r>
          </w:p>
        </w:tc>
        <w:tc>
          <w:tcPr>
            <w:tcW w:w="5911" w:type="dxa"/>
            <w:tcBorders>
              <w:tl2br w:val="nil"/>
              <w:tr2bl w:val="nil"/>
            </w:tcBorders>
            <w:vAlign w:val="center"/>
          </w:tcPr>
          <w:p w14:paraId="6CAB6766">
            <w:pPr>
              <w:pStyle w:val="123"/>
              <w:spacing w:before="78" w:line="360" w:lineRule="auto"/>
              <w:ind w:right="87" w:rightChars="0"/>
              <w:jc w:val="both"/>
              <w:rPr>
                <w:color w:val="auto"/>
                <w:szCs w:val="21"/>
                <w:highlight w:val="none"/>
                <w:lang w:val="en-US"/>
              </w:rPr>
            </w:pPr>
            <w:r>
              <w:rPr>
                <w:rFonts w:hint="eastAsia" w:ascii="宋体" w:hAnsi="宋体" w:eastAsia="宋体" w:cs="宋体"/>
                <w:color w:val="auto"/>
                <w:sz w:val="21"/>
                <w:szCs w:val="21"/>
                <w:highlight w:val="none"/>
                <w:lang w:val="en-US" w:eastAsia="zh-CN"/>
              </w:rPr>
              <w:t>由业主评委直接确定，业主方未委派评委的由评标组长现场随机抽签确定（最低评标价法）</w:t>
            </w:r>
          </w:p>
        </w:tc>
      </w:tr>
      <w:tr w14:paraId="39DCFF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5" w:type="dxa"/>
            <w:tcBorders>
              <w:tl2br w:val="nil"/>
              <w:tr2bl w:val="nil"/>
            </w:tcBorders>
            <w:vAlign w:val="center"/>
          </w:tcPr>
          <w:p w14:paraId="5C057A98">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eastAsia="宋体" w:cs="宋体"/>
                <w:color w:val="auto"/>
                <w:szCs w:val="21"/>
                <w:highlight w:val="none"/>
              </w:rPr>
              <w:t>第6.2</w:t>
            </w:r>
            <w:r>
              <w:rPr>
                <w:rFonts w:hint="eastAsia" w:ascii="宋体" w:hAnsi="宋体" w:eastAsia="宋体" w:cs="宋体"/>
                <w:color w:val="auto"/>
                <w:kern w:val="0"/>
                <w:szCs w:val="21"/>
                <w:highlight w:val="none"/>
                <w:lang w:val="zh-CN"/>
              </w:rPr>
              <w:t>款</w:t>
            </w:r>
          </w:p>
        </w:tc>
        <w:tc>
          <w:tcPr>
            <w:tcW w:w="1920" w:type="dxa"/>
            <w:tcBorders>
              <w:tl2br w:val="nil"/>
              <w:tr2bl w:val="nil"/>
            </w:tcBorders>
            <w:vAlign w:val="center"/>
          </w:tcPr>
          <w:p w14:paraId="7B2F84CC">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eastAsia="宋体" w:cs="宋体"/>
                <w:color w:val="auto"/>
                <w:szCs w:val="21"/>
                <w:highlight w:val="none"/>
              </w:rPr>
              <w:t>中标候选人并列的确定中标人的方式</w:t>
            </w:r>
          </w:p>
        </w:tc>
        <w:tc>
          <w:tcPr>
            <w:tcW w:w="5911" w:type="dxa"/>
            <w:tcBorders>
              <w:tl2br w:val="nil"/>
              <w:tr2bl w:val="nil"/>
            </w:tcBorders>
            <w:vAlign w:val="center"/>
          </w:tcPr>
          <w:p w14:paraId="011D4C42">
            <w:pPr>
              <w:pStyle w:val="123"/>
              <w:spacing w:before="78" w:line="360" w:lineRule="auto"/>
              <w:ind w:right="87" w:rightChars="0"/>
              <w:jc w:val="both"/>
              <w:rPr>
                <w:color w:val="auto"/>
                <w:szCs w:val="21"/>
                <w:highlight w:val="none"/>
              </w:rPr>
            </w:pPr>
            <w:r>
              <w:rPr>
                <w:rFonts w:hint="eastAsia" w:ascii="宋体" w:hAnsi="宋体" w:eastAsia="宋体" w:cs="宋体"/>
                <w:color w:val="auto"/>
                <w:sz w:val="21"/>
                <w:szCs w:val="21"/>
                <w:highlight w:val="none"/>
              </w:rPr>
              <w:t>按技术总分从高至低确定排序，技术总分相同的由评标组长现场随机抽签确定排序。</w:t>
            </w:r>
            <w:r>
              <w:rPr>
                <w:rFonts w:hint="eastAsia" w:ascii="宋体" w:hAnsi="宋体" w:eastAsia="宋体" w:cs="宋体"/>
                <w:color w:val="auto"/>
                <w:kern w:val="2"/>
                <w:sz w:val="21"/>
                <w:szCs w:val="21"/>
                <w:highlight w:val="none"/>
                <w:lang w:val="en-US" w:eastAsia="zh-CN" w:bidi="ar-SA"/>
              </w:rPr>
              <w:t>（综合评分法）。</w:t>
            </w:r>
          </w:p>
        </w:tc>
      </w:tr>
    </w:tbl>
    <w:p w14:paraId="768C8DC3">
      <w:pPr>
        <w:adjustRightInd w:val="0"/>
        <w:snapToGrid w:val="0"/>
        <w:spacing w:beforeLines="50" w:line="360" w:lineRule="auto"/>
        <w:ind w:firstLine="420" w:firstLineChars="200"/>
        <w:jc w:val="left"/>
        <w:rPr>
          <w:rFonts w:ascii="宋体" w:hAnsi="宋体" w:cs="宋体"/>
          <w:b/>
          <w:color w:val="auto"/>
          <w:sz w:val="28"/>
          <w:szCs w:val="28"/>
          <w:highlight w:val="none"/>
        </w:rPr>
      </w:pPr>
      <w:r>
        <w:rPr>
          <w:rFonts w:hint="eastAsia" w:ascii="宋体" w:hAnsi="宋体" w:cs="宋体"/>
          <w:color w:val="auto"/>
          <w:highlight w:val="none"/>
        </w:rPr>
        <w:br w:type="page"/>
      </w:r>
    </w:p>
    <w:p w14:paraId="0F855383">
      <w:pPr>
        <w:pStyle w:val="5"/>
        <w:keepNext w:val="0"/>
        <w:keepLines w:val="0"/>
        <w:adjustRightInd w:val="0"/>
        <w:snapToGrid w:val="0"/>
        <w:spacing w:beforeLines="50"/>
        <w:jc w:val="center"/>
        <w:rPr>
          <w:rFonts w:ascii="宋体" w:hAnsi="宋体" w:cs="宋体"/>
          <w:color w:val="auto"/>
          <w:sz w:val="28"/>
          <w:szCs w:val="28"/>
          <w:highlight w:val="none"/>
        </w:rPr>
      </w:pPr>
      <w:bookmarkStart w:id="53" w:name="_Toc32483"/>
      <w:r>
        <w:rPr>
          <w:rFonts w:hint="eastAsia" w:ascii="宋体" w:hAnsi="宋体" w:cs="宋体"/>
          <w:color w:val="auto"/>
          <w:sz w:val="28"/>
          <w:szCs w:val="28"/>
          <w:highlight w:val="none"/>
        </w:rPr>
        <w:t>第二节 评标方法及标准</w:t>
      </w:r>
      <w:bookmarkEnd w:id="53"/>
    </w:p>
    <w:p w14:paraId="5776E0F1">
      <w:pPr>
        <w:pStyle w:val="6"/>
        <w:keepNext w:val="0"/>
        <w:keepLines w:val="0"/>
        <w:adjustRightInd w:val="0"/>
        <w:snapToGrid w:val="0"/>
        <w:spacing w:beforeLines="50" w:after="0" w:line="360" w:lineRule="auto"/>
        <w:rPr>
          <w:rFonts w:ascii="宋体" w:hAnsi="宋体" w:cs="宋体"/>
          <w:color w:val="auto"/>
          <w:sz w:val="24"/>
          <w:szCs w:val="24"/>
          <w:highlight w:val="none"/>
        </w:rPr>
      </w:pPr>
      <w:bookmarkStart w:id="54" w:name="_Toc31210"/>
      <w:r>
        <w:rPr>
          <w:rFonts w:hint="eastAsia" w:ascii="宋体" w:hAnsi="宋体" w:cs="宋体"/>
          <w:color w:val="auto"/>
          <w:sz w:val="24"/>
          <w:szCs w:val="24"/>
          <w:highlight w:val="none"/>
        </w:rPr>
        <w:t>1．评标方法</w:t>
      </w:r>
      <w:bookmarkEnd w:id="54"/>
    </w:p>
    <w:p w14:paraId="656BABF7">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1.1综合评分法，指投标文件满足招标文件全部实质性要求，且按照评审因素的量化指标评审得分最高的投标人为中标候选人的评标方法。</w:t>
      </w:r>
    </w:p>
    <w:p w14:paraId="3239E53E">
      <w:pPr>
        <w:adjustRightInd w:val="0"/>
        <w:snapToGrid w:val="0"/>
        <w:spacing w:beforeLines="50"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1.2最低评标价，是指投标文件满足招标文件全部实质性要求，且投标报价最低的投标人为中标候选人的评标方法。</w:t>
      </w:r>
    </w:p>
    <w:p w14:paraId="6D3AFCA3">
      <w:pPr>
        <w:adjustRightInd w:val="0"/>
        <w:snapToGrid w:val="0"/>
        <w:spacing w:beforeLines="50" w:line="360" w:lineRule="auto"/>
        <w:ind w:firstLine="420" w:firstLineChars="200"/>
        <w:jc w:val="left"/>
        <w:rPr>
          <w:rFonts w:ascii="宋体" w:hAnsi="宋体" w:cs="宋体"/>
          <w:bCs/>
          <w:color w:val="auto"/>
          <w:szCs w:val="21"/>
          <w:highlight w:val="none"/>
        </w:rPr>
      </w:pPr>
      <w:r>
        <w:rPr>
          <w:rFonts w:hint="eastAsia" w:ascii="宋体" w:hAnsi="宋体" w:eastAsia="宋体" w:cs="宋体"/>
          <w:bCs/>
          <w:color w:val="auto"/>
          <w:szCs w:val="21"/>
          <w:highlight w:val="none"/>
        </w:rPr>
        <w:t>1.3本采购项目评标方法见本章第一节</w:t>
      </w:r>
      <w:r>
        <w:rPr>
          <w:rFonts w:hint="eastAsia" w:ascii="宋体" w:hAnsi="宋体" w:eastAsia="宋体" w:cs="宋体"/>
          <w:b/>
          <w:color w:val="auto"/>
          <w:szCs w:val="21"/>
          <w:highlight w:val="none"/>
        </w:rPr>
        <w:t>【评标方法及标准前附表】</w:t>
      </w:r>
      <w:r>
        <w:rPr>
          <w:rFonts w:hint="eastAsia" w:ascii="宋体" w:hAnsi="宋体" w:eastAsia="宋体" w:cs="宋体"/>
          <w:color w:val="auto"/>
          <w:szCs w:val="21"/>
          <w:highlight w:val="none"/>
        </w:rPr>
        <w:t>。</w:t>
      </w:r>
    </w:p>
    <w:p w14:paraId="33DCAFB8">
      <w:pPr>
        <w:pStyle w:val="6"/>
        <w:keepNext w:val="0"/>
        <w:keepLines w:val="0"/>
        <w:adjustRightInd w:val="0"/>
        <w:snapToGrid w:val="0"/>
        <w:spacing w:beforeLines="50" w:after="0" w:line="360" w:lineRule="auto"/>
        <w:rPr>
          <w:rFonts w:ascii="宋体" w:hAnsi="宋体" w:cs="宋体"/>
          <w:bCs w:val="0"/>
          <w:color w:val="auto"/>
          <w:sz w:val="24"/>
          <w:szCs w:val="24"/>
          <w:highlight w:val="none"/>
        </w:rPr>
      </w:pPr>
      <w:bookmarkStart w:id="55" w:name="_Toc26847"/>
      <w:r>
        <w:rPr>
          <w:rFonts w:hint="eastAsia" w:ascii="宋体" w:hAnsi="宋体" w:cs="宋体"/>
          <w:bCs w:val="0"/>
          <w:color w:val="auto"/>
          <w:sz w:val="24"/>
          <w:szCs w:val="24"/>
          <w:highlight w:val="none"/>
        </w:rPr>
        <w:t>2．评标程序</w:t>
      </w:r>
      <w:bookmarkEnd w:id="55"/>
    </w:p>
    <w:p w14:paraId="15A43636">
      <w:pPr>
        <w:adjustRightInd w:val="0"/>
        <w:snapToGrid w:val="0"/>
        <w:spacing w:beforeLines="50"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2.1评标程序分为投标文件符合性审查、澄清有关问题、比较和评价、推荐中标候选人。</w:t>
      </w:r>
    </w:p>
    <w:p w14:paraId="5F1F7754">
      <w:pPr>
        <w:pStyle w:val="6"/>
        <w:keepNext w:val="0"/>
        <w:keepLines w:val="0"/>
        <w:adjustRightInd w:val="0"/>
        <w:snapToGrid w:val="0"/>
        <w:spacing w:beforeLines="50" w:after="0" w:line="360" w:lineRule="auto"/>
        <w:rPr>
          <w:rFonts w:ascii="宋体" w:hAnsi="宋体" w:cs="宋体"/>
          <w:bCs w:val="0"/>
          <w:color w:val="auto"/>
          <w:sz w:val="24"/>
          <w:szCs w:val="24"/>
          <w:highlight w:val="none"/>
        </w:rPr>
      </w:pPr>
      <w:bookmarkStart w:id="56" w:name="_Toc14545"/>
      <w:r>
        <w:rPr>
          <w:rFonts w:hint="eastAsia" w:ascii="宋体" w:hAnsi="宋体" w:cs="宋体"/>
          <w:bCs w:val="0"/>
          <w:color w:val="auto"/>
          <w:sz w:val="24"/>
          <w:szCs w:val="24"/>
          <w:highlight w:val="none"/>
        </w:rPr>
        <w:t>3．投标文件的符合性审查</w:t>
      </w:r>
      <w:bookmarkEnd w:id="56"/>
    </w:p>
    <w:p w14:paraId="5C465A81">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3.1资格审查结束后，评标委员会依法按照本章第三节“投标文件的符合性审查”规定进行投标文件符合性。</w:t>
      </w:r>
    </w:p>
    <w:p w14:paraId="2317A67C">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3.2符合性审查合格投标人少于3家的，应予废标。</w:t>
      </w:r>
    </w:p>
    <w:p w14:paraId="7EDCEC6A">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3.3单一产品采购项目：提供相同品牌产品的不同投标人参加同一合同项下投标的，按一家投标人计算。提供不同品牌产品的投标人不足三家的，应予废标。</w:t>
      </w:r>
    </w:p>
    <w:p w14:paraId="624EBEDA">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3.4非单一产品采购项目：采购人或者采购代理机构将在</w:t>
      </w:r>
      <w:r>
        <w:rPr>
          <w:rFonts w:hint="eastAsia" w:ascii="宋体" w:hAnsi="宋体" w:cs="宋体"/>
          <w:b/>
          <w:color w:val="auto"/>
          <w:szCs w:val="21"/>
          <w:highlight w:val="none"/>
        </w:rPr>
        <w:t>【评标方法及标准前附表】</w:t>
      </w:r>
      <w:r>
        <w:rPr>
          <w:rFonts w:hint="eastAsia" w:ascii="宋体" w:hAnsi="宋体" w:cs="宋体"/>
          <w:color w:val="auto"/>
          <w:szCs w:val="21"/>
          <w:highlight w:val="none"/>
        </w:rPr>
        <w:t>中载明核心产品。多家投标人提供的核心产品品牌相同的，视为相同品牌，按本章本节第3.3款规定处理。</w:t>
      </w:r>
    </w:p>
    <w:p w14:paraId="6E98F379">
      <w:pPr>
        <w:pStyle w:val="6"/>
        <w:keepNext w:val="0"/>
        <w:keepLines w:val="0"/>
        <w:adjustRightInd w:val="0"/>
        <w:snapToGrid w:val="0"/>
        <w:spacing w:beforeLines="50" w:after="0" w:line="360" w:lineRule="auto"/>
        <w:rPr>
          <w:rFonts w:ascii="宋体" w:hAnsi="宋体" w:cs="宋体"/>
          <w:bCs w:val="0"/>
          <w:color w:val="auto"/>
          <w:sz w:val="24"/>
          <w:szCs w:val="24"/>
          <w:highlight w:val="none"/>
        </w:rPr>
      </w:pPr>
      <w:bookmarkStart w:id="57" w:name="_Toc31675"/>
      <w:r>
        <w:rPr>
          <w:rFonts w:hint="eastAsia" w:ascii="宋体" w:hAnsi="宋体" w:cs="宋体"/>
          <w:bCs w:val="0"/>
          <w:color w:val="auto"/>
          <w:sz w:val="24"/>
          <w:szCs w:val="24"/>
          <w:highlight w:val="none"/>
        </w:rPr>
        <w:t>4．投标文件的澄清</w:t>
      </w:r>
      <w:bookmarkEnd w:id="57"/>
    </w:p>
    <w:p w14:paraId="573EFB06">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4.1对于投标文件中含义不明确、同类问题表述不一致或者有明显文字和计算错误的内容，评标委员会应当以书面形式要求投标人作出必要的澄清、说明或者补正。</w:t>
      </w:r>
    </w:p>
    <w:p w14:paraId="1179A4C9">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4.2投标文件的投标报价出现前后不一致的，除</w:t>
      </w:r>
      <w:r>
        <w:rPr>
          <w:rFonts w:hint="eastAsia" w:ascii="宋体" w:hAnsi="宋体" w:cs="宋体"/>
          <w:b/>
          <w:color w:val="auto"/>
          <w:szCs w:val="21"/>
          <w:highlight w:val="none"/>
        </w:rPr>
        <w:t>【评标方法及标准前附表】</w:t>
      </w:r>
      <w:r>
        <w:rPr>
          <w:rFonts w:hint="eastAsia" w:ascii="宋体" w:hAnsi="宋体" w:cs="宋体"/>
          <w:color w:val="auto"/>
          <w:szCs w:val="21"/>
          <w:highlight w:val="none"/>
        </w:rPr>
        <w:t>另有规定外，按照下列规定修正：</w:t>
      </w:r>
    </w:p>
    <w:p w14:paraId="7E1D7DF3">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（1）投标文件中开标一览表内容与投标文件中相应内容不一致的，以开标一览表为准；</w:t>
      </w:r>
    </w:p>
    <w:p w14:paraId="1981C1C5">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4A4CA3BA">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（3）单价金额小数点或者百分比有明显错位的，以开标一览表的总价为准，并修改单价；</w:t>
      </w:r>
    </w:p>
    <w:p w14:paraId="0A73C12F">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51D14EF8">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4.3投标文件报价同时出现两种以上不一致的，按照前款规定的顺序修正。修正后的报价由投标人代表签字或者加盖单位章确认后产生约束力，投标人不确认的，其</w:t>
      </w:r>
      <w:r>
        <w:rPr>
          <w:rFonts w:hint="eastAsia" w:ascii="宋体" w:hAnsi="宋体" w:cs="宋体"/>
          <w:b/>
          <w:bCs/>
          <w:color w:val="auto"/>
          <w:szCs w:val="21"/>
          <w:highlight w:val="none"/>
        </w:rPr>
        <w:t>投标无效</w:t>
      </w:r>
      <w:r>
        <w:rPr>
          <w:rFonts w:hint="eastAsia" w:ascii="宋体" w:hAnsi="宋体" w:cs="宋体"/>
          <w:color w:val="auto"/>
          <w:szCs w:val="21"/>
          <w:highlight w:val="none"/>
        </w:rPr>
        <w:t>。</w:t>
      </w:r>
    </w:p>
    <w:p w14:paraId="5E7B7A58">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投标人的澄清、说明或者补正应当采用书面形式，并加盖公章，或者由法定代表人或其授权的代表签字，并按评标委员会的通知要求递交。投标人的澄清、说明或者补正不得超出投标文件的范围或者改变投标文件的实质性内容。</w:t>
      </w:r>
    </w:p>
    <w:p w14:paraId="2B16DFA9">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4.5有效的书面澄清材料，是投标文件的补充材料，成为投标文件的组成部分。</w:t>
      </w:r>
    </w:p>
    <w:p w14:paraId="18B1E63E">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宋体" w:hAnsi="宋体" w:cs="宋体"/>
          <w:b/>
          <w:bCs/>
          <w:color w:val="auto"/>
          <w:szCs w:val="21"/>
          <w:highlight w:val="none"/>
        </w:rPr>
        <w:t>投标无效</w:t>
      </w:r>
      <w:r>
        <w:rPr>
          <w:rFonts w:hint="eastAsia" w:ascii="宋体" w:hAnsi="宋体" w:cs="宋体"/>
          <w:color w:val="auto"/>
          <w:szCs w:val="21"/>
          <w:highlight w:val="none"/>
        </w:rPr>
        <w:t>处理。</w:t>
      </w:r>
    </w:p>
    <w:p w14:paraId="2F5D3D26">
      <w:pPr>
        <w:pStyle w:val="6"/>
        <w:keepNext w:val="0"/>
        <w:keepLines w:val="0"/>
        <w:adjustRightInd w:val="0"/>
        <w:snapToGrid w:val="0"/>
        <w:spacing w:beforeLines="50" w:after="0" w:line="360" w:lineRule="auto"/>
        <w:rPr>
          <w:rFonts w:ascii="宋体" w:hAnsi="宋体" w:cs="宋体"/>
          <w:bCs w:val="0"/>
          <w:color w:val="auto"/>
          <w:sz w:val="24"/>
          <w:szCs w:val="24"/>
          <w:highlight w:val="none"/>
        </w:rPr>
      </w:pPr>
      <w:bookmarkStart w:id="58" w:name="_Toc16178"/>
      <w:r>
        <w:rPr>
          <w:rFonts w:hint="eastAsia" w:ascii="宋体" w:hAnsi="宋体" w:cs="宋体"/>
          <w:bCs w:val="0"/>
          <w:color w:val="auto"/>
          <w:sz w:val="24"/>
          <w:szCs w:val="24"/>
          <w:highlight w:val="none"/>
        </w:rPr>
        <w:t>5．投标文件的比较与评价</w:t>
      </w:r>
      <w:bookmarkEnd w:id="58"/>
    </w:p>
    <w:p w14:paraId="3D6BE43D">
      <w:pPr>
        <w:adjustRightInd w:val="0"/>
        <w:snapToGrid w:val="0"/>
        <w:spacing w:beforeLines="50"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5.1评标委员会依法按照本章第三节“投标文件的比较与评价”规定，对资格性检查和符合性检查合格的投标文件进行比较和评价。</w:t>
      </w:r>
    </w:p>
    <w:p w14:paraId="10CC0449">
      <w:pPr>
        <w:adjustRightInd w:val="0"/>
        <w:snapToGrid w:val="0"/>
        <w:spacing w:beforeLines="50"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5.2单一产品采购项目：</w:t>
      </w:r>
    </w:p>
    <w:p w14:paraId="080ACCB2">
      <w:pPr>
        <w:adjustRightInd w:val="0"/>
        <w:snapToGrid w:val="0"/>
        <w:spacing w:beforeLines="50" w:line="36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（1）最低评标价法：</w:t>
      </w:r>
      <w:r>
        <w:rPr>
          <w:rFonts w:hint="eastAsia" w:ascii="宋体" w:hAnsi="宋体" w:cs="宋体"/>
          <w:bCs/>
          <w:color w:val="auto"/>
          <w:szCs w:val="21"/>
          <w:highlight w:val="none"/>
        </w:rPr>
        <w:t>提供相同品牌产品的不同投标人参加同一合同项下投标的，以其中通过资格审查、符合性审查且报价最低的参加评标，其他</w:t>
      </w:r>
      <w:r>
        <w:rPr>
          <w:rFonts w:hint="eastAsia" w:ascii="宋体" w:hAnsi="宋体" w:cs="宋体"/>
          <w:b/>
          <w:bCs w:val="0"/>
          <w:color w:val="auto"/>
          <w:szCs w:val="21"/>
          <w:highlight w:val="none"/>
        </w:rPr>
        <w:t>投标无效</w:t>
      </w:r>
      <w:r>
        <w:rPr>
          <w:rFonts w:hint="eastAsia" w:ascii="宋体" w:hAnsi="宋体" w:cs="宋体"/>
          <w:bCs/>
          <w:color w:val="auto"/>
          <w:szCs w:val="21"/>
          <w:highlight w:val="none"/>
        </w:rPr>
        <w:t>；报价相同的，按照</w:t>
      </w:r>
      <w:r>
        <w:rPr>
          <w:rFonts w:hint="eastAsia" w:ascii="宋体" w:hAnsi="宋体" w:cs="宋体"/>
          <w:b/>
          <w:bCs/>
          <w:color w:val="auto"/>
          <w:szCs w:val="21"/>
          <w:highlight w:val="none"/>
        </w:rPr>
        <w:t>【评标方法及标准前附表】</w:t>
      </w:r>
      <w:r>
        <w:rPr>
          <w:rFonts w:hint="eastAsia" w:ascii="宋体" w:hAnsi="宋体" w:cs="宋体"/>
          <w:bCs/>
          <w:color w:val="auto"/>
          <w:szCs w:val="21"/>
          <w:highlight w:val="none"/>
        </w:rPr>
        <w:t>规定的方式确定一个参加评标的投标人，招标文件未规定的采取随机抽取方式确定，其他</w:t>
      </w:r>
      <w:r>
        <w:rPr>
          <w:rFonts w:hint="eastAsia" w:ascii="宋体" w:hAnsi="宋体" w:cs="宋体"/>
          <w:b/>
          <w:bCs/>
          <w:color w:val="auto"/>
          <w:szCs w:val="21"/>
          <w:highlight w:val="none"/>
        </w:rPr>
        <w:t>投标无效</w:t>
      </w:r>
      <w:r>
        <w:rPr>
          <w:rFonts w:hint="eastAsia" w:ascii="宋体" w:hAnsi="宋体" w:cs="宋体"/>
          <w:bCs/>
          <w:color w:val="auto"/>
          <w:szCs w:val="21"/>
          <w:highlight w:val="none"/>
        </w:rPr>
        <w:t>。</w:t>
      </w:r>
    </w:p>
    <w:p w14:paraId="737B84EE">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（2）综合评分法：提供相同品牌产品且通过资格审查、符合性审查的不同投标人参加同一合同项下投标的，评审后得分最高的同品牌投标人获得中标人推荐资格；评审得分相同的，按照</w:t>
      </w:r>
      <w:r>
        <w:rPr>
          <w:rFonts w:hint="eastAsia" w:ascii="宋体" w:hAnsi="宋体" w:cs="宋体"/>
          <w:b/>
          <w:color w:val="auto"/>
          <w:szCs w:val="21"/>
          <w:highlight w:val="none"/>
        </w:rPr>
        <w:t>【评标方法及标准前附表】</w:t>
      </w:r>
      <w:r>
        <w:rPr>
          <w:rFonts w:hint="eastAsia" w:ascii="宋体" w:hAnsi="宋体" w:cs="宋体"/>
          <w:color w:val="auto"/>
          <w:szCs w:val="21"/>
          <w:highlight w:val="none"/>
        </w:rPr>
        <w:t>规定的方式确定一个投标人获得中标人推荐资格，招标文件未规定的采取随机抽取方式确定，其他同品牌投标人</w:t>
      </w:r>
      <w:r>
        <w:rPr>
          <w:rFonts w:hint="eastAsia" w:ascii="宋体" w:hAnsi="宋体" w:cs="宋体"/>
          <w:b/>
          <w:color w:val="auto"/>
          <w:szCs w:val="21"/>
          <w:highlight w:val="none"/>
        </w:rPr>
        <w:t>不作为中标候选人</w:t>
      </w:r>
      <w:r>
        <w:rPr>
          <w:rFonts w:hint="eastAsia" w:ascii="宋体" w:hAnsi="宋体" w:cs="宋体"/>
          <w:color w:val="auto"/>
          <w:szCs w:val="21"/>
          <w:highlight w:val="none"/>
        </w:rPr>
        <w:t>。</w:t>
      </w:r>
    </w:p>
    <w:p w14:paraId="3429F58D">
      <w:pPr>
        <w:adjustRightInd w:val="0"/>
        <w:snapToGrid w:val="0"/>
        <w:spacing w:beforeLines="50"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5.3非单一产品采购项目：多家投标人提供的核心产品品牌</w:t>
      </w:r>
      <w:r>
        <w:rPr>
          <w:rFonts w:hint="eastAsia" w:ascii="宋体" w:hAnsi="宋体" w:cs="宋体"/>
          <w:bCs/>
          <w:color w:val="auto"/>
          <w:szCs w:val="21"/>
          <w:highlight w:val="none"/>
          <w:lang w:eastAsia="zh-CN"/>
        </w:rPr>
        <w:t>均</w:t>
      </w:r>
      <w:r>
        <w:rPr>
          <w:rFonts w:hint="eastAsia" w:ascii="宋体" w:hAnsi="宋体" w:cs="宋体"/>
          <w:bCs/>
          <w:color w:val="auto"/>
          <w:szCs w:val="21"/>
          <w:highlight w:val="none"/>
        </w:rPr>
        <w:t>相同的，视为相同品牌，按本章本节第 5.2 款规定处理。</w:t>
      </w:r>
    </w:p>
    <w:p w14:paraId="36A2A8FB">
      <w:pPr>
        <w:adjustRightInd w:val="0"/>
        <w:snapToGrid w:val="0"/>
        <w:spacing w:beforeLines="50"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政府采购政策：</w:t>
      </w:r>
    </w:p>
    <w:p w14:paraId="099C75AA">
      <w:pPr>
        <w:adjustRightInd w:val="0"/>
        <w:snapToGrid w:val="0"/>
        <w:spacing w:beforeLines="50" w:line="36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价格评审优惠：</w:t>
      </w:r>
      <w:r>
        <w:rPr>
          <w:rFonts w:hint="eastAsia" w:ascii="宋体" w:hAnsi="宋体" w:cs="宋体"/>
          <w:color w:val="auto"/>
          <w:szCs w:val="21"/>
          <w:highlight w:val="none"/>
        </w:rPr>
        <w:t>按</w:t>
      </w:r>
      <w:r>
        <w:rPr>
          <w:rFonts w:hint="eastAsia" w:ascii="宋体" w:hAnsi="宋体" w:cs="宋体"/>
          <w:b/>
          <w:color w:val="auto"/>
          <w:szCs w:val="21"/>
          <w:highlight w:val="none"/>
        </w:rPr>
        <w:t>【评标方法及标准前附表】</w:t>
      </w:r>
      <w:r>
        <w:rPr>
          <w:rFonts w:hint="eastAsia" w:ascii="宋体" w:hAnsi="宋体" w:cs="宋体"/>
          <w:color w:val="auto"/>
          <w:szCs w:val="21"/>
          <w:highlight w:val="none"/>
        </w:rPr>
        <w:t>及第二章“投标须知”的相关规定给予一定的价格折扣。</w:t>
      </w:r>
    </w:p>
    <w:p w14:paraId="16A712B7">
      <w:pPr>
        <w:adjustRightInd w:val="0"/>
        <w:snapToGrid w:val="0"/>
        <w:spacing w:beforeLines="50" w:line="36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（2）优先采购：</w:t>
      </w:r>
      <w:r>
        <w:rPr>
          <w:rFonts w:hint="eastAsia" w:ascii="宋体" w:hAnsi="宋体" w:cs="宋体"/>
          <w:bCs/>
          <w:color w:val="auto"/>
          <w:szCs w:val="21"/>
          <w:highlight w:val="none"/>
        </w:rPr>
        <w:t>评审时按</w:t>
      </w:r>
      <w:r>
        <w:rPr>
          <w:rFonts w:hint="eastAsia" w:ascii="宋体" w:hAnsi="宋体" w:cs="宋体"/>
          <w:b/>
          <w:color w:val="auto"/>
          <w:szCs w:val="21"/>
          <w:highlight w:val="none"/>
        </w:rPr>
        <w:t>【评标方法及标准前附表】</w:t>
      </w:r>
      <w:r>
        <w:rPr>
          <w:rFonts w:hint="eastAsia" w:ascii="宋体" w:hAnsi="宋体" w:cs="宋体"/>
          <w:bCs/>
          <w:color w:val="auto"/>
          <w:szCs w:val="21"/>
          <w:highlight w:val="none"/>
        </w:rPr>
        <w:t>及第二章</w:t>
      </w:r>
      <w:r>
        <w:rPr>
          <w:rFonts w:hint="eastAsia" w:ascii="宋体" w:hAnsi="宋体" w:cs="宋体"/>
          <w:color w:val="auto"/>
          <w:szCs w:val="21"/>
          <w:highlight w:val="none"/>
        </w:rPr>
        <w:t>“投标须知”</w:t>
      </w:r>
      <w:r>
        <w:rPr>
          <w:rFonts w:hint="eastAsia" w:ascii="宋体" w:hAnsi="宋体" w:cs="宋体"/>
          <w:bCs/>
          <w:color w:val="auto"/>
          <w:szCs w:val="21"/>
          <w:highlight w:val="none"/>
        </w:rPr>
        <w:t>的相关规定给予价格折扣或者加分。</w:t>
      </w:r>
    </w:p>
    <w:p w14:paraId="661B6857">
      <w:pPr>
        <w:pStyle w:val="6"/>
        <w:keepNext w:val="0"/>
        <w:keepLines w:val="0"/>
        <w:adjustRightInd w:val="0"/>
        <w:snapToGrid w:val="0"/>
        <w:spacing w:beforeLines="50" w:after="0" w:line="360" w:lineRule="auto"/>
        <w:rPr>
          <w:rFonts w:ascii="宋体" w:hAnsi="宋体" w:cs="宋体"/>
          <w:color w:val="auto"/>
          <w:sz w:val="24"/>
          <w:szCs w:val="24"/>
          <w:highlight w:val="none"/>
        </w:rPr>
      </w:pPr>
      <w:bookmarkStart w:id="59" w:name="_Toc8925"/>
      <w:r>
        <w:rPr>
          <w:rFonts w:hint="eastAsia" w:ascii="宋体" w:hAnsi="宋体" w:cs="宋体"/>
          <w:bCs w:val="0"/>
          <w:color w:val="auto"/>
          <w:sz w:val="24"/>
          <w:szCs w:val="24"/>
          <w:highlight w:val="none"/>
        </w:rPr>
        <w:t>6．</w:t>
      </w:r>
      <w:r>
        <w:rPr>
          <w:rFonts w:hint="eastAsia" w:ascii="宋体" w:hAnsi="宋体" w:cs="宋体"/>
          <w:color w:val="auto"/>
          <w:sz w:val="24"/>
          <w:szCs w:val="24"/>
          <w:highlight w:val="none"/>
        </w:rPr>
        <w:t>推荐中标候选人</w:t>
      </w:r>
      <w:bookmarkEnd w:id="59"/>
    </w:p>
    <w:p w14:paraId="42A10617">
      <w:pPr>
        <w:adjustRightInd w:val="0"/>
        <w:snapToGrid w:val="0"/>
        <w:spacing w:beforeLines="50" w:line="36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6.1最低评标价法：</w:t>
      </w:r>
      <w:r>
        <w:rPr>
          <w:rFonts w:hint="eastAsia" w:ascii="宋体" w:hAnsi="宋体" w:cs="宋体"/>
          <w:bCs/>
          <w:color w:val="auto"/>
          <w:szCs w:val="21"/>
          <w:highlight w:val="none"/>
        </w:rPr>
        <w:t>评标结果按算术修正和落实政府采购政策需进行的价格扣除后的投标报价由低到高顺序排列。报价相同的并列，按</w:t>
      </w:r>
      <w:r>
        <w:rPr>
          <w:rFonts w:hint="eastAsia" w:ascii="宋体" w:hAnsi="宋体" w:cs="宋体"/>
          <w:b/>
          <w:color w:val="auto"/>
          <w:szCs w:val="21"/>
          <w:highlight w:val="none"/>
        </w:rPr>
        <w:t>【评标方法及标准前附表】</w:t>
      </w:r>
      <w:r>
        <w:rPr>
          <w:rFonts w:hint="eastAsia" w:ascii="宋体" w:hAnsi="宋体" w:cs="宋体"/>
          <w:color w:val="auto"/>
          <w:szCs w:val="21"/>
          <w:highlight w:val="none"/>
        </w:rPr>
        <w:t>规定的方式确定中标人；</w:t>
      </w:r>
      <w:r>
        <w:rPr>
          <w:rFonts w:hint="eastAsia" w:ascii="宋体" w:hAnsi="宋体" w:cs="宋体"/>
          <w:bCs/>
          <w:color w:val="auto"/>
          <w:szCs w:val="21"/>
          <w:highlight w:val="none"/>
        </w:rPr>
        <w:t>招标文件未规定的，采取随机抽取的方式确定。</w:t>
      </w:r>
    </w:p>
    <w:p w14:paraId="372083F0">
      <w:pPr>
        <w:adjustRightInd w:val="0"/>
        <w:snapToGrid w:val="0"/>
        <w:spacing w:beforeLines="50"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6.2综合评分法：评标结果按评审后得分由高到低顺序排列。得分相同的，按投标报价由低到高顺序排列。得分且投标报价相同的并列，按</w:t>
      </w:r>
      <w:r>
        <w:rPr>
          <w:rFonts w:hint="eastAsia" w:ascii="宋体" w:hAnsi="宋体" w:cs="宋体"/>
          <w:b/>
          <w:bCs/>
          <w:color w:val="auto"/>
          <w:szCs w:val="21"/>
          <w:highlight w:val="none"/>
        </w:rPr>
        <w:t>【评标方法及标准前附表】</w:t>
      </w:r>
      <w:r>
        <w:rPr>
          <w:rFonts w:hint="eastAsia" w:ascii="宋体" w:hAnsi="宋体" w:cs="宋体"/>
          <w:bCs/>
          <w:color w:val="auto"/>
          <w:szCs w:val="21"/>
          <w:highlight w:val="none"/>
        </w:rPr>
        <w:t>规定的方式确定中标人；招标文件未规定的，采取随机抽取的方式确定。</w:t>
      </w:r>
    </w:p>
    <w:p w14:paraId="1DEDD45C">
      <w:pPr>
        <w:pStyle w:val="6"/>
        <w:keepNext w:val="0"/>
        <w:keepLines w:val="0"/>
        <w:adjustRightInd w:val="0"/>
        <w:snapToGrid w:val="0"/>
        <w:spacing w:beforeLines="50" w:after="0" w:line="360" w:lineRule="auto"/>
        <w:rPr>
          <w:rFonts w:ascii="宋体" w:hAnsi="宋体" w:cs="宋体"/>
          <w:color w:val="auto"/>
          <w:sz w:val="24"/>
          <w:szCs w:val="24"/>
          <w:highlight w:val="none"/>
        </w:rPr>
      </w:pPr>
      <w:bookmarkStart w:id="60" w:name="_Toc13721"/>
      <w:r>
        <w:rPr>
          <w:rFonts w:hint="eastAsia" w:ascii="宋体" w:hAnsi="宋体" w:cs="宋体"/>
          <w:bCs w:val="0"/>
          <w:color w:val="auto"/>
          <w:sz w:val="24"/>
          <w:szCs w:val="24"/>
          <w:highlight w:val="none"/>
        </w:rPr>
        <w:t>7．</w:t>
      </w:r>
      <w:r>
        <w:rPr>
          <w:rFonts w:hint="eastAsia" w:ascii="宋体" w:hAnsi="宋体" w:cs="宋体"/>
          <w:color w:val="auto"/>
          <w:sz w:val="24"/>
          <w:szCs w:val="24"/>
          <w:highlight w:val="none"/>
        </w:rPr>
        <w:t>编写评标报告</w:t>
      </w:r>
      <w:bookmarkEnd w:id="60"/>
    </w:p>
    <w:p w14:paraId="427FA707">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7.1评标</w:t>
      </w:r>
      <w:r>
        <w:rPr>
          <w:rFonts w:hint="eastAsia" w:ascii="宋体" w:hAnsi="宋体" w:cs="宋体"/>
          <w:bCs/>
          <w:color w:val="auto"/>
          <w:szCs w:val="21"/>
          <w:highlight w:val="none"/>
        </w:rPr>
        <w:t>委员会</w:t>
      </w:r>
      <w:r>
        <w:rPr>
          <w:rFonts w:hint="eastAsia" w:ascii="宋体" w:hAnsi="宋体" w:cs="宋体"/>
          <w:color w:val="auto"/>
          <w:szCs w:val="21"/>
          <w:highlight w:val="none"/>
        </w:rPr>
        <w:t>根据全体评标成员签字的原始评标记录和评标结果编写评标报告。</w:t>
      </w:r>
    </w:p>
    <w:p w14:paraId="4FCA72DA">
      <w:pPr>
        <w:adjustRightInd w:val="0"/>
        <w:snapToGrid w:val="0"/>
        <w:spacing w:beforeLines="50" w:line="36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7.2</w:t>
      </w:r>
      <w:r>
        <w:rPr>
          <w:rFonts w:hint="eastAsia" w:ascii="宋体" w:hAnsi="宋体" w:cs="宋体"/>
          <w:bCs/>
          <w:color w:val="auto"/>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42913B7A">
      <w:pPr>
        <w:pStyle w:val="6"/>
        <w:keepNext w:val="0"/>
        <w:keepLines w:val="0"/>
        <w:adjustRightInd w:val="0"/>
        <w:snapToGrid w:val="0"/>
        <w:spacing w:beforeLines="50" w:after="0" w:line="360" w:lineRule="auto"/>
        <w:rPr>
          <w:rFonts w:ascii="宋体" w:hAnsi="宋体" w:cs="宋体"/>
          <w:bCs w:val="0"/>
          <w:color w:val="auto"/>
          <w:sz w:val="24"/>
          <w:szCs w:val="24"/>
          <w:highlight w:val="none"/>
        </w:rPr>
      </w:pPr>
      <w:bookmarkStart w:id="61" w:name="_Toc11360"/>
      <w:r>
        <w:rPr>
          <w:rFonts w:hint="eastAsia" w:ascii="宋体" w:hAnsi="宋体" w:cs="宋体"/>
          <w:bCs w:val="0"/>
          <w:color w:val="auto"/>
          <w:sz w:val="24"/>
          <w:szCs w:val="24"/>
          <w:highlight w:val="none"/>
        </w:rPr>
        <w:t>8．</w:t>
      </w:r>
      <w:r>
        <w:rPr>
          <w:rFonts w:hint="eastAsia" w:ascii="宋体" w:hAnsi="宋体" w:cs="宋体"/>
          <w:color w:val="auto"/>
          <w:sz w:val="24"/>
          <w:szCs w:val="24"/>
          <w:highlight w:val="none"/>
        </w:rPr>
        <w:t>评标报告</w:t>
      </w:r>
      <w:r>
        <w:rPr>
          <w:rFonts w:hint="eastAsia" w:ascii="宋体" w:hAnsi="宋体" w:cs="宋体"/>
          <w:bCs w:val="0"/>
          <w:color w:val="auto"/>
          <w:sz w:val="24"/>
          <w:szCs w:val="24"/>
          <w:highlight w:val="none"/>
        </w:rPr>
        <w:t>复核</w:t>
      </w:r>
      <w:bookmarkEnd w:id="61"/>
    </w:p>
    <w:p w14:paraId="3135AE3A">
      <w:pPr>
        <w:adjustRightInd w:val="0"/>
        <w:snapToGrid w:val="0"/>
        <w:spacing w:beforeLines="50"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8.1汇总结束后，评标委员会应当进行复核，特别要对拟推荐为中标候选投标人的、报价最低的、投标文件被认定为无效的进行重点复核。</w:t>
      </w:r>
    </w:p>
    <w:p w14:paraId="40AD5F71">
      <w:pPr>
        <w:adjustRightInd w:val="0"/>
        <w:snapToGrid w:val="0"/>
        <w:spacing w:beforeLines="50"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8.2汇总完成后，除下列情形外，任何人不得修改评标结果：</w:t>
      </w:r>
    </w:p>
    <w:p w14:paraId="0B1842C1">
      <w:pPr>
        <w:adjustRightInd w:val="0"/>
        <w:snapToGrid w:val="0"/>
        <w:spacing w:beforeLines="50"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（1）分值汇总计算错误的；</w:t>
      </w:r>
    </w:p>
    <w:p w14:paraId="440FC4E6">
      <w:pPr>
        <w:adjustRightInd w:val="0"/>
        <w:snapToGrid w:val="0"/>
        <w:spacing w:beforeLines="50"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（2）分项评分超出评分标准范围的；</w:t>
      </w:r>
    </w:p>
    <w:p w14:paraId="45E0CC1B">
      <w:pPr>
        <w:adjustRightInd w:val="0"/>
        <w:snapToGrid w:val="0"/>
        <w:spacing w:beforeLines="50"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（3）评标委员会成员对客观评审因素评分不一致的；</w:t>
      </w:r>
    </w:p>
    <w:p w14:paraId="5DA279DF">
      <w:pPr>
        <w:adjustRightInd w:val="0"/>
        <w:snapToGrid w:val="0"/>
        <w:spacing w:beforeLines="50"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（4）经评标委员会认定评分畸高、畸低的。</w:t>
      </w:r>
    </w:p>
    <w:p w14:paraId="522F225C">
      <w:pPr>
        <w:adjustRightInd w:val="0"/>
        <w:snapToGrid w:val="0"/>
        <w:spacing w:beforeLines="50" w:line="360" w:lineRule="auto"/>
        <w:ind w:firstLine="420" w:firstLineChars="200"/>
        <w:jc w:val="left"/>
        <w:rPr>
          <w:rFonts w:ascii="宋体" w:hAnsi="宋体" w:cs="宋体"/>
          <w:b/>
          <w:bCs/>
          <w:color w:val="auto"/>
          <w:szCs w:val="21"/>
          <w:highlight w:val="none"/>
        </w:rPr>
      </w:pPr>
      <w:r>
        <w:rPr>
          <w:rFonts w:hint="eastAsia" w:ascii="宋体" w:hAnsi="宋体" w:cs="宋体"/>
          <w:bCs/>
          <w:color w:val="auto"/>
          <w:szCs w:val="21"/>
          <w:highlight w:val="none"/>
        </w:rPr>
        <w:t>8.3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97A6921">
      <w:pPr>
        <w:pStyle w:val="6"/>
        <w:keepNext w:val="0"/>
        <w:keepLines w:val="0"/>
        <w:adjustRightInd w:val="0"/>
        <w:snapToGrid w:val="0"/>
        <w:spacing w:beforeLines="50" w:after="0" w:line="360" w:lineRule="auto"/>
        <w:rPr>
          <w:rFonts w:ascii="宋体" w:hAnsi="宋体" w:cs="宋体"/>
          <w:bCs w:val="0"/>
          <w:color w:val="auto"/>
          <w:sz w:val="24"/>
          <w:szCs w:val="24"/>
          <w:highlight w:val="none"/>
        </w:rPr>
      </w:pPr>
      <w:bookmarkStart w:id="62" w:name="_Toc17033"/>
      <w:r>
        <w:rPr>
          <w:rFonts w:hint="eastAsia" w:ascii="宋体" w:hAnsi="宋体" w:cs="宋体"/>
          <w:color w:val="auto"/>
          <w:sz w:val="24"/>
          <w:szCs w:val="24"/>
          <w:highlight w:val="none"/>
        </w:rPr>
        <w:t>9．</w:t>
      </w:r>
      <w:r>
        <w:rPr>
          <w:rFonts w:hint="eastAsia" w:ascii="宋体" w:hAnsi="宋体" w:cs="宋体"/>
          <w:bCs w:val="0"/>
          <w:color w:val="auto"/>
          <w:sz w:val="24"/>
          <w:szCs w:val="24"/>
          <w:highlight w:val="none"/>
        </w:rPr>
        <w:t>停止评标</w:t>
      </w:r>
      <w:bookmarkEnd w:id="62"/>
    </w:p>
    <w:p w14:paraId="7F0EF1F1">
      <w:pPr>
        <w:adjustRightInd w:val="0"/>
        <w:snapToGrid w:val="0"/>
        <w:spacing w:beforeLines="50"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9.1</w:t>
      </w:r>
      <w:r>
        <w:rPr>
          <w:rFonts w:hint="eastAsia" w:ascii="宋体" w:hAnsi="宋体" w:cs="宋体"/>
          <w:color w:val="auto"/>
          <w:kern w:val="0"/>
          <w:szCs w:val="21"/>
          <w:highlight w:val="none"/>
        </w:rPr>
        <w:t>评标委员会发现招标文件存在歧义、重大缺陷导致评标工作无法进行，或者招标文件内容违反国家有关强制性规定的，应当停止评标工作，与采购人、采购代理机构沟通并作书面记录。采购人、采购代理机构确认后，应当修改招标文件，重新组织采购活动。</w:t>
      </w:r>
    </w:p>
    <w:p w14:paraId="577EC701">
      <w:pPr>
        <w:adjustRightInd w:val="0"/>
        <w:snapToGrid w:val="0"/>
        <w:spacing w:beforeLines="50" w:line="360" w:lineRule="auto"/>
        <w:jc w:val="left"/>
        <w:outlineLvl w:val="2"/>
        <w:rPr>
          <w:rFonts w:ascii="宋体" w:hAnsi="宋体" w:cs="宋体"/>
          <w:b/>
          <w:color w:val="auto"/>
          <w:sz w:val="24"/>
          <w:highlight w:val="none"/>
        </w:rPr>
      </w:pPr>
      <w:bookmarkStart w:id="63" w:name="_Toc14915"/>
      <w:r>
        <w:rPr>
          <w:rFonts w:hint="eastAsia" w:ascii="宋体" w:hAnsi="宋体" w:cs="宋体"/>
          <w:b/>
          <w:color w:val="auto"/>
          <w:sz w:val="24"/>
          <w:highlight w:val="none"/>
        </w:rPr>
        <w:t>10.废标</w:t>
      </w:r>
      <w:bookmarkEnd w:id="63"/>
    </w:p>
    <w:p w14:paraId="08DF60BD">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10.1 根据有关法律法规和招标文件的有关规定，如出现下列情况之一的，应予以废标：</w:t>
      </w:r>
    </w:p>
    <w:p w14:paraId="52162B4B">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（1）符合专业条件的投标人或者对招标文件作实质响应的投标人不足三家的；</w:t>
      </w:r>
    </w:p>
    <w:p w14:paraId="796BE340">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7F0FC96F">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（3）投标人的报价均超过采购人项目采购预算，采购人不能支付的；</w:t>
      </w:r>
    </w:p>
    <w:p w14:paraId="195E50C0">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（4）因重大变故，采购任务取消的。</w:t>
      </w:r>
    </w:p>
    <w:p w14:paraId="672ABF7A">
      <w:pPr>
        <w:pStyle w:val="6"/>
        <w:keepNext w:val="0"/>
        <w:keepLines w:val="0"/>
        <w:adjustRightInd w:val="0"/>
        <w:snapToGrid w:val="0"/>
        <w:spacing w:beforeLines="50" w:after="0" w:line="360" w:lineRule="auto"/>
        <w:rPr>
          <w:rFonts w:ascii="宋体" w:hAnsi="宋体" w:cs="宋体"/>
          <w:bCs w:val="0"/>
          <w:color w:val="auto"/>
          <w:sz w:val="24"/>
          <w:szCs w:val="24"/>
          <w:highlight w:val="none"/>
        </w:rPr>
      </w:pPr>
      <w:bookmarkStart w:id="64" w:name="_Toc26473"/>
      <w:r>
        <w:rPr>
          <w:rFonts w:hint="eastAsia" w:ascii="宋体" w:hAnsi="宋体" w:cs="宋体"/>
          <w:color w:val="auto"/>
          <w:kern w:val="0"/>
          <w:sz w:val="24"/>
          <w:szCs w:val="24"/>
          <w:highlight w:val="none"/>
        </w:rPr>
        <w:t>11．重新组建评标委员会进行评标</w:t>
      </w:r>
      <w:bookmarkEnd w:id="64"/>
    </w:p>
    <w:p w14:paraId="23DDBBE4">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11.1评标委员会或者其成员存在下列情形导致评标结果无效的，采购人、采购代理机构可以重新组建评标委员会进行评标，并书面报告本级财政部门，但采购合同已经履行的除外：</w:t>
      </w:r>
    </w:p>
    <w:p w14:paraId="4772ADE5">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（1）评标委员会组成不符合《政府采购货物和服务招标投标管理办法》规定的；</w:t>
      </w:r>
    </w:p>
    <w:p w14:paraId="777A2156">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（2）有《政府采购货物和服务招标投标管理办法》第六十二条第一至五项情形的；</w:t>
      </w:r>
    </w:p>
    <w:p w14:paraId="750AC929">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（3）评标委员会及其成员独立评标受到非法干预的；</w:t>
      </w:r>
    </w:p>
    <w:p w14:paraId="0E902B58">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（4）有政府采购法实施条例第七十五条规定的违法行为的。</w:t>
      </w:r>
    </w:p>
    <w:p w14:paraId="097378F8">
      <w:pPr>
        <w:adjustRightInd w:val="0"/>
        <w:snapToGrid w:val="0"/>
        <w:spacing w:beforeLines="50" w:line="360" w:lineRule="auto"/>
        <w:ind w:firstLine="420" w:firstLineChars="200"/>
        <w:jc w:val="left"/>
        <w:rPr>
          <w:rFonts w:ascii="宋体" w:hAnsi="宋体" w:cs="宋体"/>
          <w:b/>
          <w:color w:val="auto"/>
          <w:sz w:val="32"/>
          <w:szCs w:val="32"/>
          <w:highlight w:val="none"/>
        </w:rPr>
      </w:pPr>
      <w:r>
        <w:rPr>
          <w:rFonts w:hint="eastAsia" w:ascii="宋体" w:hAnsi="宋体" w:cs="宋体"/>
          <w:color w:val="auto"/>
          <w:szCs w:val="21"/>
          <w:highlight w:val="none"/>
        </w:rPr>
        <w:t>11.2有违法违规行为的原评标委员会成员不得参加重新组建的评标委员会。</w:t>
      </w:r>
      <w:r>
        <w:rPr>
          <w:rFonts w:hint="eastAsia" w:ascii="宋体" w:hAnsi="宋体" w:cs="宋体"/>
          <w:b/>
          <w:color w:val="auto"/>
          <w:sz w:val="32"/>
          <w:szCs w:val="32"/>
          <w:highlight w:val="none"/>
        </w:rPr>
        <w:br w:type="page"/>
      </w:r>
    </w:p>
    <w:p w14:paraId="2DFD19BC">
      <w:pPr>
        <w:pStyle w:val="5"/>
        <w:adjustRightInd w:val="0"/>
        <w:snapToGrid w:val="0"/>
        <w:jc w:val="center"/>
        <w:rPr>
          <w:rFonts w:ascii="宋体" w:hAnsi="宋体" w:cs="宋体"/>
          <w:color w:val="auto"/>
          <w:sz w:val="28"/>
          <w:szCs w:val="28"/>
          <w:highlight w:val="none"/>
        </w:rPr>
      </w:pPr>
      <w:bookmarkStart w:id="65" w:name="_Toc6699"/>
      <w:r>
        <w:rPr>
          <w:rFonts w:hint="eastAsia" w:ascii="宋体" w:hAnsi="宋体" w:cs="宋体"/>
          <w:color w:val="auto"/>
          <w:sz w:val="28"/>
          <w:szCs w:val="28"/>
          <w:highlight w:val="none"/>
        </w:rPr>
        <w:t>第三节 投标文件的符合性审查</w:t>
      </w:r>
      <w:bookmarkEnd w:id="65"/>
    </w:p>
    <w:p w14:paraId="623B1446">
      <w:pPr>
        <w:adjustRightInd w:val="0"/>
        <w:snapToGrid w:val="0"/>
        <w:spacing w:beforeLines="50" w:line="360" w:lineRule="auto"/>
        <w:rPr>
          <w:rFonts w:ascii="宋体" w:hAnsi="宋体" w:cs="宋体"/>
          <w:b/>
          <w:color w:val="auto"/>
          <w:sz w:val="24"/>
          <w:highlight w:val="none"/>
        </w:rPr>
      </w:pPr>
      <w:r>
        <w:rPr>
          <w:rFonts w:hint="eastAsia" w:ascii="宋体" w:hAnsi="宋体" w:cs="宋体"/>
          <w:b/>
          <w:color w:val="auto"/>
          <w:sz w:val="24"/>
          <w:highlight w:val="none"/>
        </w:rPr>
        <w:t>1.符合性审查</w:t>
      </w:r>
    </w:p>
    <w:p w14:paraId="49A52A11">
      <w:pPr>
        <w:adjustRightInd w:val="0"/>
        <w:snapToGrid w:val="0"/>
        <w:spacing w:beforeLines="50" w:line="360" w:lineRule="auto"/>
        <w:ind w:firstLine="420" w:firstLineChars="200"/>
        <w:rPr>
          <w:rFonts w:ascii="宋体" w:hAnsi="宋体" w:cs="宋体"/>
          <w:color w:val="auto"/>
          <w:highlight w:val="none"/>
        </w:rPr>
      </w:pPr>
      <w:r>
        <w:rPr>
          <w:rFonts w:hint="eastAsia" w:ascii="宋体" w:hAnsi="宋体" w:cs="宋体"/>
          <w:color w:val="auto"/>
          <w:highlight w:val="none"/>
        </w:rPr>
        <w:t>1.1</w:t>
      </w:r>
      <w:r>
        <w:rPr>
          <w:rFonts w:hint="eastAsia" w:ascii="宋体" w:hAnsi="宋体" w:cs="宋体"/>
          <w:color w:val="auto"/>
          <w:szCs w:val="21"/>
          <w:highlight w:val="none"/>
        </w:rPr>
        <w:t>评标委员会应按本章本节附表1“符合性审查表”所列审查项目及审查标准，</w:t>
      </w:r>
      <w:r>
        <w:rPr>
          <w:rFonts w:hint="eastAsia" w:ascii="宋体" w:hAnsi="宋体" w:cs="宋体"/>
          <w:color w:val="auto"/>
          <w:highlight w:val="none"/>
        </w:rPr>
        <w:t>对符合资格条件的投标人的投标文件进行符合性审查，以确定其是否满足招标文件的实质性要求。</w:t>
      </w:r>
    </w:p>
    <w:p w14:paraId="21B34F6D">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依据招标文件的规定，从投标文件的有效性、完整性和对招标文件的响应程度进行审查，以确定是否对招标文件的实质性要求作出响应。评标委员会判断投标文件的响应性只根据投标文件的内容，而不依据外部的证据。</w:t>
      </w:r>
    </w:p>
    <w:p w14:paraId="10048C1C">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（2）投标人不得通过修正或撤销不合要求的偏离从而使其投标成为实质上响应的投标。</w:t>
      </w:r>
    </w:p>
    <w:p w14:paraId="676BC07D">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kern w:val="0"/>
          <w:szCs w:val="21"/>
          <w:highlight w:val="none"/>
        </w:rPr>
        <w:t>1.2</w:t>
      </w:r>
      <w:r>
        <w:rPr>
          <w:rFonts w:hint="eastAsia" w:ascii="宋体" w:hAnsi="宋体" w:cs="宋体"/>
          <w:color w:val="auto"/>
          <w:highlight w:val="none"/>
        </w:rPr>
        <w:t>未通过符合性审查的投标人，其投标将被认定为投标无效，不能进入下一阶段评审。通过符合性审查的投标人数量不足 3 家的，不得作进一步的比较和评价。</w:t>
      </w:r>
    </w:p>
    <w:p w14:paraId="0681BBAA">
      <w:pPr>
        <w:adjustRightInd w:val="0"/>
        <w:snapToGrid w:val="0"/>
        <w:spacing w:beforeLines="50" w:line="360" w:lineRule="auto"/>
        <w:jc w:val="left"/>
        <w:rPr>
          <w:rFonts w:ascii="宋体" w:hAnsi="宋体" w:cs="宋体"/>
          <w:b/>
          <w:color w:val="auto"/>
          <w:sz w:val="24"/>
          <w:highlight w:val="none"/>
        </w:rPr>
      </w:pPr>
      <w:r>
        <w:rPr>
          <w:rFonts w:hint="eastAsia" w:ascii="宋体" w:hAnsi="宋体" w:cs="宋体"/>
          <w:b/>
          <w:color w:val="auto"/>
          <w:sz w:val="24"/>
          <w:highlight w:val="none"/>
        </w:rPr>
        <w:t>2.投标无效</w:t>
      </w:r>
    </w:p>
    <w:p w14:paraId="0823B4BA">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2.1投标人存在下列情况之一的，符合性审查不合格，</w:t>
      </w:r>
      <w:r>
        <w:rPr>
          <w:rFonts w:hint="eastAsia" w:ascii="宋体" w:hAnsi="宋体" w:cs="宋体"/>
          <w:b/>
          <w:bCs/>
          <w:color w:val="auto"/>
          <w:szCs w:val="21"/>
          <w:highlight w:val="none"/>
        </w:rPr>
        <w:t>投标无效</w:t>
      </w:r>
      <w:r>
        <w:rPr>
          <w:rFonts w:hint="eastAsia" w:ascii="宋体" w:hAnsi="宋体" w:cs="宋体"/>
          <w:color w:val="auto"/>
          <w:szCs w:val="21"/>
          <w:highlight w:val="none"/>
        </w:rPr>
        <w:t>：</w:t>
      </w:r>
    </w:p>
    <w:p w14:paraId="19433168">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（1）投标文件中商务技术文件未按照招标文件规定要求签署、盖章的；</w:t>
      </w:r>
    </w:p>
    <w:p w14:paraId="6C4FEA4A">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（2）投标文件没有对招标文件的实质性要求和条件作出响应，或者对招标文件的偏离超出招标文件规定的偏离</w:t>
      </w:r>
      <w:r>
        <w:rPr>
          <w:rFonts w:hint="eastAsia" w:ascii="宋体" w:hAnsi="宋体" w:cs="宋体"/>
          <w:color w:val="auto"/>
          <w:highlight w:val="none"/>
        </w:rPr>
        <w:t>范围和幅度</w:t>
      </w:r>
      <w:r>
        <w:rPr>
          <w:rFonts w:hint="eastAsia" w:ascii="宋体" w:hAnsi="宋体" w:cs="宋体"/>
          <w:color w:val="auto"/>
          <w:szCs w:val="21"/>
          <w:highlight w:val="none"/>
        </w:rPr>
        <w:t>；</w:t>
      </w:r>
    </w:p>
    <w:p w14:paraId="64DCCBD0">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（3）投标有效期不足的；</w:t>
      </w:r>
    </w:p>
    <w:p w14:paraId="4D85BDC0">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（4）投标文件含有采购人不能接受的附加条件的；</w:t>
      </w:r>
    </w:p>
    <w:p w14:paraId="0992D4BA">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（5）不符合本节第1.1款规定符合性审查标准的；</w:t>
      </w:r>
    </w:p>
    <w:p w14:paraId="250BD6EC">
      <w:pPr>
        <w:adjustRightInd w:val="0"/>
        <w:snapToGrid w:val="0"/>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（6）法律、法规和招标文件规定的其他投标无效情形的。</w:t>
      </w:r>
    </w:p>
    <w:p w14:paraId="43C7B111">
      <w:pPr>
        <w:adjustRightInd w:val="0"/>
        <w:snapToGrid w:val="0"/>
        <w:spacing w:beforeLines="50"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2.2在评标过程中发现投标人有不遵循公平竞争的原则，恶意串通，妨碍其他投标人的竞争行为，损害采购人或者其他投标人的合法权益的，评标委员会应当认定其</w:t>
      </w:r>
      <w:r>
        <w:rPr>
          <w:rFonts w:hint="eastAsia" w:ascii="宋体" w:hAnsi="宋体" w:cs="宋体"/>
          <w:b/>
          <w:color w:val="auto"/>
          <w:kern w:val="0"/>
          <w:szCs w:val="21"/>
          <w:highlight w:val="none"/>
        </w:rPr>
        <w:t>投标无效</w:t>
      </w:r>
      <w:r>
        <w:rPr>
          <w:rFonts w:hint="eastAsia" w:ascii="宋体" w:hAnsi="宋体" w:cs="宋体"/>
          <w:color w:val="auto"/>
          <w:kern w:val="0"/>
          <w:szCs w:val="21"/>
          <w:highlight w:val="none"/>
        </w:rPr>
        <w:t>，并书面报告本级财政部门。</w:t>
      </w:r>
    </w:p>
    <w:p w14:paraId="6CF1D4DB">
      <w:pPr>
        <w:rPr>
          <w:rFonts w:ascii="宋体" w:hAnsi="宋体" w:cs="宋体"/>
          <w:color w:val="auto"/>
          <w:highlight w:val="none"/>
        </w:rPr>
      </w:pPr>
    </w:p>
    <w:p w14:paraId="4FCCBED0">
      <w:pPr>
        <w:rPr>
          <w:rFonts w:ascii="宋体" w:hAnsi="宋体" w:cs="宋体"/>
          <w:color w:val="auto"/>
          <w:highlight w:val="none"/>
        </w:rPr>
      </w:pPr>
    </w:p>
    <w:p w14:paraId="554F0143">
      <w:pPr>
        <w:widowControl/>
        <w:jc w:val="left"/>
        <w:rPr>
          <w:rFonts w:ascii="宋体" w:hAnsi="宋体" w:cs="宋体"/>
          <w:b/>
          <w:color w:val="auto"/>
          <w:szCs w:val="21"/>
          <w:highlight w:val="none"/>
        </w:rPr>
      </w:pPr>
      <w:r>
        <w:rPr>
          <w:rFonts w:hint="eastAsia" w:ascii="宋体" w:hAnsi="宋体" w:cs="宋体"/>
          <w:b/>
          <w:color w:val="auto"/>
          <w:szCs w:val="21"/>
          <w:highlight w:val="none"/>
        </w:rPr>
        <w:br w:type="page"/>
      </w:r>
    </w:p>
    <w:p w14:paraId="58368BF9">
      <w:pPr>
        <w:pStyle w:val="6"/>
        <w:adjustRightInd w:val="0"/>
        <w:snapToGrid w:val="0"/>
        <w:spacing w:beforeLines="50" w:after="0" w:line="360" w:lineRule="auto"/>
        <w:rPr>
          <w:rFonts w:ascii="宋体" w:hAnsi="宋体" w:cs="宋体"/>
          <w:color w:val="auto"/>
          <w:sz w:val="21"/>
          <w:szCs w:val="21"/>
          <w:highlight w:val="none"/>
        </w:rPr>
      </w:pPr>
      <w:bookmarkStart w:id="66" w:name="_Toc11705"/>
      <w:r>
        <w:rPr>
          <w:rFonts w:hint="eastAsia" w:ascii="宋体" w:hAnsi="宋体" w:cs="宋体"/>
          <w:color w:val="auto"/>
          <w:sz w:val="21"/>
          <w:szCs w:val="21"/>
          <w:highlight w:val="none"/>
        </w:rPr>
        <w:t>附表1 符合性审查表</w:t>
      </w:r>
      <w:bookmarkEnd w:id="66"/>
    </w:p>
    <w:p w14:paraId="598281CE">
      <w:pPr>
        <w:adjustRightInd w:val="0"/>
        <w:snapToGrid w:val="0"/>
        <w:spacing w:beforeLines="50"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符合性审查表</w:t>
      </w:r>
    </w:p>
    <w:p w14:paraId="35ACD263">
      <w:pPr>
        <w:adjustRightInd w:val="0"/>
        <w:snapToGrid w:val="0"/>
        <w:spacing w:beforeLines="50" w:line="360" w:lineRule="auto"/>
        <w:rPr>
          <w:rFonts w:ascii="宋体" w:hAnsi="宋体" w:cs="宋体"/>
          <w:color w:val="auto"/>
          <w:szCs w:val="21"/>
          <w:highlight w:val="none"/>
        </w:rPr>
      </w:pPr>
      <w:r>
        <w:rPr>
          <w:rFonts w:hint="eastAsia" w:ascii="宋体" w:hAnsi="宋体" w:cs="宋体"/>
          <w:color w:val="auto"/>
          <w:szCs w:val="21"/>
          <w:highlight w:val="none"/>
        </w:rPr>
        <w:t xml:space="preserve">项目名称：                                           采购代理编号： </w:t>
      </w:r>
    </w:p>
    <w:tbl>
      <w:tblPr>
        <w:tblStyle w:val="46"/>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686"/>
        <w:gridCol w:w="5691"/>
      </w:tblGrid>
      <w:tr w14:paraId="1770AB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83" w:type="dxa"/>
            <w:tcBorders>
              <w:tl2br w:val="nil"/>
              <w:tr2bl w:val="nil"/>
            </w:tcBorders>
            <w:vAlign w:val="center"/>
          </w:tcPr>
          <w:p w14:paraId="5CF59C9F">
            <w:pPr>
              <w:adjustRightInd w:val="0"/>
              <w:snapToGrid w:val="0"/>
              <w:spacing w:beforeLines="50"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686" w:type="dxa"/>
            <w:tcBorders>
              <w:tl2br w:val="nil"/>
              <w:tr2bl w:val="nil"/>
            </w:tcBorders>
            <w:vAlign w:val="center"/>
          </w:tcPr>
          <w:p w14:paraId="3ABD7AAE">
            <w:pPr>
              <w:adjustRightInd w:val="0"/>
              <w:snapToGrid w:val="0"/>
              <w:spacing w:beforeLines="50"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审查项目</w:t>
            </w:r>
          </w:p>
        </w:tc>
        <w:tc>
          <w:tcPr>
            <w:tcW w:w="5691" w:type="dxa"/>
            <w:tcBorders>
              <w:tl2br w:val="nil"/>
              <w:tr2bl w:val="nil"/>
            </w:tcBorders>
            <w:vAlign w:val="center"/>
          </w:tcPr>
          <w:p w14:paraId="2011D178">
            <w:pPr>
              <w:adjustRightInd w:val="0"/>
              <w:snapToGrid w:val="0"/>
              <w:spacing w:beforeLines="50"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审查标准</w:t>
            </w:r>
          </w:p>
        </w:tc>
      </w:tr>
      <w:tr w14:paraId="044152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3" w:type="dxa"/>
            <w:tcBorders>
              <w:tl2br w:val="nil"/>
              <w:tr2bl w:val="nil"/>
            </w:tcBorders>
            <w:vAlign w:val="center"/>
          </w:tcPr>
          <w:p w14:paraId="4D851A22">
            <w:pPr>
              <w:adjustRightInd w:val="0"/>
              <w:snapToGrid w:val="0"/>
              <w:spacing w:beforeLines="50"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686" w:type="dxa"/>
            <w:tcBorders>
              <w:tl2br w:val="nil"/>
              <w:tr2bl w:val="nil"/>
            </w:tcBorders>
            <w:vAlign w:val="center"/>
          </w:tcPr>
          <w:p w14:paraId="4B9CFCA5">
            <w:pPr>
              <w:spacing w:line="360" w:lineRule="auto"/>
              <w:rPr>
                <w:rFonts w:ascii="宋体" w:hAnsi="宋体" w:cs="宋体"/>
                <w:color w:val="auto"/>
                <w:kern w:val="0"/>
                <w:szCs w:val="21"/>
                <w:highlight w:val="none"/>
              </w:rPr>
            </w:pPr>
            <w:r>
              <w:rPr>
                <w:rFonts w:hint="eastAsia" w:ascii="宋体" w:hAnsi="宋体" w:cs="宋体"/>
                <w:color w:val="auto"/>
                <w:highlight w:val="none"/>
              </w:rPr>
              <w:t>投标文件的签署、盖章</w:t>
            </w:r>
          </w:p>
        </w:tc>
        <w:tc>
          <w:tcPr>
            <w:tcW w:w="5691" w:type="dxa"/>
            <w:tcBorders>
              <w:tl2br w:val="nil"/>
              <w:tr2bl w:val="nil"/>
            </w:tcBorders>
            <w:vAlign w:val="center"/>
          </w:tcPr>
          <w:p w14:paraId="56EEAEC4">
            <w:pPr>
              <w:spacing w:line="360" w:lineRule="auto"/>
              <w:rPr>
                <w:rFonts w:ascii="宋体" w:hAnsi="宋体" w:cs="宋体"/>
                <w:color w:val="auto"/>
                <w:kern w:val="0"/>
                <w:szCs w:val="21"/>
                <w:highlight w:val="none"/>
              </w:rPr>
            </w:pPr>
            <w:r>
              <w:rPr>
                <w:rFonts w:hint="eastAsia" w:ascii="宋体" w:hAnsi="宋体" w:cs="宋体"/>
                <w:color w:val="auto"/>
                <w:highlight w:val="none"/>
              </w:rPr>
              <w:t>投标文件中商务技术文件未按照招标文件规定要求签署、盖 章的，其符合性审查不合格。</w:t>
            </w:r>
          </w:p>
        </w:tc>
      </w:tr>
      <w:tr w14:paraId="54AB59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3" w:type="dxa"/>
            <w:tcBorders>
              <w:tl2br w:val="nil"/>
              <w:tr2bl w:val="nil"/>
            </w:tcBorders>
            <w:vAlign w:val="center"/>
          </w:tcPr>
          <w:p w14:paraId="733BE7A5">
            <w:pPr>
              <w:adjustRightInd w:val="0"/>
              <w:snapToGrid w:val="0"/>
              <w:spacing w:beforeLines="50"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686" w:type="dxa"/>
            <w:tcBorders>
              <w:tl2br w:val="nil"/>
              <w:tr2bl w:val="nil"/>
            </w:tcBorders>
            <w:vAlign w:val="center"/>
          </w:tcPr>
          <w:p w14:paraId="768BD29C">
            <w:pPr>
              <w:spacing w:line="360" w:lineRule="auto"/>
              <w:rPr>
                <w:rFonts w:ascii="宋体" w:hAnsi="宋体" w:cs="宋体"/>
                <w:color w:val="auto"/>
                <w:kern w:val="0"/>
                <w:szCs w:val="21"/>
                <w:highlight w:val="none"/>
              </w:rPr>
            </w:pPr>
            <w:r>
              <w:rPr>
                <w:rFonts w:hint="eastAsia" w:ascii="宋体" w:hAnsi="宋体" w:cs="宋体"/>
                <w:color w:val="auto"/>
                <w:highlight w:val="none"/>
              </w:rPr>
              <w:t>对招标文件条款的响应</w:t>
            </w:r>
          </w:p>
        </w:tc>
        <w:tc>
          <w:tcPr>
            <w:tcW w:w="5691" w:type="dxa"/>
            <w:tcBorders>
              <w:tl2br w:val="nil"/>
              <w:tr2bl w:val="nil"/>
            </w:tcBorders>
            <w:vAlign w:val="center"/>
          </w:tcPr>
          <w:p w14:paraId="53F20353">
            <w:pPr>
              <w:spacing w:line="360" w:lineRule="auto"/>
              <w:rPr>
                <w:rFonts w:ascii="宋体" w:hAnsi="宋体" w:cs="宋体"/>
                <w:color w:val="auto"/>
                <w:kern w:val="0"/>
                <w:szCs w:val="21"/>
                <w:highlight w:val="none"/>
              </w:rPr>
            </w:pPr>
            <w:r>
              <w:rPr>
                <w:rFonts w:hint="eastAsia" w:ascii="宋体" w:hAnsi="宋体" w:cs="宋体"/>
                <w:color w:val="auto"/>
                <w:highlight w:val="none"/>
              </w:rPr>
              <w:t>投标文件没有对招标文件的实质性要求和条件作出响应，或 者对招标文件的偏离超出招标文件规定的偏离范围和幅度的，其符合性审查不合格。</w:t>
            </w:r>
          </w:p>
        </w:tc>
      </w:tr>
      <w:tr w14:paraId="74BA25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3" w:type="dxa"/>
            <w:tcBorders>
              <w:tl2br w:val="nil"/>
              <w:tr2bl w:val="nil"/>
            </w:tcBorders>
            <w:vAlign w:val="center"/>
          </w:tcPr>
          <w:p w14:paraId="44CB672D">
            <w:pPr>
              <w:adjustRightInd w:val="0"/>
              <w:snapToGrid w:val="0"/>
              <w:spacing w:beforeLines="50"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686" w:type="dxa"/>
            <w:tcBorders>
              <w:tl2br w:val="nil"/>
              <w:tr2bl w:val="nil"/>
            </w:tcBorders>
            <w:vAlign w:val="center"/>
          </w:tcPr>
          <w:p w14:paraId="426ED2CA">
            <w:pPr>
              <w:spacing w:line="360" w:lineRule="auto"/>
              <w:rPr>
                <w:rFonts w:ascii="宋体" w:hAnsi="宋体" w:cs="宋体"/>
                <w:color w:val="auto"/>
                <w:kern w:val="0"/>
                <w:szCs w:val="21"/>
                <w:highlight w:val="none"/>
              </w:rPr>
            </w:pPr>
            <w:r>
              <w:rPr>
                <w:rFonts w:hint="eastAsia" w:ascii="宋体" w:hAnsi="宋体" w:cs="宋体"/>
                <w:color w:val="auto"/>
                <w:highlight w:val="none"/>
              </w:rPr>
              <w:t>投标有效期</w:t>
            </w:r>
          </w:p>
        </w:tc>
        <w:tc>
          <w:tcPr>
            <w:tcW w:w="5691" w:type="dxa"/>
            <w:tcBorders>
              <w:tl2br w:val="nil"/>
              <w:tr2bl w:val="nil"/>
            </w:tcBorders>
            <w:vAlign w:val="center"/>
          </w:tcPr>
          <w:p w14:paraId="23468BCC">
            <w:pPr>
              <w:spacing w:line="360" w:lineRule="auto"/>
              <w:rPr>
                <w:rFonts w:ascii="宋体" w:hAnsi="宋体" w:cs="宋体"/>
                <w:color w:val="auto"/>
                <w:kern w:val="0"/>
                <w:szCs w:val="21"/>
                <w:highlight w:val="none"/>
              </w:rPr>
            </w:pPr>
            <w:r>
              <w:rPr>
                <w:rFonts w:hint="eastAsia" w:ascii="宋体" w:hAnsi="宋体" w:cs="宋体"/>
                <w:color w:val="auto"/>
                <w:highlight w:val="none"/>
              </w:rPr>
              <w:t>投标有效期不足的，其符合性审查不合格。</w:t>
            </w:r>
          </w:p>
        </w:tc>
      </w:tr>
      <w:tr w14:paraId="08951A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3" w:type="dxa"/>
            <w:tcBorders>
              <w:tl2br w:val="nil"/>
              <w:tr2bl w:val="nil"/>
            </w:tcBorders>
            <w:vAlign w:val="center"/>
          </w:tcPr>
          <w:p w14:paraId="176FE68D">
            <w:pPr>
              <w:adjustRightInd w:val="0"/>
              <w:snapToGrid w:val="0"/>
              <w:spacing w:beforeLines="50"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686" w:type="dxa"/>
            <w:tcBorders>
              <w:tl2br w:val="nil"/>
              <w:tr2bl w:val="nil"/>
            </w:tcBorders>
            <w:vAlign w:val="center"/>
          </w:tcPr>
          <w:p w14:paraId="66622FCD">
            <w:pPr>
              <w:spacing w:line="360" w:lineRule="auto"/>
              <w:rPr>
                <w:rFonts w:ascii="宋体" w:hAnsi="宋体" w:cs="宋体"/>
                <w:color w:val="auto"/>
                <w:kern w:val="0"/>
                <w:szCs w:val="21"/>
                <w:highlight w:val="none"/>
              </w:rPr>
            </w:pPr>
            <w:r>
              <w:rPr>
                <w:rFonts w:hint="eastAsia" w:ascii="宋体" w:hAnsi="宋体" w:cs="宋体"/>
                <w:color w:val="auto"/>
                <w:highlight w:val="none"/>
              </w:rPr>
              <w:t>附加条件</w:t>
            </w:r>
          </w:p>
        </w:tc>
        <w:tc>
          <w:tcPr>
            <w:tcW w:w="5691" w:type="dxa"/>
            <w:tcBorders>
              <w:tl2br w:val="nil"/>
              <w:tr2bl w:val="nil"/>
            </w:tcBorders>
            <w:vAlign w:val="center"/>
          </w:tcPr>
          <w:p w14:paraId="6E218E9D">
            <w:pPr>
              <w:spacing w:line="360" w:lineRule="auto"/>
              <w:rPr>
                <w:rFonts w:ascii="宋体" w:hAnsi="宋体" w:cs="宋体"/>
                <w:color w:val="auto"/>
                <w:kern w:val="0"/>
                <w:szCs w:val="21"/>
                <w:highlight w:val="none"/>
              </w:rPr>
            </w:pPr>
            <w:r>
              <w:rPr>
                <w:rFonts w:hint="eastAsia" w:ascii="宋体" w:hAnsi="宋体" w:cs="宋体"/>
                <w:color w:val="auto"/>
                <w:highlight w:val="none"/>
              </w:rPr>
              <w:t>投标文件含有采购人不能接受的附加条件的，其符合性审查 不合格。</w:t>
            </w:r>
          </w:p>
        </w:tc>
      </w:tr>
      <w:tr w14:paraId="75E62A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3" w:type="dxa"/>
            <w:tcBorders>
              <w:tl2br w:val="nil"/>
              <w:tr2bl w:val="nil"/>
            </w:tcBorders>
            <w:vAlign w:val="center"/>
          </w:tcPr>
          <w:p w14:paraId="7B081511">
            <w:pPr>
              <w:adjustRightInd w:val="0"/>
              <w:snapToGrid w:val="0"/>
              <w:spacing w:beforeLines="50"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686" w:type="dxa"/>
            <w:tcBorders>
              <w:tl2br w:val="nil"/>
              <w:tr2bl w:val="nil"/>
            </w:tcBorders>
            <w:vAlign w:val="center"/>
          </w:tcPr>
          <w:p w14:paraId="7DCD5FC8">
            <w:pPr>
              <w:spacing w:line="360" w:lineRule="auto"/>
              <w:rPr>
                <w:rFonts w:ascii="宋体" w:hAnsi="宋体" w:cs="宋体"/>
                <w:color w:val="auto"/>
                <w:kern w:val="0"/>
                <w:szCs w:val="21"/>
                <w:highlight w:val="none"/>
              </w:rPr>
            </w:pPr>
            <w:r>
              <w:rPr>
                <w:rFonts w:hint="eastAsia" w:ascii="宋体" w:hAnsi="宋体" w:cs="宋体"/>
                <w:color w:val="auto"/>
                <w:highlight w:val="none"/>
              </w:rPr>
              <w:t>其他情形</w:t>
            </w:r>
          </w:p>
        </w:tc>
        <w:tc>
          <w:tcPr>
            <w:tcW w:w="5691" w:type="dxa"/>
            <w:tcBorders>
              <w:tl2br w:val="nil"/>
              <w:tr2bl w:val="nil"/>
            </w:tcBorders>
            <w:vAlign w:val="center"/>
          </w:tcPr>
          <w:p w14:paraId="4C334657">
            <w:pPr>
              <w:spacing w:line="360" w:lineRule="auto"/>
              <w:rPr>
                <w:rFonts w:ascii="宋体" w:hAnsi="宋体" w:cs="宋体"/>
                <w:color w:val="auto"/>
                <w:kern w:val="0"/>
                <w:szCs w:val="21"/>
                <w:highlight w:val="none"/>
              </w:rPr>
            </w:pPr>
            <w:r>
              <w:rPr>
                <w:rFonts w:hint="eastAsia" w:ascii="宋体" w:hAnsi="宋体" w:cs="宋体"/>
                <w:color w:val="auto"/>
                <w:highlight w:val="none"/>
              </w:rPr>
              <w:t>存在不符合本章第三节第 1.1 款规定符合性审查标准的，或者法律、法规和招标文件规定的其他投标无效情形的，其符 合性审查不合格。</w:t>
            </w:r>
          </w:p>
        </w:tc>
      </w:tr>
      <w:tr w14:paraId="0ED306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3" w:type="dxa"/>
            <w:tcBorders>
              <w:tl2br w:val="nil"/>
              <w:tr2bl w:val="nil"/>
            </w:tcBorders>
            <w:vAlign w:val="center"/>
          </w:tcPr>
          <w:p w14:paraId="171F9CF2">
            <w:pPr>
              <w:adjustRightInd w:val="0"/>
              <w:snapToGrid w:val="0"/>
              <w:spacing w:beforeLines="50" w:line="360" w:lineRule="auto"/>
              <w:jc w:val="center"/>
              <w:rPr>
                <w:rFonts w:ascii="宋体" w:hAnsi="宋体" w:cs="宋体"/>
                <w:color w:val="auto"/>
                <w:kern w:val="0"/>
                <w:sz w:val="20"/>
                <w:szCs w:val="21"/>
                <w:highlight w:val="none"/>
              </w:rPr>
            </w:pPr>
            <w:r>
              <w:rPr>
                <w:rFonts w:hint="eastAsia" w:ascii="宋体" w:hAnsi="宋体" w:cs="宋体"/>
                <w:color w:val="auto"/>
                <w:kern w:val="0"/>
                <w:sz w:val="20"/>
                <w:szCs w:val="21"/>
                <w:highlight w:val="none"/>
              </w:rPr>
              <w:t>结论</w:t>
            </w:r>
          </w:p>
        </w:tc>
        <w:tc>
          <w:tcPr>
            <w:tcW w:w="8377" w:type="dxa"/>
            <w:gridSpan w:val="2"/>
            <w:tcBorders>
              <w:tl2br w:val="nil"/>
              <w:tr2bl w:val="nil"/>
            </w:tcBorders>
            <w:vAlign w:val="center"/>
          </w:tcPr>
          <w:p w14:paraId="61DE09CE">
            <w:pPr>
              <w:adjustRightInd w:val="0"/>
              <w:snapToGrid w:val="0"/>
              <w:spacing w:beforeLines="50" w:line="360" w:lineRule="auto"/>
              <w:jc w:val="center"/>
              <w:rPr>
                <w:rFonts w:ascii="宋体" w:hAnsi="宋体" w:cs="宋体"/>
                <w:color w:val="auto"/>
                <w:kern w:val="0"/>
                <w:sz w:val="20"/>
                <w:szCs w:val="21"/>
                <w:highlight w:val="none"/>
              </w:rPr>
            </w:pPr>
          </w:p>
        </w:tc>
      </w:tr>
    </w:tbl>
    <w:p w14:paraId="149F282F">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3D5B5E07">
      <w:pPr>
        <w:widowControl/>
        <w:jc w:val="left"/>
        <w:rPr>
          <w:rFonts w:ascii="宋体" w:hAnsi="宋体" w:cs="宋体"/>
          <w:color w:val="auto"/>
          <w:szCs w:val="21"/>
          <w:highlight w:val="none"/>
        </w:rPr>
      </w:pPr>
      <w:r>
        <w:rPr>
          <w:rFonts w:hint="eastAsia" w:ascii="宋体" w:hAnsi="宋体" w:cs="宋体"/>
          <w:color w:val="auto"/>
          <w:szCs w:val="21"/>
          <w:highlight w:val="none"/>
        </w:rPr>
        <w:br w:type="page"/>
      </w:r>
    </w:p>
    <w:p w14:paraId="2538C04E">
      <w:pPr>
        <w:pStyle w:val="6"/>
        <w:rPr>
          <w:rFonts w:ascii="宋体" w:hAnsi="宋体" w:cs="宋体"/>
          <w:color w:val="auto"/>
          <w:sz w:val="21"/>
          <w:szCs w:val="21"/>
          <w:highlight w:val="none"/>
        </w:rPr>
      </w:pPr>
      <w:bookmarkStart w:id="67" w:name="_Toc8258"/>
      <w:r>
        <w:rPr>
          <w:rFonts w:hint="eastAsia" w:ascii="宋体" w:hAnsi="宋体" w:cs="宋体"/>
          <w:color w:val="auto"/>
          <w:sz w:val="21"/>
          <w:szCs w:val="21"/>
          <w:highlight w:val="none"/>
        </w:rPr>
        <w:t>附表1 符合性审查结果一览表</w:t>
      </w:r>
      <w:bookmarkEnd w:id="67"/>
    </w:p>
    <w:p w14:paraId="2B249843">
      <w:pPr>
        <w:adjustRightInd w:val="0"/>
        <w:snapToGrid w:val="0"/>
        <w:spacing w:beforeLines="50"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符合性审查结果一览表</w:t>
      </w:r>
    </w:p>
    <w:p w14:paraId="478F601C">
      <w:pPr>
        <w:adjustRightInd w:val="0"/>
        <w:snapToGrid w:val="0"/>
        <w:spacing w:beforeLines="50" w:line="360" w:lineRule="auto"/>
        <w:rPr>
          <w:rFonts w:ascii="宋体" w:hAnsi="宋体" w:cs="宋体"/>
          <w:color w:val="auto"/>
          <w:szCs w:val="21"/>
          <w:highlight w:val="none"/>
        </w:rPr>
      </w:pPr>
      <w:r>
        <w:rPr>
          <w:rFonts w:hint="eastAsia" w:ascii="宋体" w:hAnsi="宋体" w:cs="宋体"/>
          <w:color w:val="auto"/>
          <w:szCs w:val="21"/>
          <w:highlight w:val="none"/>
        </w:rPr>
        <w:t>项目名称：                                           采购代理编号：</w:t>
      </w:r>
    </w:p>
    <w:tbl>
      <w:tblPr>
        <w:tblStyle w:val="46"/>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963"/>
        <w:gridCol w:w="2439"/>
        <w:gridCol w:w="2961"/>
      </w:tblGrid>
      <w:tr w14:paraId="4B3250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7" w:type="dxa"/>
            <w:tcBorders>
              <w:tl2br w:val="nil"/>
              <w:tr2bl w:val="nil"/>
            </w:tcBorders>
            <w:vAlign w:val="center"/>
          </w:tcPr>
          <w:p w14:paraId="7BFC8FF1">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963" w:type="dxa"/>
            <w:tcBorders>
              <w:tl2br w:val="nil"/>
              <w:tr2bl w:val="nil"/>
            </w:tcBorders>
            <w:vAlign w:val="center"/>
          </w:tcPr>
          <w:p w14:paraId="0ADF6250">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投标人名称</w:t>
            </w:r>
          </w:p>
        </w:tc>
        <w:tc>
          <w:tcPr>
            <w:tcW w:w="2439" w:type="dxa"/>
            <w:tcBorders>
              <w:tl2br w:val="nil"/>
              <w:tr2bl w:val="nil"/>
            </w:tcBorders>
            <w:vAlign w:val="center"/>
          </w:tcPr>
          <w:p w14:paraId="53A0FA8C">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符合性审查结果</w:t>
            </w:r>
          </w:p>
          <w:p w14:paraId="7FE0F63E">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（合格/不合格）</w:t>
            </w:r>
          </w:p>
        </w:tc>
        <w:tc>
          <w:tcPr>
            <w:tcW w:w="2961" w:type="dxa"/>
            <w:tcBorders>
              <w:tl2br w:val="nil"/>
              <w:tr2bl w:val="nil"/>
            </w:tcBorders>
            <w:vAlign w:val="center"/>
          </w:tcPr>
          <w:p w14:paraId="561EAF86">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符合性审查不合格原因</w:t>
            </w:r>
          </w:p>
        </w:tc>
      </w:tr>
      <w:tr w14:paraId="318C9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7" w:type="dxa"/>
            <w:tcBorders>
              <w:tl2br w:val="nil"/>
              <w:tr2bl w:val="nil"/>
            </w:tcBorders>
          </w:tcPr>
          <w:p w14:paraId="7802024B">
            <w:pPr>
              <w:adjustRightInd w:val="0"/>
              <w:snapToGrid w:val="0"/>
              <w:spacing w:line="360" w:lineRule="auto"/>
              <w:rPr>
                <w:rFonts w:ascii="宋体" w:hAnsi="宋体" w:cs="宋体"/>
                <w:color w:val="auto"/>
                <w:kern w:val="0"/>
                <w:sz w:val="24"/>
                <w:highlight w:val="none"/>
              </w:rPr>
            </w:pPr>
          </w:p>
        </w:tc>
        <w:tc>
          <w:tcPr>
            <w:tcW w:w="2963" w:type="dxa"/>
            <w:tcBorders>
              <w:tl2br w:val="nil"/>
              <w:tr2bl w:val="nil"/>
            </w:tcBorders>
          </w:tcPr>
          <w:p w14:paraId="31F7442D">
            <w:pPr>
              <w:adjustRightInd w:val="0"/>
              <w:snapToGrid w:val="0"/>
              <w:spacing w:line="360" w:lineRule="auto"/>
              <w:rPr>
                <w:rFonts w:ascii="宋体" w:hAnsi="宋体" w:cs="宋体"/>
                <w:color w:val="auto"/>
                <w:kern w:val="0"/>
                <w:sz w:val="24"/>
                <w:highlight w:val="none"/>
              </w:rPr>
            </w:pPr>
          </w:p>
        </w:tc>
        <w:tc>
          <w:tcPr>
            <w:tcW w:w="2439" w:type="dxa"/>
            <w:tcBorders>
              <w:tl2br w:val="nil"/>
              <w:tr2bl w:val="nil"/>
            </w:tcBorders>
          </w:tcPr>
          <w:p w14:paraId="482EFB4E">
            <w:pPr>
              <w:adjustRightInd w:val="0"/>
              <w:snapToGrid w:val="0"/>
              <w:spacing w:line="360" w:lineRule="auto"/>
              <w:rPr>
                <w:rFonts w:ascii="宋体" w:hAnsi="宋体" w:cs="宋体"/>
                <w:color w:val="auto"/>
                <w:kern w:val="0"/>
                <w:sz w:val="24"/>
                <w:highlight w:val="none"/>
              </w:rPr>
            </w:pPr>
          </w:p>
        </w:tc>
        <w:tc>
          <w:tcPr>
            <w:tcW w:w="2961" w:type="dxa"/>
            <w:tcBorders>
              <w:tl2br w:val="nil"/>
              <w:tr2bl w:val="nil"/>
            </w:tcBorders>
          </w:tcPr>
          <w:p w14:paraId="09804BDD">
            <w:pPr>
              <w:adjustRightInd w:val="0"/>
              <w:snapToGrid w:val="0"/>
              <w:spacing w:line="360" w:lineRule="auto"/>
              <w:rPr>
                <w:rFonts w:ascii="宋体" w:hAnsi="宋体" w:cs="宋体"/>
                <w:color w:val="auto"/>
                <w:kern w:val="0"/>
                <w:sz w:val="24"/>
                <w:highlight w:val="none"/>
              </w:rPr>
            </w:pPr>
          </w:p>
        </w:tc>
      </w:tr>
      <w:tr w14:paraId="428B54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7" w:type="dxa"/>
            <w:tcBorders>
              <w:tl2br w:val="nil"/>
              <w:tr2bl w:val="nil"/>
            </w:tcBorders>
          </w:tcPr>
          <w:p w14:paraId="6B50F9FE">
            <w:pPr>
              <w:adjustRightInd w:val="0"/>
              <w:snapToGrid w:val="0"/>
              <w:spacing w:line="360" w:lineRule="auto"/>
              <w:rPr>
                <w:rFonts w:ascii="宋体" w:hAnsi="宋体" w:cs="宋体"/>
                <w:color w:val="auto"/>
                <w:kern w:val="0"/>
                <w:sz w:val="24"/>
                <w:highlight w:val="none"/>
              </w:rPr>
            </w:pPr>
          </w:p>
        </w:tc>
        <w:tc>
          <w:tcPr>
            <w:tcW w:w="2963" w:type="dxa"/>
            <w:tcBorders>
              <w:tl2br w:val="nil"/>
              <w:tr2bl w:val="nil"/>
            </w:tcBorders>
          </w:tcPr>
          <w:p w14:paraId="4DEC61BE">
            <w:pPr>
              <w:adjustRightInd w:val="0"/>
              <w:snapToGrid w:val="0"/>
              <w:spacing w:line="360" w:lineRule="auto"/>
              <w:rPr>
                <w:rFonts w:ascii="宋体" w:hAnsi="宋体" w:cs="宋体"/>
                <w:color w:val="auto"/>
                <w:kern w:val="0"/>
                <w:sz w:val="24"/>
                <w:highlight w:val="none"/>
              </w:rPr>
            </w:pPr>
          </w:p>
        </w:tc>
        <w:tc>
          <w:tcPr>
            <w:tcW w:w="2439" w:type="dxa"/>
            <w:tcBorders>
              <w:tl2br w:val="nil"/>
              <w:tr2bl w:val="nil"/>
            </w:tcBorders>
          </w:tcPr>
          <w:p w14:paraId="54D8D40A">
            <w:pPr>
              <w:adjustRightInd w:val="0"/>
              <w:snapToGrid w:val="0"/>
              <w:spacing w:line="360" w:lineRule="auto"/>
              <w:rPr>
                <w:rFonts w:ascii="宋体" w:hAnsi="宋体" w:cs="宋体"/>
                <w:color w:val="auto"/>
                <w:kern w:val="0"/>
                <w:sz w:val="24"/>
                <w:highlight w:val="none"/>
              </w:rPr>
            </w:pPr>
          </w:p>
        </w:tc>
        <w:tc>
          <w:tcPr>
            <w:tcW w:w="2961" w:type="dxa"/>
            <w:tcBorders>
              <w:tl2br w:val="nil"/>
              <w:tr2bl w:val="nil"/>
            </w:tcBorders>
          </w:tcPr>
          <w:p w14:paraId="543ADEDA">
            <w:pPr>
              <w:adjustRightInd w:val="0"/>
              <w:snapToGrid w:val="0"/>
              <w:spacing w:line="360" w:lineRule="auto"/>
              <w:rPr>
                <w:rFonts w:ascii="宋体" w:hAnsi="宋体" w:cs="宋体"/>
                <w:color w:val="auto"/>
                <w:kern w:val="0"/>
                <w:sz w:val="24"/>
                <w:highlight w:val="none"/>
              </w:rPr>
            </w:pPr>
          </w:p>
        </w:tc>
      </w:tr>
      <w:tr w14:paraId="391173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7" w:type="dxa"/>
            <w:tcBorders>
              <w:tl2br w:val="nil"/>
              <w:tr2bl w:val="nil"/>
            </w:tcBorders>
          </w:tcPr>
          <w:p w14:paraId="0DE54E5E">
            <w:pPr>
              <w:adjustRightInd w:val="0"/>
              <w:snapToGrid w:val="0"/>
              <w:spacing w:line="360" w:lineRule="auto"/>
              <w:rPr>
                <w:rFonts w:ascii="宋体" w:hAnsi="宋体" w:cs="宋体"/>
                <w:color w:val="auto"/>
                <w:kern w:val="0"/>
                <w:sz w:val="24"/>
                <w:highlight w:val="none"/>
              </w:rPr>
            </w:pPr>
          </w:p>
        </w:tc>
        <w:tc>
          <w:tcPr>
            <w:tcW w:w="2963" w:type="dxa"/>
            <w:tcBorders>
              <w:tl2br w:val="nil"/>
              <w:tr2bl w:val="nil"/>
            </w:tcBorders>
          </w:tcPr>
          <w:p w14:paraId="4E6D2E20">
            <w:pPr>
              <w:adjustRightInd w:val="0"/>
              <w:snapToGrid w:val="0"/>
              <w:spacing w:line="360" w:lineRule="auto"/>
              <w:rPr>
                <w:rFonts w:ascii="宋体" w:hAnsi="宋体" w:cs="宋体"/>
                <w:color w:val="auto"/>
                <w:kern w:val="0"/>
                <w:sz w:val="24"/>
                <w:highlight w:val="none"/>
              </w:rPr>
            </w:pPr>
          </w:p>
        </w:tc>
        <w:tc>
          <w:tcPr>
            <w:tcW w:w="2439" w:type="dxa"/>
            <w:tcBorders>
              <w:tl2br w:val="nil"/>
              <w:tr2bl w:val="nil"/>
            </w:tcBorders>
          </w:tcPr>
          <w:p w14:paraId="6831A44B">
            <w:pPr>
              <w:adjustRightInd w:val="0"/>
              <w:snapToGrid w:val="0"/>
              <w:spacing w:line="360" w:lineRule="auto"/>
              <w:rPr>
                <w:rFonts w:ascii="宋体" w:hAnsi="宋体" w:cs="宋体"/>
                <w:color w:val="auto"/>
                <w:kern w:val="0"/>
                <w:sz w:val="24"/>
                <w:highlight w:val="none"/>
              </w:rPr>
            </w:pPr>
          </w:p>
        </w:tc>
        <w:tc>
          <w:tcPr>
            <w:tcW w:w="2961" w:type="dxa"/>
            <w:tcBorders>
              <w:tl2br w:val="nil"/>
              <w:tr2bl w:val="nil"/>
            </w:tcBorders>
          </w:tcPr>
          <w:p w14:paraId="2AF79EC3">
            <w:pPr>
              <w:adjustRightInd w:val="0"/>
              <w:snapToGrid w:val="0"/>
              <w:spacing w:line="360" w:lineRule="auto"/>
              <w:rPr>
                <w:rFonts w:ascii="宋体" w:hAnsi="宋体" w:cs="宋体"/>
                <w:color w:val="auto"/>
                <w:kern w:val="0"/>
                <w:sz w:val="24"/>
                <w:highlight w:val="none"/>
              </w:rPr>
            </w:pPr>
          </w:p>
        </w:tc>
      </w:tr>
      <w:tr w14:paraId="78022B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7" w:type="dxa"/>
            <w:tcBorders>
              <w:tl2br w:val="nil"/>
              <w:tr2bl w:val="nil"/>
            </w:tcBorders>
          </w:tcPr>
          <w:p w14:paraId="35F52A79">
            <w:pPr>
              <w:adjustRightInd w:val="0"/>
              <w:snapToGrid w:val="0"/>
              <w:spacing w:line="360" w:lineRule="auto"/>
              <w:rPr>
                <w:rFonts w:ascii="宋体" w:hAnsi="宋体" w:cs="宋体"/>
                <w:color w:val="auto"/>
                <w:kern w:val="0"/>
                <w:sz w:val="24"/>
                <w:highlight w:val="none"/>
              </w:rPr>
            </w:pPr>
          </w:p>
        </w:tc>
        <w:tc>
          <w:tcPr>
            <w:tcW w:w="2963" w:type="dxa"/>
            <w:tcBorders>
              <w:tl2br w:val="nil"/>
              <w:tr2bl w:val="nil"/>
            </w:tcBorders>
          </w:tcPr>
          <w:p w14:paraId="69C9AFC9">
            <w:pPr>
              <w:adjustRightInd w:val="0"/>
              <w:snapToGrid w:val="0"/>
              <w:spacing w:line="360" w:lineRule="auto"/>
              <w:rPr>
                <w:rFonts w:ascii="宋体" w:hAnsi="宋体" w:cs="宋体"/>
                <w:color w:val="auto"/>
                <w:kern w:val="0"/>
                <w:sz w:val="24"/>
                <w:highlight w:val="none"/>
              </w:rPr>
            </w:pPr>
          </w:p>
        </w:tc>
        <w:tc>
          <w:tcPr>
            <w:tcW w:w="2439" w:type="dxa"/>
            <w:tcBorders>
              <w:tl2br w:val="nil"/>
              <w:tr2bl w:val="nil"/>
            </w:tcBorders>
          </w:tcPr>
          <w:p w14:paraId="42602491">
            <w:pPr>
              <w:adjustRightInd w:val="0"/>
              <w:snapToGrid w:val="0"/>
              <w:spacing w:line="360" w:lineRule="auto"/>
              <w:rPr>
                <w:rFonts w:ascii="宋体" w:hAnsi="宋体" w:cs="宋体"/>
                <w:color w:val="auto"/>
                <w:kern w:val="0"/>
                <w:sz w:val="24"/>
                <w:highlight w:val="none"/>
              </w:rPr>
            </w:pPr>
          </w:p>
        </w:tc>
        <w:tc>
          <w:tcPr>
            <w:tcW w:w="2961" w:type="dxa"/>
            <w:tcBorders>
              <w:tl2br w:val="nil"/>
              <w:tr2bl w:val="nil"/>
            </w:tcBorders>
          </w:tcPr>
          <w:p w14:paraId="0235C1D3">
            <w:pPr>
              <w:adjustRightInd w:val="0"/>
              <w:snapToGrid w:val="0"/>
              <w:spacing w:line="360" w:lineRule="auto"/>
              <w:rPr>
                <w:rFonts w:ascii="宋体" w:hAnsi="宋体" w:cs="宋体"/>
                <w:color w:val="auto"/>
                <w:kern w:val="0"/>
                <w:sz w:val="24"/>
                <w:highlight w:val="none"/>
              </w:rPr>
            </w:pPr>
          </w:p>
        </w:tc>
      </w:tr>
      <w:tr w14:paraId="704B49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7" w:type="dxa"/>
            <w:tcBorders>
              <w:tl2br w:val="nil"/>
              <w:tr2bl w:val="nil"/>
            </w:tcBorders>
          </w:tcPr>
          <w:p w14:paraId="479DAC63">
            <w:pPr>
              <w:adjustRightInd w:val="0"/>
              <w:snapToGrid w:val="0"/>
              <w:spacing w:line="360" w:lineRule="auto"/>
              <w:rPr>
                <w:rFonts w:ascii="宋体" w:hAnsi="宋体" w:cs="宋体"/>
                <w:color w:val="auto"/>
                <w:kern w:val="0"/>
                <w:sz w:val="24"/>
                <w:highlight w:val="none"/>
              </w:rPr>
            </w:pPr>
          </w:p>
        </w:tc>
        <w:tc>
          <w:tcPr>
            <w:tcW w:w="2963" w:type="dxa"/>
            <w:tcBorders>
              <w:tl2br w:val="nil"/>
              <w:tr2bl w:val="nil"/>
            </w:tcBorders>
          </w:tcPr>
          <w:p w14:paraId="318D8233">
            <w:pPr>
              <w:adjustRightInd w:val="0"/>
              <w:snapToGrid w:val="0"/>
              <w:spacing w:line="360" w:lineRule="auto"/>
              <w:rPr>
                <w:rFonts w:ascii="宋体" w:hAnsi="宋体" w:cs="宋体"/>
                <w:color w:val="auto"/>
                <w:kern w:val="0"/>
                <w:sz w:val="24"/>
                <w:highlight w:val="none"/>
              </w:rPr>
            </w:pPr>
          </w:p>
        </w:tc>
        <w:tc>
          <w:tcPr>
            <w:tcW w:w="2439" w:type="dxa"/>
            <w:tcBorders>
              <w:tl2br w:val="nil"/>
              <w:tr2bl w:val="nil"/>
            </w:tcBorders>
          </w:tcPr>
          <w:p w14:paraId="3E5A2034">
            <w:pPr>
              <w:adjustRightInd w:val="0"/>
              <w:snapToGrid w:val="0"/>
              <w:spacing w:line="360" w:lineRule="auto"/>
              <w:rPr>
                <w:rFonts w:ascii="宋体" w:hAnsi="宋体" w:cs="宋体"/>
                <w:color w:val="auto"/>
                <w:kern w:val="0"/>
                <w:sz w:val="24"/>
                <w:highlight w:val="none"/>
              </w:rPr>
            </w:pPr>
          </w:p>
        </w:tc>
        <w:tc>
          <w:tcPr>
            <w:tcW w:w="2961" w:type="dxa"/>
            <w:tcBorders>
              <w:tl2br w:val="nil"/>
              <w:tr2bl w:val="nil"/>
            </w:tcBorders>
          </w:tcPr>
          <w:p w14:paraId="0D035977">
            <w:pPr>
              <w:adjustRightInd w:val="0"/>
              <w:snapToGrid w:val="0"/>
              <w:spacing w:line="360" w:lineRule="auto"/>
              <w:rPr>
                <w:rFonts w:ascii="宋体" w:hAnsi="宋体" w:cs="宋体"/>
                <w:color w:val="auto"/>
                <w:kern w:val="0"/>
                <w:sz w:val="24"/>
                <w:highlight w:val="none"/>
              </w:rPr>
            </w:pPr>
          </w:p>
        </w:tc>
      </w:tr>
      <w:tr w14:paraId="18FAA8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7" w:type="dxa"/>
            <w:tcBorders>
              <w:tl2br w:val="nil"/>
              <w:tr2bl w:val="nil"/>
            </w:tcBorders>
          </w:tcPr>
          <w:p w14:paraId="18EC09C1">
            <w:pPr>
              <w:adjustRightInd w:val="0"/>
              <w:snapToGrid w:val="0"/>
              <w:spacing w:line="360" w:lineRule="auto"/>
              <w:rPr>
                <w:rFonts w:ascii="宋体" w:hAnsi="宋体" w:cs="宋体"/>
                <w:color w:val="auto"/>
                <w:kern w:val="0"/>
                <w:sz w:val="24"/>
                <w:highlight w:val="none"/>
              </w:rPr>
            </w:pPr>
          </w:p>
        </w:tc>
        <w:tc>
          <w:tcPr>
            <w:tcW w:w="2963" w:type="dxa"/>
            <w:tcBorders>
              <w:tl2br w:val="nil"/>
              <w:tr2bl w:val="nil"/>
            </w:tcBorders>
          </w:tcPr>
          <w:p w14:paraId="581A267D">
            <w:pPr>
              <w:adjustRightInd w:val="0"/>
              <w:snapToGrid w:val="0"/>
              <w:spacing w:line="360" w:lineRule="auto"/>
              <w:rPr>
                <w:rFonts w:ascii="宋体" w:hAnsi="宋体" w:cs="宋体"/>
                <w:color w:val="auto"/>
                <w:kern w:val="0"/>
                <w:sz w:val="24"/>
                <w:highlight w:val="none"/>
              </w:rPr>
            </w:pPr>
          </w:p>
        </w:tc>
        <w:tc>
          <w:tcPr>
            <w:tcW w:w="2439" w:type="dxa"/>
            <w:tcBorders>
              <w:tl2br w:val="nil"/>
              <w:tr2bl w:val="nil"/>
            </w:tcBorders>
          </w:tcPr>
          <w:p w14:paraId="5E26C961">
            <w:pPr>
              <w:adjustRightInd w:val="0"/>
              <w:snapToGrid w:val="0"/>
              <w:spacing w:line="360" w:lineRule="auto"/>
              <w:rPr>
                <w:rFonts w:ascii="宋体" w:hAnsi="宋体" w:cs="宋体"/>
                <w:color w:val="auto"/>
                <w:kern w:val="0"/>
                <w:sz w:val="24"/>
                <w:highlight w:val="none"/>
              </w:rPr>
            </w:pPr>
          </w:p>
        </w:tc>
        <w:tc>
          <w:tcPr>
            <w:tcW w:w="2961" w:type="dxa"/>
            <w:tcBorders>
              <w:tl2br w:val="nil"/>
              <w:tr2bl w:val="nil"/>
            </w:tcBorders>
          </w:tcPr>
          <w:p w14:paraId="77A626AE">
            <w:pPr>
              <w:adjustRightInd w:val="0"/>
              <w:snapToGrid w:val="0"/>
              <w:spacing w:line="360" w:lineRule="auto"/>
              <w:rPr>
                <w:rFonts w:ascii="宋体" w:hAnsi="宋体" w:cs="宋体"/>
                <w:color w:val="auto"/>
                <w:kern w:val="0"/>
                <w:sz w:val="24"/>
                <w:highlight w:val="none"/>
              </w:rPr>
            </w:pPr>
          </w:p>
        </w:tc>
      </w:tr>
      <w:tr w14:paraId="196F41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7" w:type="dxa"/>
            <w:tcBorders>
              <w:tl2br w:val="nil"/>
              <w:tr2bl w:val="nil"/>
            </w:tcBorders>
          </w:tcPr>
          <w:p w14:paraId="288ABD5E">
            <w:pPr>
              <w:adjustRightInd w:val="0"/>
              <w:snapToGrid w:val="0"/>
              <w:spacing w:line="360" w:lineRule="auto"/>
              <w:rPr>
                <w:rFonts w:ascii="宋体" w:hAnsi="宋体" w:cs="宋体"/>
                <w:color w:val="auto"/>
                <w:kern w:val="0"/>
                <w:sz w:val="24"/>
                <w:highlight w:val="none"/>
              </w:rPr>
            </w:pPr>
          </w:p>
        </w:tc>
        <w:tc>
          <w:tcPr>
            <w:tcW w:w="2963" w:type="dxa"/>
            <w:tcBorders>
              <w:tl2br w:val="nil"/>
              <w:tr2bl w:val="nil"/>
            </w:tcBorders>
          </w:tcPr>
          <w:p w14:paraId="2C49038D">
            <w:pPr>
              <w:adjustRightInd w:val="0"/>
              <w:snapToGrid w:val="0"/>
              <w:spacing w:line="360" w:lineRule="auto"/>
              <w:rPr>
                <w:rFonts w:ascii="宋体" w:hAnsi="宋体" w:cs="宋体"/>
                <w:color w:val="auto"/>
                <w:kern w:val="0"/>
                <w:sz w:val="24"/>
                <w:highlight w:val="none"/>
              </w:rPr>
            </w:pPr>
          </w:p>
        </w:tc>
        <w:tc>
          <w:tcPr>
            <w:tcW w:w="2439" w:type="dxa"/>
            <w:tcBorders>
              <w:tl2br w:val="nil"/>
              <w:tr2bl w:val="nil"/>
            </w:tcBorders>
          </w:tcPr>
          <w:p w14:paraId="725EDB5C">
            <w:pPr>
              <w:adjustRightInd w:val="0"/>
              <w:snapToGrid w:val="0"/>
              <w:spacing w:line="360" w:lineRule="auto"/>
              <w:rPr>
                <w:rFonts w:ascii="宋体" w:hAnsi="宋体" w:cs="宋体"/>
                <w:color w:val="auto"/>
                <w:kern w:val="0"/>
                <w:sz w:val="24"/>
                <w:highlight w:val="none"/>
              </w:rPr>
            </w:pPr>
          </w:p>
        </w:tc>
        <w:tc>
          <w:tcPr>
            <w:tcW w:w="2961" w:type="dxa"/>
            <w:tcBorders>
              <w:tl2br w:val="nil"/>
              <w:tr2bl w:val="nil"/>
            </w:tcBorders>
          </w:tcPr>
          <w:p w14:paraId="36201B52">
            <w:pPr>
              <w:adjustRightInd w:val="0"/>
              <w:snapToGrid w:val="0"/>
              <w:spacing w:line="360" w:lineRule="auto"/>
              <w:rPr>
                <w:rFonts w:ascii="宋体" w:hAnsi="宋体" w:cs="宋体"/>
                <w:color w:val="auto"/>
                <w:kern w:val="0"/>
                <w:sz w:val="24"/>
                <w:highlight w:val="none"/>
              </w:rPr>
            </w:pPr>
          </w:p>
        </w:tc>
      </w:tr>
      <w:tr w14:paraId="4EB499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7" w:type="dxa"/>
            <w:tcBorders>
              <w:tl2br w:val="nil"/>
              <w:tr2bl w:val="nil"/>
            </w:tcBorders>
          </w:tcPr>
          <w:p w14:paraId="6533D127">
            <w:pPr>
              <w:adjustRightInd w:val="0"/>
              <w:snapToGrid w:val="0"/>
              <w:spacing w:line="360" w:lineRule="auto"/>
              <w:rPr>
                <w:rFonts w:ascii="宋体" w:hAnsi="宋体" w:cs="宋体"/>
                <w:color w:val="auto"/>
                <w:kern w:val="0"/>
                <w:sz w:val="24"/>
                <w:highlight w:val="none"/>
              </w:rPr>
            </w:pPr>
          </w:p>
        </w:tc>
        <w:tc>
          <w:tcPr>
            <w:tcW w:w="2963" w:type="dxa"/>
            <w:tcBorders>
              <w:tl2br w:val="nil"/>
              <w:tr2bl w:val="nil"/>
            </w:tcBorders>
          </w:tcPr>
          <w:p w14:paraId="314B4FC1">
            <w:pPr>
              <w:adjustRightInd w:val="0"/>
              <w:snapToGrid w:val="0"/>
              <w:spacing w:line="360" w:lineRule="auto"/>
              <w:rPr>
                <w:rFonts w:ascii="宋体" w:hAnsi="宋体" w:cs="宋体"/>
                <w:color w:val="auto"/>
                <w:kern w:val="0"/>
                <w:sz w:val="24"/>
                <w:highlight w:val="none"/>
              </w:rPr>
            </w:pPr>
          </w:p>
        </w:tc>
        <w:tc>
          <w:tcPr>
            <w:tcW w:w="2439" w:type="dxa"/>
            <w:tcBorders>
              <w:tl2br w:val="nil"/>
              <w:tr2bl w:val="nil"/>
            </w:tcBorders>
          </w:tcPr>
          <w:p w14:paraId="5843419D">
            <w:pPr>
              <w:adjustRightInd w:val="0"/>
              <w:snapToGrid w:val="0"/>
              <w:spacing w:line="360" w:lineRule="auto"/>
              <w:rPr>
                <w:rFonts w:ascii="宋体" w:hAnsi="宋体" w:cs="宋体"/>
                <w:color w:val="auto"/>
                <w:kern w:val="0"/>
                <w:sz w:val="24"/>
                <w:highlight w:val="none"/>
              </w:rPr>
            </w:pPr>
          </w:p>
        </w:tc>
        <w:tc>
          <w:tcPr>
            <w:tcW w:w="2961" w:type="dxa"/>
            <w:tcBorders>
              <w:tl2br w:val="nil"/>
              <w:tr2bl w:val="nil"/>
            </w:tcBorders>
          </w:tcPr>
          <w:p w14:paraId="40021897">
            <w:pPr>
              <w:adjustRightInd w:val="0"/>
              <w:snapToGrid w:val="0"/>
              <w:spacing w:line="360" w:lineRule="auto"/>
              <w:rPr>
                <w:rFonts w:ascii="宋体" w:hAnsi="宋体" w:cs="宋体"/>
                <w:color w:val="auto"/>
                <w:kern w:val="0"/>
                <w:sz w:val="24"/>
                <w:highlight w:val="none"/>
              </w:rPr>
            </w:pPr>
          </w:p>
        </w:tc>
      </w:tr>
      <w:tr w14:paraId="5BA5F8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7" w:type="dxa"/>
            <w:tcBorders>
              <w:tl2br w:val="nil"/>
              <w:tr2bl w:val="nil"/>
            </w:tcBorders>
          </w:tcPr>
          <w:p w14:paraId="52BD2549">
            <w:pPr>
              <w:adjustRightInd w:val="0"/>
              <w:snapToGrid w:val="0"/>
              <w:spacing w:line="360" w:lineRule="auto"/>
              <w:rPr>
                <w:rFonts w:ascii="宋体" w:hAnsi="宋体" w:cs="宋体"/>
                <w:color w:val="auto"/>
                <w:kern w:val="0"/>
                <w:sz w:val="24"/>
                <w:highlight w:val="none"/>
              </w:rPr>
            </w:pPr>
          </w:p>
        </w:tc>
        <w:tc>
          <w:tcPr>
            <w:tcW w:w="2963" w:type="dxa"/>
            <w:tcBorders>
              <w:tl2br w:val="nil"/>
              <w:tr2bl w:val="nil"/>
            </w:tcBorders>
          </w:tcPr>
          <w:p w14:paraId="6979D8D5">
            <w:pPr>
              <w:adjustRightInd w:val="0"/>
              <w:snapToGrid w:val="0"/>
              <w:spacing w:line="360" w:lineRule="auto"/>
              <w:rPr>
                <w:rFonts w:ascii="宋体" w:hAnsi="宋体" w:cs="宋体"/>
                <w:color w:val="auto"/>
                <w:kern w:val="0"/>
                <w:sz w:val="24"/>
                <w:highlight w:val="none"/>
              </w:rPr>
            </w:pPr>
          </w:p>
        </w:tc>
        <w:tc>
          <w:tcPr>
            <w:tcW w:w="2439" w:type="dxa"/>
            <w:tcBorders>
              <w:tl2br w:val="nil"/>
              <w:tr2bl w:val="nil"/>
            </w:tcBorders>
          </w:tcPr>
          <w:p w14:paraId="4F8C1A99">
            <w:pPr>
              <w:adjustRightInd w:val="0"/>
              <w:snapToGrid w:val="0"/>
              <w:spacing w:line="360" w:lineRule="auto"/>
              <w:rPr>
                <w:rFonts w:ascii="宋体" w:hAnsi="宋体" w:cs="宋体"/>
                <w:color w:val="auto"/>
                <w:kern w:val="0"/>
                <w:sz w:val="24"/>
                <w:highlight w:val="none"/>
              </w:rPr>
            </w:pPr>
          </w:p>
        </w:tc>
        <w:tc>
          <w:tcPr>
            <w:tcW w:w="2961" w:type="dxa"/>
            <w:tcBorders>
              <w:tl2br w:val="nil"/>
              <w:tr2bl w:val="nil"/>
            </w:tcBorders>
          </w:tcPr>
          <w:p w14:paraId="6598825B">
            <w:pPr>
              <w:adjustRightInd w:val="0"/>
              <w:snapToGrid w:val="0"/>
              <w:spacing w:line="360" w:lineRule="auto"/>
              <w:rPr>
                <w:rFonts w:ascii="宋体" w:hAnsi="宋体" w:cs="宋体"/>
                <w:color w:val="auto"/>
                <w:kern w:val="0"/>
                <w:sz w:val="24"/>
                <w:highlight w:val="none"/>
              </w:rPr>
            </w:pPr>
          </w:p>
        </w:tc>
      </w:tr>
    </w:tbl>
    <w:p w14:paraId="12DF4A69">
      <w:pPr>
        <w:widowControl/>
        <w:jc w:val="left"/>
        <w:rPr>
          <w:rFonts w:ascii="宋体" w:hAnsi="宋体" w:cs="宋体"/>
          <w:bCs/>
          <w:color w:val="auto"/>
          <w:szCs w:val="21"/>
          <w:highlight w:val="none"/>
        </w:rPr>
      </w:pPr>
      <w:r>
        <w:rPr>
          <w:rFonts w:hint="eastAsia" w:ascii="宋体" w:hAnsi="宋体" w:cs="宋体"/>
          <w:b/>
          <w:color w:val="auto"/>
          <w:szCs w:val="21"/>
          <w:highlight w:val="none"/>
        </w:rPr>
        <w:br w:type="page"/>
      </w:r>
    </w:p>
    <w:p w14:paraId="297E1A5E">
      <w:pPr>
        <w:pStyle w:val="6"/>
        <w:rPr>
          <w:rFonts w:ascii="宋体" w:hAnsi="宋体" w:cs="宋体"/>
          <w:color w:val="auto"/>
          <w:sz w:val="21"/>
          <w:szCs w:val="21"/>
          <w:highlight w:val="none"/>
        </w:rPr>
      </w:pPr>
      <w:bookmarkStart w:id="68" w:name="_Toc28414"/>
      <w:r>
        <w:rPr>
          <w:rFonts w:hint="eastAsia" w:ascii="宋体" w:hAnsi="宋体" w:cs="宋体"/>
          <w:color w:val="auto"/>
          <w:sz w:val="21"/>
          <w:szCs w:val="21"/>
          <w:highlight w:val="none"/>
        </w:rPr>
        <w:t>附表2 符合性审查合格投标人名单</w:t>
      </w:r>
      <w:bookmarkEnd w:id="68"/>
    </w:p>
    <w:p w14:paraId="719F09F8">
      <w:pPr>
        <w:adjustRightInd w:val="0"/>
        <w:snapToGrid w:val="0"/>
        <w:spacing w:beforeLines="50"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符合性审查合格投标人名单</w:t>
      </w:r>
    </w:p>
    <w:p w14:paraId="3FDAE1BA">
      <w:pPr>
        <w:adjustRightInd w:val="0"/>
        <w:snapToGrid w:val="0"/>
        <w:spacing w:beforeLines="50" w:line="360" w:lineRule="auto"/>
        <w:rPr>
          <w:rFonts w:ascii="宋体" w:hAnsi="宋体" w:cs="宋体"/>
          <w:color w:val="auto"/>
          <w:sz w:val="32"/>
          <w:szCs w:val="32"/>
          <w:highlight w:val="none"/>
        </w:rPr>
      </w:pPr>
      <w:r>
        <w:rPr>
          <w:rFonts w:hint="eastAsia" w:ascii="宋体" w:hAnsi="宋体" w:cs="宋体"/>
          <w:color w:val="auto"/>
          <w:szCs w:val="21"/>
          <w:highlight w:val="none"/>
        </w:rPr>
        <w:t>项目名称：                                        采购代理编号：</w:t>
      </w:r>
    </w:p>
    <w:tbl>
      <w:tblPr>
        <w:tblStyle w:val="46"/>
        <w:tblW w:w="878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796"/>
      </w:tblGrid>
      <w:tr w14:paraId="6EE7CF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3" w:type="dxa"/>
            <w:tcBorders>
              <w:tl2br w:val="nil"/>
              <w:tr2bl w:val="nil"/>
            </w:tcBorders>
            <w:vAlign w:val="center"/>
          </w:tcPr>
          <w:p w14:paraId="29EE9E64">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7796" w:type="dxa"/>
            <w:tcBorders>
              <w:tl2br w:val="nil"/>
              <w:tr2bl w:val="nil"/>
            </w:tcBorders>
            <w:vAlign w:val="center"/>
          </w:tcPr>
          <w:p w14:paraId="22AA1D05">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合格投标人名称</w:t>
            </w:r>
          </w:p>
        </w:tc>
      </w:tr>
      <w:tr w14:paraId="7A5B06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3" w:type="dxa"/>
            <w:tcBorders>
              <w:tl2br w:val="nil"/>
              <w:tr2bl w:val="nil"/>
            </w:tcBorders>
          </w:tcPr>
          <w:p w14:paraId="05A7E0C4">
            <w:pPr>
              <w:adjustRightInd w:val="0"/>
              <w:snapToGrid w:val="0"/>
              <w:spacing w:line="360" w:lineRule="auto"/>
              <w:rPr>
                <w:rFonts w:ascii="宋体" w:hAnsi="宋体" w:cs="宋体"/>
                <w:color w:val="auto"/>
                <w:kern w:val="0"/>
                <w:szCs w:val="21"/>
                <w:highlight w:val="none"/>
              </w:rPr>
            </w:pPr>
          </w:p>
        </w:tc>
        <w:tc>
          <w:tcPr>
            <w:tcW w:w="7796" w:type="dxa"/>
            <w:tcBorders>
              <w:tl2br w:val="nil"/>
              <w:tr2bl w:val="nil"/>
            </w:tcBorders>
          </w:tcPr>
          <w:p w14:paraId="4DD62499">
            <w:pPr>
              <w:adjustRightInd w:val="0"/>
              <w:snapToGrid w:val="0"/>
              <w:spacing w:line="360" w:lineRule="auto"/>
              <w:rPr>
                <w:rFonts w:ascii="宋体" w:hAnsi="宋体" w:cs="宋体"/>
                <w:color w:val="auto"/>
                <w:kern w:val="0"/>
                <w:szCs w:val="21"/>
                <w:highlight w:val="none"/>
              </w:rPr>
            </w:pPr>
          </w:p>
        </w:tc>
      </w:tr>
      <w:tr w14:paraId="3714F3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3" w:type="dxa"/>
            <w:tcBorders>
              <w:tl2br w:val="nil"/>
              <w:tr2bl w:val="nil"/>
            </w:tcBorders>
          </w:tcPr>
          <w:p w14:paraId="55281CE4">
            <w:pPr>
              <w:adjustRightInd w:val="0"/>
              <w:snapToGrid w:val="0"/>
              <w:spacing w:line="360" w:lineRule="auto"/>
              <w:rPr>
                <w:rFonts w:ascii="宋体" w:hAnsi="宋体" w:cs="宋体"/>
                <w:color w:val="auto"/>
                <w:kern w:val="0"/>
                <w:sz w:val="24"/>
                <w:highlight w:val="none"/>
              </w:rPr>
            </w:pPr>
          </w:p>
        </w:tc>
        <w:tc>
          <w:tcPr>
            <w:tcW w:w="7796" w:type="dxa"/>
            <w:tcBorders>
              <w:tl2br w:val="nil"/>
              <w:tr2bl w:val="nil"/>
            </w:tcBorders>
          </w:tcPr>
          <w:p w14:paraId="48B33A40">
            <w:pPr>
              <w:adjustRightInd w:val="0"/>
              <w:snapToGrid w:val="0"/>
              <w:spacing w:line="360" w:lineRule="auto"/>
              <w:rPr>
                <w:rFonts w:ascii="宋体" w:hAnsi="宋体" w:cs="宋体"/>
                <w:color w:val="auto"/>
                <w:kern w:val="0"/>
                <w:sz w:val="24"/>
                <w:highlight w:val="none"/>
              </w:rPr>
            </w:pPr>
          </w:p>
        </w:tc>
      </w:tr>
      <w:tr w14:paraId="0DFE43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3" w:type="dxa"/>
            <w:tcBorders>
              <w:tl2br w:val="nil"/>
              <w:tr2bl w:val="nil"/>
            </w:tcBorders>
          </w:tcPr>
          <w:p w14:paraId="68C5C0A9">
            <w:pPr>
              <w:adjustRightInd w:val="0"/>
              <w:snapToGrid w:val="0"/>
              <w:spacing w:line="360" w:lineRule="auto"/>
              <w:rPr>
                <w:rFonts w:ascii="宋体" w:hAnsi="宋体" w:cs="宋体"/>
                <w:color w:val="auto"/>
                <w:kern w:val="0"/>
                <w:sz w:val="24"/>
                <w:highlight w:val="none"/>
              </w:rPr>
            </w:pPr>
          </w:p>
        </w:tc>
        <w:tc>
          <w:tcPr>
            <w:tcW w:w="7796" w:type="dxa"/>
            <w:tcBorders>
              <w:tl2br w:val="nil"/>
              <w:tr2bl w:val="nil"/>
            </w:tcBorders>
          </w:tcPr>
          <w:p w14:paraId="427776F7">
            <w:pPr>
              <w:adjustRightInd w:val="0"/>
              <w:snapToGrid w:val="0"/>
              <w:spacing w:line="360" w:lineRule="auto"/>
              <w:rPr>
                <w:rFonts w:ascii="宋体" w:hAnsi="宋体" w:cs="宋体"/>
                <w:color w:val="auto"/>
                <w:kern w:val="0"/>
                <w:sz w:val="24"/>
                <w:highlight w:val="none"/>
              </w:rPr>
            </w:pPr>
          </w:p>
        </w:tc>
      </w:tr>
      <w:tr w14:paraId="7BCEA0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3" w:type="dxa"/>
            <w:tcBorders>
              <w:tl2br w:val="nil"/>
              <w:tr2bl w:val="nil"/>
            </w:tcBorders>
          </w:tcPr>
          <w:p w14:paraId="38301A9D">
            <w:pPr>
              <w:adjustRightInd w:val="0"/>
              <w:snapToGrid w:val="0"/>
              <w:spacing w:line="360" w:lineRule="auto"/>
              <w:rPr>
                <w:rFonts w:ascii="宋体" w:hAnsi="宋体" w:cs="宋体"/>
                <w:color w:val="auto"/>
                <w:kern w:val="0"/>
                <w:sz w:val="24"/>
                <w:highlight w:val="none"/>
              </w:rPr>
            </w:pPr>
          </w:p>
        </w:tc>
        <w:tc>
          <w:tcPr>
            <w:tcW w:w="7796" w:type="dxa"/>
            <w:tcBorders>
              <w:tl2br w:val="nil"/>
              <w:tr2bl w:val="nil"/>
            </w:tcBorders>
          </w:tcPr>
          <w:p w14:paraId="258161AC">
            <w:pPr>
              <w:adjustRightInd w:val="0"/>
              <w:snapToGrid w:val="0"/>
              <w:spacing w:line="360" w:lineRule="auto"/>
              <w:rPr>
                <w:rFonts w:ascii="宋体" w:hAnsi="宋体" w:cs="宋体"/>
                <w:color w:val="auto"/>
                <w:kern w:val="0"/>
                <w:sz w:val="24"/>
                <w:highlight w:val="none"/>
              </w:rPr>
            </w:pPr>
          </w:p>
        </w:tc>
      </w:tr>
      <w:tr w14:paraId="2047FC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3" w:type="dxa"/>
            <w:tcBorders>
              <w:tl2br w:val="nil"/>
              <w:tr2bl w:val="nil"/>
            </w:tcBorders>
          </w:tcPr>
          <w:p w14:paraId="5D8ABA08">
            <w:pPr>
              <w:adjustRightInd w:val="0"/>
              <w:snapToGrid w:val="0"/>
              <w:spacing w:line="360" w:lineRule="auto"/>
              <w:rPr>
                <w:rFonts w:ascii="宋体" w:hAnsi="宋体" w:cs="宋体"/>
                <w:color w:val="auto"/>
                <w:kern w:val="0"/>
                <w:sz w:val="24"/>
                <w:highlight w:val="none"/>
              </w:rPr>
            </w:pPr>
          </w:p>
        </w:tc>
        <w:tc>
          <w:tcPr>
            <w:tcW w:w="7796" w:type="dxa"/>
            <w:tcBorders>
              <w:tl2br w:val="nil"/>
              <w:tr2bl w:val="nil"/>
            </w:tcBorders>
          </w:tcPr>
          <w:p w14:paraId="6B1D846D">
            <w:pPr>
              <w:adjustRightInd w:val="0"/>
              <w:snapToGrid w:val="0"/>
              <w:spacing w:line="360" w:lineRule="auto"/>
              <w:rPr>
                <w:rFonts w:ascii="宋体" w:hAnsi="宋体" w:cs="宋体"/>
                <w:color w:val="auto"/>
                <w:kern w:val="0"/>
                <w:sz w:val="24"/>
                <w:highlight w:val="none"/>
              </w:rPr>
            </w:pPr>
          </w:p>
        </w:tc>
      </w:tr>
      <w:tr w14:paraId="40EC46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3" w:type="dxa"/>
            <w:tcBorders>
              <w:tl2br w:val="nil"/>
              <w:tr2bl w:val="nil"/>
            </w:tcBorders>
          </w:tcPr>
          <w:p w14:paraId="66DF3CE7">
            <w:pPr>
              <w:adjustRightInd w:val="0"/>
              <w:snapToGrid w:val="0"/>
              <w:spacing w:line="360" w:lineRule="auto"/>
              <w:rPr>
                <w:rFonts w:ascii="宋体" w:hAnsi="宋体" w:cs="宋体"/>
                <w:color w:val="auto"/>
                <w:kern w:val="0"/>
                <w:sz w:val="24"/>
                <w:highlight w:val="none"/>
              </w:rPr>
            </w:pPr>
          </w:p>
        </w:tc>
        <w:tc>
          <w:tcPr>
            <w:tcW w:w="7796" w:type="dxa"/>
            <w:tcBorders>
              <w:tl2br w:val="nil"/>
              <w:tr2bl w:val="nil"/>
            </w:tcBorders>
          </w:tcPr>
          <w:p w14:paraId="30E0207C">
            <w:pPr>
              <w:adjustRightInd w:val="0"/>
              <w:snapToGrid w:val="0"/>
              <w:spacing w:line="360" w:lineRule="auto"/>
              <w:rPr>
                <w:rFonts w:ascii="宋体" w:hAnsi="宋体" w:cs="宋体"/>
                <w:color w:val="auto"/>
                <w:kern w:val="0"/>
                <w:sz w:val="24"/>
                <w:highlight w:val="none"/>
              </w:rPr>
            </w:pPr>
          </w:p>
        </w:tc>
      </w:tr>
    </w:tbl>
    <w:p w14:paraId="4A4A93C5">
      <w:pPr>
        <w:rPr>
          <w:rFonts w:ascii="宋体" w:hAnsi="宋体" w:cs="宋体"/>
          <w:color w:val="auto"/>
          <w:w w:val="90"/>
          <w:highlight w:val="none"/>
        </w:rPr>
      </w:pPr>
    </w:p>
    <w:p w14:paraId="11C14D86">
      <w:pPr>
        <w:rPr>
          <w:rFonts w:ascii="宋体" w:hAnsi="宋体" w:cs="宋体"/>
          <w:b/>
          <w:color w:val="auto"/>
          <w:sz w:val="32"/>
          <w:szCs w:val="32"/>
          <w:highlight w:val="none"/>
        </w:rPr>
      </w:pPr>
    </w:p>
    <w:p w14:paraId="3A32E1AD">
      <w:pPr>
        <w:pStyle w:val="5"/>
        <w:adjustRightInd w:val="0"/>
        <w:snapToGrid w:val="0"/>
        <w:jc w:val="center"/>
        <w:rPr>
          <w:rFonts w:ascii="宋体" w:hAnsi="宋体" w:cs="宋体"/>
          <w:color w:val="auto"/>
          <w:sz w:val="28"/>
          <w:szCs w:val="28"/>
          <w:highlight w:val="none"/>
        </w:rPr>
      </w:pPr>
      <w:r>
        <w:rPr>
          <w:rFonts w:hint="eastAsia" w:ascii="宋体" w:hAnsi="宋体" w:cs="宋体"/>
          <w:b w:val="0"/>
          <w:color w:val="auto"/>
          <w:sz w:val="32"/>
          <w:highlight w:val="none"/>
        </w:rPr>
        <w:br w:type="page"/>
      </w:r>
      <w:bookmarkStart w:id="69" w:name="_Toc17906"/>
      <w:r>
        <w:rPr>
          <w:rFonts w:hint="eastAsia" w:ascii="宋体" w:hAnsi="宋体" w:cs="宋体"/>
          <w:color w:val="auto"/>
          <w:sz w:val="28"/>
          <w:szCs w:val="28"/>
          <w:highlight w:val="none"/>
        </w:rPr>
        <w:t>第四节 投标文件的比较与评价（综合评分法）</w:t>
      </w:r>
      <w:bookmarkEnd w:id="69"/>
    </w:p>
    <w:p w14:paraId="177D0E22">
      <w:pPr>
        <w:widowControl/>
        <w:adjustRightInd w:val="0"/>
        <w:snapToGrid w:val="0"/>
        <w:spacing w:before="156" w:beforeLines="50" w:line="360" w:lineRule="auto"/>
        <w:jc w:val="left"/>
        <w:rPr>
          <w:rFonts w:ascii="黑体" w:hAnsi="黑体" w:eastAsia="黑体"/>
          <w:b/>
          <w:color w:val="auto"/>
          <w:sz w:val="24"/>
          <w:highlight w:val="none"/>
        </w:rPr>
      </w:pPr>
      <w:r>
        <w:rPr>
          <w:rFonts w:hint="eastAsia" w:ascii="黑体" w:hAnsi="黑体" w:eastAsia="黑体"/>
          <w:b/>
          <w:color w:val="auto"/>
          <w:sz w:val="24"/>
          <w:highlight w:val="none"/>
        </w:rPr>
        <w:t>1.</w:t>
      </w:r>
      <w:r>
        <w:rPr>
          <w:rFonts w:hint="eastAsia"/>
          <w:color w:val="auto"/>
          <w:highlight w:val="none"/>
        </w:rPr>
        <w:t xml:space="preserve"> </w:t>
      </w:r>
      <w:r>
        <w:rPr>
          <w:rFonts w:hint="eastAsia" w:ascii="黑体" w:hAnsi="黑体" w:eastAsia="黑体"/>
          <w:b/>
          <w:color w:val="auto"/>
          <w:sz w:val="24"/>
          <w:highlight w:val="none"/>
        </w:rPr>
        <w:t>综合评分法</w:t>
      </w:r>
    </w:p>
    <w:p w14:paraId="455B6CF8">
      <w:pPr>
        <w:adjustRightInd w:val="0"/>
        <w:snapToGrid w:val="0"/>
        <w:spacing w:before="156" w:beforeLines="50" w:line="360" w:lineRule="auto"/>
        <w:ind w:firstLine="420" w:firstLineChars="200"/>
        <w:jc w:val="left"/>
        <w:rPr>
          <w:rFonts w:ascii="宋体" w:hAnsi="宋体" w:eastAsia="宋体"/>
          <w:bCs/>
          <w:color w:val="auto"/>
          <w:szCs w:val="21"/>
          <w:highlight w:val="none"/>
        </w:rPr>
      </w:pPr>
      <w:r>
        <w:rPr>
          <w:rFonts w:hint="eastAsia" w:ascii="宋体" w:hAnsi="宋体" w:eastAsia="宋体"/>
          <w:bCs/>
          <w:color w:val="auto"/>
          <w:szCs w:val="21"/>
          <w:highlight w:val="none"/>
        </w:rPr>
        <w:t>1.1综合评分法，指投标文件满足招标文件全部实质性要求，且按照评审因素的量化指标评审得分最高的投标人为中标候选人的评标方法。</w:t>
      </w:r>
    </w:p>
    <w:p w14:paraId="5EE5746A">
      <w:pPr>
        <w:adjustRightInd w:val="0"/>
        <w:snapToGrid w:val="0"/>
        <w:spacing w:before="156" w:beforeLines="50" w:line="360" w:lineRule="auto"/>
        <w:ind w:firstLine="420" w:firstLineChars="200"/>
        <w:jc w:val="left"/>
        <w:rPr>
          <w:rFonts w:ascii="宋体" w:hAnsi="宋体" w:eastAsia="宋体"/>
          <w:bCs/>
          <w:color w:val="auto"/>
          <w:szCs w:val="21"/>
          <w:highlight w:val="none"/>
        </w:rPr>
      </w:pPr>
      <w:r>
        <w:rPr>
          <w:rFonts w:hint="eastAsia" w:ascii="宋体" w:hAnsi="宋体" w:eastAsia="宋体"/>
          <w:bCs/>
          <w:color w:val="auto"/>
          <w:szCs w:val="21"/>
          <w:highlight w:val="none"/>
        </w:rPr>
        <w:t>1.2评标因素：评审因素的设定应当与投标人所提供货物服务的质量相关，包括投标报价、技术或者服务水平、履约能力、售后服务等，但不包括第一章投标人的资格要求。本采购项目的评标因素和标准见本章本节附表1“评标方法及标准表”。</w:t>
      </w:r>
    </w:p>
    <w:p w14:paraId="119D4F50">
      <w:pPr>
        <w:adjustRightInd w:val="0"/>
        <w:snapToGrid w:val="0"/>
        <w:spacing w:before="156" w:beforeLines="50" w:line="360" w:lineRule="auto"/>
        <w:ind w:firstLine="420" w:firstLineChars="200"/>
        <w:jc w:val="left"/>
        <w:rPr>
          <w:rFonts w:ascii="宋体" w:hAnsi="宋体" w:eastAsia="宋体"/>
          <w:bCs/>
          <w:color w:val="auto"/>
          <w:szCs w:val="21"/>
          <w:highlight w:val="none"/>
        </w:rPr>
      </w:pPr>
      <w:r>
        <w:rPr>
          <w:rFonts w:hint="eastAsia" w:ascii="宋体" w:hAnsi="宋体" w:eastAsia="宋体"/>
          <w:bCs/>
          <w:color w:val="auto"/>
          <w:szCs w:val="21"/>
          <w:highlight w:val="none"/>
        </w:rPr>
        <w:t>1.3未通过符合性审查的投标文件不得进入比较与评价。</w:t>
      </w:r>
    </w:p>
    <w:p w14:paraId="786C60B5">
      <w:pPr>
        <w:adjustRightInd w:val="0"/>
        <w:snapToGrid w:val="0"/>
        <w:spacing w:before="156" w:beforeLines="50" w:line="360" w:lineRule="auto"/>
        <w:jc w:val="left"/>
        <w:rPr>
          <w:rFonts w:ascii="黑体" w:hAnsi="黑体" w:eastAsia="黑体"/>
          <w:b/>
          <w:bCs/>
          <w:color w:val="auto"/>
          <w:sz w:val="24"/>
          <w:highlight w:val="none"/>
        </w:rPr>
      </w:pPr>
      <w:r>
        <w:rPr>
          <w:rFonts w:hint="eastAsia" w:ascii="黑体" w:hAnsi="黑体" w:eastAsia="黑体"/>
          <w:b/>
          <w:bCs/>
          <w:color w:val="auto"/>
          <w:sz w:val="24"/>
          <w:highlight w:val="none"/>
        </w:rPr>
        <w:t>2.</w:t>
      </w:r>
      <w:r>
        <w:rPr>
          <w:rFonts w:hint="eastAsia"/>
          <w:color w:val="auto"/>
          <w:highlight w:val="none"/>
        </w:rPr>
        <w:t xml:space="preserve"> </w:t>
      </w:r>
      <w:r>
        <w:rPr>
          <w:rFonts w:hint="eastAsia" w:ascii="黑体" w:hAnsi="黑体" w:eastAsia="黑体"/>
          <w:b/>
          <w:bCs/>
          <w:color w:val="auto"/>
          <w:sz w:val="24"/>
          <w:highlight w:val="none"/>
        </w:rPr>
        <w:t>投标报价的算术修正及政府采购政策调整</w:t>
      </w:r>
    </w:p>
    <w:p w14:paraId="6858DFFF">
      <w:pPr>
        <w:adjustRightInd w:val="0"/>
        <w:snapToGrid w:val="0"/>
        <w:spacing w:before="156" w:beforeLines="50" w:line="360" w:lineRule="auto"/>
        <w:ind w:firstLine="420" w:firstLineChars="200"/>
        <w:jc w:val="left"/>
        <w:rPr>
          <w:rFonts w:ascii="宋体" w:hAnsi="宋体" w:eastAsia="宋体"/>
          <w:bCs/>
          <w:color w:val="auto"/>
          <w:szCs w:val="21"/>
          <w:highlight w:val="none"/>
        </w:rPr>
      </w:pPr>
      <w:r>
        <w:rPr>
          <w:rFonts w:hint="eastAsia" w:ascii="宋体" w:hAnsi="宋体" w:eastAsia="宋体"/>
          <w:bCs/>
          <w:color w:val="auto"/>
          <w:szCs w:val="21"/>
          <w:highlight w:val="none"/>
        </w:rPr>
        <w:t>2.1如果有算术错误，投标报价将按本章第二节第4.2款、第4.3款规定进行算术修正。</w:t>
      </w:r>
    </w:p>
    <w:p w14:paraId="63ECD2D6">
      <w:pPr>
        <w:adjustRightInd w:val="0"/>
        <w:snapToGrid w:val="0"/>
        <w:spacing w:before="156" w:beforeLines="50" w:line="360" w:lineRule="auto"/>
        <w:ind w:firstLine="420" w:firstLineChars="200"/>
        <w:jc w:val="left"/>
        <w:rPr>
          <w:rFonts w:ascii="宋体" w:hAnsi="宋体" w:eastAsia="宋体"/>
          <w:bCs/>
          <w:color w:val="auto"/>
          <w:szCs w:val="21"/>
          <w:highlight w:val="none"/>
        </w:rPr>
      </w:pPr>
      <w:r>
        <w:rPr>
          <w:rFonts w:hint="eastAsia" w:ascii="宋体" w:hAnsi="宋体" w:eastAsia="宋体"/>
          <w:bCs/>
          <w:color w:val="auto"/>
          <w:szCs w:val="21"/>
          <w:highlight w:val="none"/>
        </w:rPr>
        <w:t>2.2需落实政府采购政策（价格评审优惠）的，按第二章“投标须知”及本章第二节第</w:t>
      </w:r>
      <w:r>
        <w:rPr>
          <w:rFonts w:ascii="宋体" w:hAnsi="宋体" w:eastAsia="宋体"/>
          <w:bCs/>
          <w:color w:val="auto"/>
          <w:szCs w:val="21"/>
          <w:highlight w:val="none"/>
        </w:rPr>
        <w:t>5.</w:t>
      </w:r>
      <w:r>
        <w:rPr>
          <w:rFonts w:hint="eastAsia" w:ascii="宋体" w:hAnsi="宋体"/>
          <w:bCs/>
          <w:color w:val="auto"/>
          <w:szCs w:val="21"/>
          <w:highlight w:val="none"/>
          <w:lang w:val="en-US" w:eastAsia="zh-CN"/>
        </w:rPr>
        <w:t>4</w:t>
      </w:r>
      <w:r>
        <w:rPr>
          <w:rFonts w:hint="eastAsia" w:ascii="宋体" w:hAnsi="宋体" w:eastAsia="宋体"/>
          <w:bCs/>
          <w:color w:val="auto"/>
          <w:szCs w:val="21"/>
          <w:highlight w:val="none"/>
        </w:rPr>
        <w:t>（1）项的相关规定进行价格调整。</w:t>
      </w:r>
    </w:p>
    <w:p w14:paraId="01EF7007">
      <w:pPr>
        <w:adjustRightInd w:val="0"/>
        <w:snapToGrid w:val="0"/>
        <w:spacing w:before="156" w:beforeLines="50" w:line="360" w:lineRule="auto"/>
        <w:ind w:firstLine="420" w:firstLineChars="200"/>
        <w:jc w:val="left"/>
        <w:rPr>
          <w:rFonts w:ascii="宋体" w:hAnsi="宋体" w:eastAsia="宋体"/>
          <w:bCs/>
          <w:color w:val="auto"/>
          <w:szCs w:val="21"/>
          <w:highlight w:val="none"/>
        </w:rPr>
      </w:pPr>
      <w:r>
        <w:rPr>
          <w:rFonts w:hint="eastAsia" w:ascii="宋体" w:hAnsi="宋体" w:eastAsia="宋体"/>
          <w:bCs/>
          <w:color w:val="auto"/>
          <w:szCs w:val="21"/>
          <w:highlight w:val="none"/>
        </w:rPr>
        <w:t>2.3按本章本节第2.1款、第2.2款规定，以修正或调整后的价格确定投标人的投标报价和评标基准价，用于投标报价评价。</w:t>
      </w:r>
    </w:p>
    <w:p w14:paraId="6D5E7C58">
      <w:pPr>
        <w:adjustRightInd w:val="0"/>
        <w:snapToGrid w:val="0"/>
        <w:spacing w:before="156" w:beforeLines="50" w:line="360" w:lineRule="auto"/>
        <w:jc w:val="left"/>
        <w:rPr>
          <w:rFonts w:ascii="黑体" w:hAnsi="黑体" w:eastAsia="黑体"/>
          <w:b/>
          <w:bCs/>
          <w:color w:val="auto"/>
          <w:sz w:val="24"/>
          <w:highlight w:val="none"/>
        </w:rPr>
      </w:pPr>
      <w:r>
        <w:rPr>
          <w:rFonts w:hint="eastAsia" w:ascii="黑体" w:hAnsi="黑体" w:eastAsia="黑体"/>
          <w:b/>
          <w:bCs/>
          <w:color w:val="auto"/>
          <w:sz w:val="24"/>
          <w:highlight w:val="none"/>
        </w:rPr>
        <w:t>3.</w:t>
      </w:r>
      <w:r>
        <w:rPr>
          <w:rFonts w:hint="eastAsia"/>
          <w:color w:val="auto"/>
          <w:highlight w:val="none"/>
        </w:rPr>
        <w:t xml:space="preserve"> </w:t>
      </w:r>
      <w:r>
        <w:rPr>
          <w:rFonts w:hint="eastAsia" w:ascii="黑体" w:hAnsi="黑体" w:eastAsia="黑体"/>
          <w:b/>
          <w:bCs/>
          <w:color w:val="auto"/>
          <w:sz w:val="24"/>
          <w:highlight w:val="none"/>
        </w:rPr>
        <w:t>投标报价评价</w:t>
      </w:r>
    </w:p>
    <w:p w14:paraId="590A75C2">
      <w:pPr>
        <w:adjustRightInd w:val="0"/>
        <w:snapToGrid w:val="0"/>
        <w:spacing w:before="156" w:beforeLines="50" w:line="360"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3.1投标报价评价：价格分应当采用低价优先法计算，即满足招标文件要求且投标价格最低的投标报价为评标基准价，其价格分为满分（报价权重分）。其他投标人的价格分统一按照下列公式计算：</w:t>
      </w:r>
    </w:p>
    <w:p w14:paraId="2CC35B30">
      <w:pPr>
        <w:adjustRightInd w:val="0"/>
        <w:snapToGrid w:val="0"/>
        <w:spacing w:before="156" w:beforeLines="50" w:line="360"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投标报价得分=（评标基准价</w:t>
      </w:r>
      <w:r>
        <w:rPr>
          <w:rFonts w:hint="eastAsia" w:ascii="宋体" w:hAnsi="宋体" w:eastAsia="宋体"/>
          <w:color w:val="auto"/>
          <w:szCs w:val="21"/>
          <w:highlight w:val="none"/>
          <w:vertAlign w:val="subscript"/>
        </w:rPr>
        <w:t>修正或调整</w:t>
      </w:r>
      <w:r>
        <w:rPr>
          <w:rFonts w:hint="eastAsia" w:ascii="宋体" w:hAnsi="宋体" w:eastAsia="宋体"/>
          <w:color w:val="auto"/>
          <w:szCs w:val="21"/>
          <w:highlight w:val="none"/>
        </w:rPr>
        <w:t>／投标报价</w:t>
      </w:r>
      <w:r>
        <w:rPr>
          <w:rFonts w:hint="eastAsia" w:ascii="宋体" w:hAnsi="宋体" w:eastAsia="宋体"/>
          <w:color w:val="auto"/>
          <w:szCs w:val="21"/>
          <w:highlight w:val="none"/>
          <w:vertAlign w:val="subscript"/>
        </w:rPr>
        <w:t>修正或调整</w:t>
      </w:r>
      <w:r>
        <w:rPr>
          <w:rFonts w:hint="eastAsia" w:ascii="宋体" w:hAnsi="宋体" w:eastAsia="宋体"/>
          <w:color w:val="auto"/>
          <w:szCs w:val="21"/>
          <w:highlight w:val="none"/>
        </w:rPr>
        <w:t>） ×100×报价权值</w:t>
      </w:r>
    </w:p>
    <w:p w14:paraId="7AFE04CA">
      <w:pPr>
        <w:numPr>
          <w:ilvl w:val="0"/>
          <w:numId w:val="3"/>
        </w:numPr>
        <w:adjustRightInd w:val="0"/>
        <w:snapToGrid w:val="0"/>
        <w:spacing w:before="156" w:beforeLines="50" w:line="360" w:lineRule="auto"/>
        <w:jc w:val="left"/>
        <w:rPr>
          <w:rFonts w:ascii="黑体" w:hAnsi="黑体" w:eastAsia="黑体"/>
          <w:b/>
          <w:color w:val="auto"/>
          <w:sz w:val="24"/>
          <w:highlight w:val="none"/>
        </w:rPr>
      </w:pPr>
      <w:r>
        <w:rPr>
          <w:rFonts w:hint="eastAsia" w:ascii="黑体" w:hAnsi="黑体" w:eastAsia="黑体"/>
          <w:b/>
          <w:color w:val="auto"/>
          <w:sz w:val="24"/>
          <w:highlight w:val="none"/>
        </w:rPr>
        <w:t>技术、商务等评分项响应评价及政府采购政策加分</w:t>
      </w:r>
    </w:p>
    <w:p w14:paraId="76AC370B">
      <w:pPr>
        <w:adjustRightInd w:val="0"/>
        <w:snapToGrid w:val="0"/>
        <w:spacing w:before="156" w:beforeLines="50" w:line="360"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4.1技术、商务等评分项响应评分。按</w:t>
      </w:r>
      <w:r>
        <w:rPr>
          <w:rFonts w:hint="eastAsia" w:ascii="宋体" w:hAnsi="宋体" w:eastAsia="宋体"/>
          <w:bCs/>
          <w:color w:val="auto"/>
          <w:szCs w:val="21"/>
          <w:highlight w:val="none"/>
        </w:rPr>
        <w:t>本章</w:t>
      </w:r>
      <w:r>
        <w:rPr>
          <w:rFonts w:hint="eastAsia" w:ascii="宋体" w:hAnsi="宋体" w:eastAsia="宋体"/>
          <w:color w:val="auto"/>
          <w:szCs w:val="21"/>
          <w:highlight w:val="none"/>
        </w:rPr>
        <w:t>本节附表1“评标方法及标准表”规定的评标因素和标准，对技术、商务等评分项计算得分。</w:t>
      </w:r>
    </w:p>
    <w:p w14:paraId="083530AF">
      <w:pPr>
        <w:adjustRightInd w:val="0"/>
        <w:snapToGrid w:val="0"/>
        <w:spacing w:before="156" w:beforeLines="50" w:line="360"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4.2需落实政府采购政策（优先采购）的，按第二章、本章第二节第5.</w:t>
      </w:r>
      <w:r>
        <w:rPr>
          <w:rFonts w:hint="eastAsia" w:ascii="宋体" w:hAnsi="宋体"/>
          <w:color w:val="auto"/>
          <w:szCs w:val="21"/>
          <w:highlight w:val="none"/>
          <w:lang w:val="en-US" w:eastAsia="zh-CN"/>
        </w:rPr>
        <w:t>4</w:t>
      </w:r>
      <w:r>
        <w:rPr>
          <w:rFonts w:hint="eastAsia" w:ascii="宋体" w:hAnsi="宋体" w:eastAsia="宋体"/>
          <w:color w:val="auto"/>
          <w:szCs w:val="21"/>
          <w:highlight w:val="none"/>
        </w:rPr>
        <w:t>（2）项以及本节附表1“评标方法及标准表”的相关规定进行技术、价格、商务项得分(加分)计算。</w:t>
      </w:r>
    </w:p>
    <w:p w14:paraId="631129F2">
      <w:pPr>
        <w:numPr>
          <w:ilvl w:val="0"/>
          <w:numId w:val="3"/>
        </w:numPr>
        <w:adjustRightInd w:val="0"/>
        <w:snapToGrid w:val="0"/>
        <w:spacing w:before="156" w:beforeLines="50" w:line="360" w:lineRule="auto"/>
        <w:ind w:left="0" w:leftChars="0" w:firstLine="0" w:firstLineChars="0"/>
        <w:jc w:val="left"/>
        <w:rPr>
          <w:rFonts w:ascii="黑体" w:hAnsi="黑体" w:eastAsia="黑体"/>
          <w:b/>
          <w:color w:val="auto"/>
          <w:sz w:val="24"/>
          <w:highlight w:val="none"/>
        </w:rPr>
      </w:pPr>
      <w:r>
        <w:rPr>
          <w:rFonts w:hint="eastAsia" w:ascii="黑体" w:hAnsi="黑体" w:eastAsia="黑体"/>
          <w:b/>
          <w:color w:val="auto"/>
          <w:sz w:val="24"/>
          <w:highlight w:val="none"/>
        </w:rPr>
        <w:t>评标总得分</w:t>
      </w:r>
    </w:p>
    <w:p w14:paraId="7D0ADFA5">
      <w:pPr>
        <w:adjustRightInd w:val="0"/>
        <w:snapToGrid w:val="0"/>
        <w:spacing w:before="156" w:beforeLines="50" w:line="360"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5.1评标总得分为投标报价、技术、商务等评分项得分(含优先采购政策加分)之和。</w:t>
      </w:r>
    </w:p>
    <w:p w14:paraId="512B18C0">
      <w:pPr>
        <w:adjustRightInd w:val="0"/>
        <w:snapToGrid w:val="0"/>
        <w:spacing w:line="460" w:lineRule="exact"/>
        <w:ind w:firstLine="420" w:firstLineChars="200"/>
        <w:rPr>
          <w:rFonts w:ascii="宋体" w:hAnsi="宋体" w:cs="宋体"/>
          <w:color w:val="auto"/>
          <w:kern w:val="0"/>
          <w:szCs w:val="21"/>
          <w:highlight w:val="none"/>
          <w:lang w:val="ru-RU" w:eastAsia="ru-RU"/>
        </w:rPr>
      </w:pPr>
      <w:r>
        <w:rPr>
          <w:rFonts w:hint="eastAsia" w:ascii="宋体" w:hAnsi="宋体" w:cs="宋体"/>
          <w:color w:val="auto"/>
          <w:kern w:val="0"/>
          <w:szCs w:val="21"/>
          <w:highlight w:val="none"/>
          <w:lang w:val="ru-RU" w:eastAsia="ru-RU"/>
        </w:rPr>
        <w:t>评标总得分＝F</w:t>
      </w:r>
      <w:r>
        <w:rPr>
          <w:rFonts w:hint="eastAsia" w:ascii="宋体" w:hAnsi="宋体" w:cs="宋体"/>
          <w:color w:val="auto"/>
          <w:kern w:val="0"/>
          <w:szCs w:val="21"/>
          <w:highlight w:val="none"/>
          <w:vertAlign w:val="subscript"/>
          <w:lang w:val="ru-RU" w:eastAsia="ru-RU"/>
        </w:rPr>
        <w:t>1</w:t>
      </w:r>
      <w:r>
        <w:rPr>
          <w:rFonts w:hint="eastAsia" w:ascii="宋体" w:hAnsi="宋体" w:cs="宋体"/>
          <w:color w:val="auto"/>
          <w:kern w:val="0"/>
          <w:szCs w:val="21"/>
          <w:highlight w:val="none"/>
          <w:lang w:val="ru-RU" w:eastAsia="ru-RU"/>
        </w:rPr>
        <w:t>×A</w:t>
      </w:r>
      <w:r>
        <w:rPr>
          <w:rFonts w:hint="eastAsia" w:ascii="宋体" w:hAnsi="宋体" w:cs="宋体"/>
          <w:color w:val="auto"/>
          <w:kern w:val="0"/>
          <w:szCs w:val="21"/>
          <w:highlight w:val="none"/>
          <w:vertAlign w:val="subscript"/>
          <w:lang w:val="ru-RU" w:eastAsia="ru-RU"/>
        </w:rPr>
        <w:t>1</w:t>
      </w:r>
      <w:r>
        <w:rPr>
          <w:rFonts w:hint="eastAsia" w:ascii="宋体" w:hAnsi="宋体" w:cs="宋体"/>
          <w:color w:val="auto"/>
          <w:kern w:val="0"/>
          <w:szCs w:val="21"/>
          <w:highlight w:val="none"/>
          <w:lang w:val="ru-RU" w:eastAsia="ru-RU"/>
        </w:rPr>
        <w:t>＋F</w:t>
      </w:r>
      <w:r>
        <w:rPr>
          <w:rFonts w:hint="eastAsia" w:ascii="宋体" w:hAnsi="宋体" w:cs="宋体"/>
          <w:color w:val="auto"/>
          <w:kern w:val="0"/>
          <w:szCs w:val="21"/>
          <w:highlight w:val="none"/>
          <w:vertAlign w:val="subscript"/>
          <w:lang w:val="ru-RU" w:eastAsia="ru-RU"/>
        </w:rPr>
        <w:t>2</w:t>
      </w:r>
      <w:r>
        <w:rPr>
          <w:rFonts w:hint="eastAsia" w:ascii="宋体" w:hAnsi="宋体" w:cs="宋体"/>
          <w:color w:val="auto"/>
          <w:kern w:val="0"/>
          <w:szCs w:val="21"/>
          <w:highlight w:val="none"/>
          <w:lang w:val="ru-RU" w:eastAsia="ru-RU"/>
        </w:rPr>
        <w:t>×A</w:t>
      </w:r>
      <w:r>
        <w:rPr>
          <w:rFonts w:hint="eastAsia" w:ascii="宋体" w:hAnsi="宋体" w:cs="宋体"/>
          <w:color w:val="auto"/>
          <w:kern w:val="0"/>
          <w:szCs w:val="21"/>
          <w:highlight w:val="none"/>
          <w:vertAlign w:val="subscript"/>
          <w:lang w:val="ru-RU" w:eastAsia="ru-RU"/>
        </w:rPr>
        <w:t>2</w:t>
      </w:r>
      <w:r>
        <w:rPr>
          <w:rFonts w:hint="eastAsia" w:ascii="宋体" w:hAnsi="宋体" w:cs="宋体"/>
          <w:color w:val="auto"/>
          <w:kern w:val="0"/>
          <w:szCs w:val="21"/>
          <w:highlight w:val="none"/>
          <w:lang w:val="ru-RU" w:eastAsia="ru-RU"/>
        </w:rPr>
        <w:t>＋……＋F</w:t>
      </w:r>
      <w:r>
        <w:rPr>
          <w:rFonts w:hint="eastAsia" w:ascii="宋体" w:hAnsi="宋体" w:cs="宋体"/>
          <w:color w:val="auto"/>
          <w:kern w:val="0"/>
          <w:szCs w:val="21"/>
          <w:highlight w:val="none"/>
          <w:vertAlign w:val="subscript"/>
          <w:lang w:val="ru-RU" w:eastAsia="ru-RU"/>
        </w:rPr>
        <w:t>n</w:t>
      </w:r>
      <w:r>
        <w:rPr>
          <w:rFonts w:hint="eastAsia" w:ascii="宋体" w:hAnsi="宋体" w:cs="宋体"/>
          <w:color w:val="auto"/>
          <w:kern w:val="0"/>
          <w:szCs w:val="21"/>
          <w:highlight w:val="none"/>
          <w:lang w:val="ru-RU" w:eastAsia="ru-RU"/>
        </w:rPr>
        <w:t>×A</w:t>
      </w:r>
      <w:r>
        <w:rPr>
          <w:rFonts w:hint="eastAsia" w:ascii="宋体" w:hAnsi="宋体" w:cs="宋体"/>
          <w:color w:val="auto"/>
          <w:kern w:val="0"/>
          <w:szCs w:val="21"/>
          <w:highlight w:val="none"/>
          <w:vertAlign w:val="subscript"/>
          <w:lang w:val="ru-RU" w:eastAsia="ru-RU"/>
        </w:rPr>
        <w:t>n</w:t>
      </w:r>
    </w:p>
    <w:p w14:paraId="6C2E8D7F">
      <w:pPr>
        <w:adjustRightInd w:val="0"/>
        <w:snapToGrid w:val="0"/>
        <w:spacing w:line="460" w:lineRule="exact"/>
        <w:ind w:firstLine="420" w:firstLineChars="200"/>
        <w:rPr>
          <w:rFonts w:ascii="宋体" w:hAnsi="宋体" w:cs="宋体"/>
          <w:color w:val="auto"/>
          <w:kern w:val="0"/>
          <w:szCs w:val="21"/>
          <w:highlight w:val="none"/>
          <w:lang w:val="ru-RU" w:eastAsia="ru-RU"/>
        </w:rPr>
      </w:pPr>
      <w:r>
        <w:rPr>
          <w:rFonts w:hint="eastAsia" w:ascii="宋体" w:hAnsi="宋体" w:cs="宋体"/>
          <w:color w:val="auto"/>
          <w:kern w:val="0"/>
          <w:szCs w:val="21"/>
          <w:highlight w:val="none"/>
          <w:lang w:val="ru-RU" w:eastAsia="ru-RU"/>
        </w:rPr>
        <w:t>F</w:t>
      </w:r>
      <w:r>
        <w:rPr>
          <w:rFonts w:hint="eastAsia" w:ascii="宋体" w:hAnsi="宋体" w:cs="宋体"/>
          <w:color w:val="auto"/>
          <w:kern w:val="0"/>
          <w:szCs w:val="21"/>
          <w:highlight w:val="none"/>
          <w:vertAlign w:val="subscript"/>
          <w:lang w:val="ru-RU" w:eastAsia="ru-RU"/>
        </w:rPr>
        <w:t>1</w:t>
      </w:r>
      <w:r>
        <w:rPr>
          <w:rFonts w:hint="eastAsia" w:ascii="宋体" w:hAnsi="宋体" w:cs="宋体"/>
          <w:color w:val="auto"/>
          <w:kern w:val="0"/>
          <w:szCs w:val="21"/>
          <w:highlight w:val="none"/>
          <w:lang w:val="ru-RU" w:eastAsia="ru-RU"/>
        </w:rPr>
        <w:t>、F</w:t>
      </w:r>
      <w:r>
        <w:rPr>
          <w:rFonts w:hint="eastAsia" w:ascii="宋体" w:hAnsi="宋体" w:cs="宋体"/>
          <w:color w:val="auto"/>
          <w:kern w:val="0"/>
          <w:szCs w:val="21"/>
          <w:highlight w:val="none"/>
          <w:vertAlign w:val="subscript"/>
          <w:lang w:val="ru-RU" w:eastAsia="ru-RU"/>
        </w:rPr>
        <w:t>2</w:t>
      </w:r>
      <w:r>
        <w:rPr>
          <w:rFonts w:hint="eastAsia" w:ascii="宋体" w:hAnsi="宋体" w:cs="宋体"/>
          <w:color w:val="auto"/>
          <w:kern w:val="0"/>
          <w:szCs w:val="21"/>
          <w:highlight w:val="none"/>
          <w:lang w:val="ru-RU" w:eastAsia="ru-RU"/>
        </w:rPr>
        <w:t>……F</w:t>
      </w:r>
      <w:r>
        <w:rPr>
          <w:rFonts w:hint="eastAsia" w:ascii="宋体" w:hAnsi="宋体" w:cs="宋体"/>
          <w:color w:val="auto"/>
          <w:kern w:val="0"/>
          <w:szCs w:val="21"/>
          <w:highlight w:val="none"/>
          <w:vertAlign w:val="subscript"/>
          <w:lang w:val="ru-RU" w:eastAsia="ru-RU"/>
        </w:rPr>
        <w:t>n</w:t>
      </w:r>
      <w:r>
        <w:rPr>
          <w:rFonts w:hint="eastAsia" w:ascii="宋体" w:hAnsi="宋体" w:cs="宋体"/>
          <w:color w:val="auto"/>
          <w:kern w:val="0"/>
          <w:szCs w:val="21"/>
          <w:highlight w:val="none"/>
          <w:lang w:val="ru-RU" w:eastAsia="ru-RU"/>
        </w:rPr>
        <w:t>分别为各项评审因素的得分；</w:t>
      </w:r>
    </w:p>
    <w:p w14:paraId="54FAF30A">
      <w:pPr>
        <w:adjustRightInd w:val="0"/>
        <w:snapToGrid w:val="0"/>
        <w:spacing w:line="460" w:lineRule="exact"/>
        <w:ind w:firstLine="420" w:firstLineChars="200"/>
        <w:rPr>
          <w:rFonts w:ascii="宋体" w:hAnsi="宋体" w:cs="宋体"/>
          <w:color w:val="auto"/>
          <w:kern w:val="0"/>
          <w:szCs w:val="21"/>
          <w:highlight w:val="none"/>
          <w:lang w:val="ru-RU" w:eastAsia="ru-RU"/>
        </w:rPr>
      </w:pPr>
      <w:r>
        <w:rPr>
          <w:rFonts w:hint="eastAsia" w:ascii="宋体" w:hAnsi="宋体" w:cs="宋体"/>
          <w:color w:val="auto"/>
          <w:kern w:val="0"/>
          <w:szCs w:val="21"/>
          <w:highlight w:val="none"/>
          <w:lang w:val="ru-RU" w:eastAsia="ru-RU"/>
        </w:rPr>
        <w:t>A</w:t>
      </w:r>
      <w:r>
        <w:rPr>
          <w:rFonts w:hint="eastAsia" w:ascii="宋体" w:hAnsi="宋体" w:cs="宋体"/>
          <w:color w:val="auto"/>
          <w:kern w:val="0"/>
          <w:szCs w:val="21"/>
          <w:highlight w:val="none"/>
          <w:vertAlign w:val="subscript"/>
          <w:lang w:val="ru-RU" w:eastAsia="ru-RU"/>
        </w:rPr>
        <w:t>1</w:t>
      </w:r>
      <w:r>
        <w:rPr>
          <w:rFonts w:hint="eastAsia" w:ascii="宋体" w:hAnsi="宋体" w:cs="宋体"/>
          <w:color w:val="auto"/>
          <w:kern w:val="0"/>
          <w:szCs w:val="21"/>
          <w:highlight w:val="none"/>
          <w:lang w:val="ru-RU" w:eastAsia="ru-RU"/>
        </w:rPr>
        <w:t>、A</w:t>
      </w:r>
      <w:r>
        <w:rPr>
          <w:rFonts w:hint="eastAsia" w:ascii="宋体" w:hAnsi="宋体" w:cs="宋体"/>
          <w:color w:val="auto"/>
          <w:kern w:val="0"/>
          <w:szCs w:val="21"/>
          <w:highlight w:val="none"/>
          <w:vertAlign w:val="subscript"/>
          <w:lang w:val="ru-RU" w:eastAsia="ru-RU"/>
        </w:rPr>
        <w:t>2</w:t>
      </w:r>
      <w:r>
        <w:rPr>
          <w:rFonts w:hint="eastAsia" w:ascii="宋体" w:hAnsi="宋体" w:cs="宋体"/>
          <w:color w:val="auto"/>
          <w:kern w:val="0"/>
          <w:szCs w:val="21"/>
          <w:highlight w:val="none"/>
          <w:lang w:val="ru-RU" w:eastAsia="ru-RU"/>
        </w:rPr>
        <w:t>、……A</w:t>
      </w:r>
      <w:r>
        <w:rPr>
          <w:rFonts w:hint="eastAsia" w:ascii="宋体" w:hAnsi="宋体" w:cs="宋体"/>
          <w:color w:val="auto"/>
          <w:kern w:val="0"/>
          <w:szCs w:val="21"/>
          <w:highlight w:val="none"/>
          <w:vertAlign w:val="subscript"/>
          <w:lang w:val="ru-RU" w:eastAsia="ru-RU"/>
        </w:rPr>
        <w:t>n</w:t>
      </w:r>
      <w:r>
        <w:rPr>
          <w:rFonts w:hint="eastAsia" w:ascii="宋体" w:hAnsi="宋体" w:cs="宋体"/>
          <w:color w:val="auto"/>
          <w:kern w:val="0"/>
          <w:szCs w:val="21"/>
          <w:highlight w:val="none"/>
          <w:lang w:val="ru-RU" w:eastAsia="ru-RU"/>
        </w:rPr>
        <w:t>分别为各项评审因素所占的权重（A</w:t>
      </w:r>
      <w:r>
        <w:rPr>
          <w:rFonts w:hint="eastAsia" w:ascii="宋体" w:hAnsi="宋体" w:cs="宋体"/>
          <w:color w:val="auto"/>
          <w:kern w:val="0"/>
          <w:szCs w:val="21"/>
          <w:highlight w:val="none"/>
          <w:vertAlign w:val="subscript"/>
          <w:lang w:val="ru-RU" w:eastAsia="ru-RU"/>
        </w:rPr>
        <w:t>1</w:t>
      </w:r>
      <w:r>
        <w:rPr>
          <w:rFonts w:hint="eastAsia" w:ascii="宋体" w:hAnsi="宋体" w:cs="宋体"/>
          <w:color w:val="auto"/>
          <w:kern w:val="0"/>
          <w:szCs w:val="21"/>
          <w:highlight w:val="none"/>
          <w:lang w:val="ru-RU" w:eastAsia="ru-RU"/>
        </w:rPr>
        <w:t>＋A</w:t>
      </w:r>
      <w:r>
        <w:rPr>
          <w:rFonts w:hint="eastAsia" w:ascii="宋体" w:hAnsi="宋体" w:cs="宋体"/>
          <w:color w:val="auto"/>
          <w:kern w:val="0"/>
          <w:szCs w:val="21"/>
          <w:highlight w:val="none"/>
          <w:vertAlign w:val="subscript"/>
          <w:lang w:val="ru-RU" w:eastAsia="ru-RU"/>
        </w:rPr>
        <w:t>2</w:t>
      </w:r>
      <w:r>
        <w:rPr>
          <w:rFonts w:hint="eastAsia" w:ascii="宋体" w:hAnsi="宋体" w:cs="宋体"/>
          <w:color w:val="auto"/>
          <w:kern w:val="0"/>
          <w:szCs w:val="21"/>
          <w:highlight w:val="none"/>
          <w:lang w:val="ru-RU" w:eastAsia="ru-RU"/>
        </w:rPr>
        <w:t>＋…＋A</w:t>
      </w:r>
      <w:r>
        <w:rPr>
          <w:rFonts w:hint="eastAsia" w:ascii="宋体" w:hAnsi="宋体" w:cs="宋体"/>
          <w:color w:val="auto"/>
          <w:kern w:val="0"/>
          <w:szCs w:val="21"/>
          <w:highlight w:val="none"/>
          <w:vertAlign w:val="subscript"/>
          <w:lang w:val="ru-RU" w:eastAsia="ru-RU"/>
        </w:rPr>
        <w:t>n</w:t>
      </w:r>
      <w:r>
        <w:rPr>
          <w:rFonts w:hint="eastAsia" w:ascii="宋体" w:hAnsi="宋体" w:cs="宋体"/>
          <w:color w:val="auto"/>
          <w:kern w:val="0"/>
          <w:szCs w:val="21"/>
          <w:highlight w:val="none"/>
          <w:lang w:val="ru-RU" w:eastAsia="ru-RU"/>
        </w:rPr>
        <w:t>＝1）。</w:t>
      </w:r>
    </w:p>
    <w:p w14:paraId="6C4967D7">
      <w:pPr>
        <w:adjustRightInd w:val="0"/>
        <w:snapToGrid w:val="0"/>
        <w:spacing w:before="156" w:beforeLines="50" w:line="360"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5.2评分分值计算保留小数点后两位，小数点后第三位“四舍五入”。</w:t>
      </w:r>
    </w:p>
    <w:p w14:paraId="2CFE2BB3">
      <w:pPr>
        <w:adjustRightInd w:val="0"/>
        <w:snapToGrid w:val="0"/>
        <w:spacing w:before="156" w:beforeLines="50" w:line="360" w:lineRule="auto"/>
        <w:ind w:firstLine="420" w:firstLineChars="200"/>
        <w:jc w:val="left"/>
        <w:rPr>
          <w:rFonts w:ascii="宋体" w:hAnsi="宋体" w:eastAsia="宋体"/>
          <w:color w:val="auto"/>
          <w:szCs w:val="21"/>
          <w:highlight w:val="none"/>
        </w:rPr>
      </w:pPr>
      <w:r>
        <w:rPr>
          <w:rFonts w:hint="eastAsia" w:ascii="宋体" w:hAnsi="宋体" w:eastAsia="宋体" w:cs="宋体"/>
          <w:color w:val="auto"/>
          <w:kern w:val="0"/>
          <w:szCs w:val="21"/>
          <w:highlight w:val="none"/>
        </w:rPr>
        <w:t>5.3</w:t>
      </w:r>
      <w:r>
        <w:rPr>
          <w:rFonts w:hint="eastAsia" w:ascii="宋体" w:hAnsi="宋体" w:eastAsia="宋体"/>
          <w:color w:val="auto"/>
          <w:szCs w:val="21"/>
          <w:highlight w:val="none"/>
        </w:rPr>
        <w:t>评标时，评标委员会成员应当独立对满足招标文件全部实质性要求投标人的</w:t>
      </w:r>
      <w:r>
        <w:rPr>
          <w:rFonts w:hint="eastAsia" w:ascii="宋体" w:hAnsi="宋体" w:eastAsia="宋体"/>
          <w:bCs/>
          <w:color w:val="auto"/>
          <w:szCs w:val="21"/>
          <w:highlight w:val="none"/>
        </w:rPr>
        <w:t>投标文件</w:t>
      </w:r>
      <w:r>
        <w:rPr>
          <w:rFonts w:hint="eastAsia" w:ascii="宋体" w:hAnsi="宋体" w:eastAsia="宋体"/>
          <w:color w:val="auto"/>
          <w:szCs w:val="21"/>
          <w:highlight w:val="none"/>
        </w:rPr>
        <w:t>进行评价、评分，然后汇总每个投标人每项评分因素的得分。每个投标人的最终得分为所有评标委员会成员评分的算术平均值。</w:t>
      </w:r>
    </w:p>
    <w:p w14:paraId="58C05557">
      <w:pPr>
        <w:numPr>
          <w:ilvl w:val="0"/>
          <w:numId w:val="3"/>
        </w:numPr>
        <w:adjustRightInd w:val="0"/>
        <w:snapToGrid w:val="0"/>
        <w:spacing w:before="156" w:beforeLines="50" w:line="360" w:lineRule="auto"/>
        <w:ind w:left="0" w:leftChars="0" w:firstLine="0" w:firstLineChars="0"/>
        <w:jc w:val="left"/>
        <w:rPr>
          <w:rFonts w:ascii="黑体" w:hAnsi="黑体" w:eastAsia="黑体"/>
          <w:b/>
          <w:bCs/>
          <w:color w:val="auto"/>
          <w:sz w:val="24"/>
          <w:highlight w:val="none"/>
        </w:rPr>
      </w:pPr>
      <w:r>
        <w:rPr>
          <w:rFonts w:hint="eastAsia" w:ascii="黑体" w:hAnsi="黑体" w:eastAsia="黑体"/>
          <w:b/>
          <w:bCs/>
          <w:color w:val="auto"/>
          <w:sz w:val="24"/>
          <w:highlight w:val="none"/>
        </w:rPr>
        <w:t>中标候选人的推荐方法</w:t>
      </w:r>
    </w:p>
    <w:p w14:paraId="7BC3B5B7">
      <w:pPr>
        <w:adjustRightInd w:val="0"/>
        <w:snapToGrid w:val="0"/>
        <w:spacing w:before="156" w:beforeLines="50" w:line="360" w:lineRule="auto"/>
        <w:ind w:firstLine="420" w:firstLineChars="200"/>
        <w:jc w:val="left"/>
        <w:rPr>
          <w:rFonts w:ascii="宋体" w:hAnsi="宋体" w:eastAsia="宋体"/>
          <w:bCs/>
          <w:color w:val="auto"/>
          <w:szCs w:val="21"/>
          <w:highlight w:val="none"/>
        </w:rPr>
      </w:pPr>
      <w:r>
        <w:rPr>
          <w:rFonts w:hint="eastAsia" w:ascii="宋体" w:hAnsi="宋体" w:eastAsia="宋体"/>
          <w:bCs/>
          <w:color w:val="auto"/>
          <w:szCs w:val="21"/>
          <w:highlight w:val="none"/>
        </w:rPr>
        <w:t>6.1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89040B0">
      <w:pPr>
        <w:adjustRightInd w:val="0"/>
        <w:snapToGrid w:val="0"/>
        <w:spacing w:before="156" w:beforeLines="50" w:line="360" w:lineRule="auto"/>
        <w:ind w:firstLine="420" w:firstLineChars="200"/>
        <w:jc w:val="left"/>
        <w:rPr>
          <w:rFonts w:ascii="宋体" w:hAnsi="宋体" w:eastAsia="宋体"/>
          <w:bCs/>
          <w:color w:val="auto"/>
          <w:szCs w:val="21"/>
          <w:highlight w:val="none"/>
        </w:rPr>
      </w:pPr>
      <w:r>
        <w:rPr>
          <w:rFonts w:hint="eastAsia" w:ascii="宋体" w:hAnsi="宋体" w:eastAsia="宋体"/>
          <w:bCs/>
          <w:color w:val="auto"/>
          <w:szCs w:val="21"/>
          <w:highlight w:val="none"/>
        </w:rPr>
        <w:t>6.2得分且投标报价相同的并列，按本章第二节规定确定中标候选人。</w:t>
      </w:r>
    </w:p>
    <w:p w14:paraId="10B04302">
      <w:pPr>
        <w:adjustRightInd w:val="0"/>
        <w:snapToGrid w:val="0"/>
        <w:spacing w:beforeLines="50" w:line="360" w:lineRule="auto"/>
        <w:ind w:firstLine="420" w:firstLineChars="200"/>
        <w:jc w:val="left"/>
        <w:rPr>
          <w:rFonts w:ascii="宋体" w:hAnsi="宋体" w:cs="宋体"/>
          <w:bCs/>
          <w:color w:val="auto"/>
          <w:szCs w:val="21"/>
          <w:highlight w:val="none"/>
        </w:rPr>
      </w:pPr>
    </w:p>
    <w:p w14:paraId="1D68D8FD">
      <w:pPr>
        <w:widowControl/>
        <w:jc w:val="left"/>
        <w:rPr>
          <w:rFonts w:ascii="宋体" w:hAnsi="宋体" w:cs="宋体"/>
          <w:bCs/>
          <w:color w:val="auto"/>
          <w:szCs w:val="21"/>
          <w:highlight w:val="none"/>
        </w:rPr>
      </w:pPr>
      <w:r>
        <w:rPr>
          <w:rFonts w:hint="eastAsia" w:ascii="宋体" w:hAnsi="宋体" w:cs="宋体"/>
          <w:bCs/>
          <w:color w:val="auto"/>
          <w:szCs w:val="21"/>
          <w:highlight w:val="none"/>
        </w:rPr>
        <w:br w:type="page"/>
      </w:r>
    </w:p>
    <w:p w14:paraId="0DD03B00">
      <w:pPr>
        <w:pStyle w:val="6"/>
        <w:adjustRightInd w:val="0"/>
        <w:snapToGrid w:val="0"/>
        <w:spacing w:beforeLines="50" w:after="0" w:line="360" w:lineRule="auto"/>
        <w:rPr>
          <w:rFonts w:ascii="宋体" w:hAnsi="宋体" w:cs="宋体"/>
          <w:color w:val="auto"/>
          <w:sz w:val="21"/>
          <w:szCs w:val="21"/>
          <w:highlight w:val="none"/>
        </w:rPr>
      </w:pPr>
      <w:bookmarkStart w:id="70" w:name="_Toc5388"/>
      <w:r>
        <w:rPr>
          <w:rFonts w:hint="eastAsia" w:ascii="宋体" w:hAnsi="宋体" w:cs="宋体"/>
          <w:color w:val="auto"/>
          <w:sz w:val="21"/>
          <w:szCs w:val="21"/>
          <w:highlight w:val="none"/>
        </w:rPr>
        <w:t>附页1 评标方法及标准表</w:t>
      </w:r>
      <w:bookmarkEnd w:id="70"/>
    </w:p>
    <w:p w14:paraId="4E8E7519">
      <w:pPr>
        <w:spacing w:beforeLines="30" w:afterLines="30"/>
        <w:jc w:val="center"/>
        <w:rPr>
          <w:rFonts w:ascii="宋体" w:hAnsi="宋体" w:cs="宋体"/>
          <w:b/>
          <w:color w:val="auto"/>
          <w:highlight w:val="none"/>
        </w:rPr>
      </w:pPr>
      <w:r>
        <w:rPr>
          <w:rFonts w:hint="eastAsia" w:ascii="宋体" w:hAnsi="宋体" w:cs="宋体"/>
          <w:b/>
          <w:color w:val="auto"/>
          <w:highlight w:val="none"/>
        </w:rPr>
        <w:t>附表 1、本采购项目的权值见下表</w:t>
      </w:r>
    </w:p>
    <w:tbl>
      <w:tblPr>
        <w:tblStyle w:val="4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4620"/>
        <w:gridCol w:w="3488"/>
      </w:tblGrid>
      <w:tr w14:paraId="0CE3D4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l2br w:val="nil"/>
              <w:tr2bl w:val="nil"/>
            </w:tcBorders>
            <w:vAlign w:val="center"/>
          </w:tcPr>
          <w:p w14:paraId="00B6A362">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序号</w:t>
            </w:r>
          </w:p>
        </w:tc>
        <w:tc>
          <w:tcPr>
            <w:tcW w:w="4680" w:type="dxa"/>
            <w:tcBorders>
              <w:tl2br w:val="nil"/>
              <w:tr2bl w:val="nil"/>
            </w:tcBorders>
            <w:vAlign w:val="center"/>
          </w:tcPr>
          <w:p w14:paraId="722E1C47">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项</w:t>
            </w:r>
            <w:r>
              <w:rPr>
                <w:rFonts w:hint="eastAsia" w:ascii="宋体" w:hAnsi="宋体" w:cs="宋体"/>
                <w:b/>
                <w:bCs/>
                <w:color w:val="auto"/>
                <w:sz w:val="18"/>
                <w:szCs w:val="18"/>
                <w:highlight w:val="none"/>
              </w:rPr>
              <w:tab/>
            </w:r>
            <w:r>
              <w:rPr>
                <w:rFonts w:hint="eastAsia" w:ascii="宋体" w:hAnsi="宋体" w:cs="宋体"/>
                <w:b/>
                <w:bCs/>
                <w:color w:val="auto"/>
                <w:sz w:val="18"/>
                <w:szCs w:val="18"/>
                <w:highlight w:val="none"/>
              </w:rPr>
              <w:t>目</w:t>
            </w:r>
          </w:p>
        </w:tc>
        <w:tc>
          <w:tcPr>
            <w:tcW w:w="3533" w:type="dxa"/>
            <w:tcBorders>
              <w:tl2br w:val="nil"/>
              <w:tr2bl w:val="nil"/>
            </w:tcBorders>
            <w:vAlign w:val="center"/>
          </w:tcPr>
          <w:p w14:paraId="68D52B4D">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权值的取值</w:t>
            </w:r>
          </w:p>
        </w:tc>
      </w:tr>
      <w:tr w14:paraId="1D5484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l2br w:val="nil"/>
              <w:tr2bl w:val="nil"/>
            </w:tcBorders>
            <w:vAlign w:val="center"/>
          </w:tcPr>
          <w:p w14:paraId="3E380B8F">
            <w:pPr>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4680" w:type="dxa"/>
            <w:tcBorders>
              <w:tl2br w:val="nil"/>
              <w:tr2bl w:val="nil"/>
            </w:tcBorders>
            <w:vAlign w:val="center"/>
          </w:tcPr>
          <w:p w14:paraId="2D3FFABB">
            <w:pPr>
              <w:jc w:val="center"/>
              <w:rPr>
                <w:rFonts w:ascii="宋体" w:hAnsi="宋体" w:cs="宋体"/>
                <w:color w:val="auto"/>
                <w:sz w:val="18"/>
                <w:szCs w:val="18"/>
                <w:highlight w:val="none"/>
              </w:rPr>
            </w:pPr>
            <w:r>
              <w:rPr>
                <w:rFonts w:hint="eastAsia" w:ascii="宋体" w:hAnsi="宋体" w:cs="宋体"/>
                <w:color w:val="auto"/>
                <w:sz w:val="18"/>
                <w:szCs w:val="18"/>
                <w:highlight w:val="none"/>
              </w:rPr>
              <w:t>报价（A1）</w:t>
            </w:r>
          </w:p>
        </w:tc>
        <w:tc>
          <w:tcPr>
            <w:tcW w:w="3533" w:type="dxa"/>
            <w:tcBorders>
              <w:tl2br w:val="nil"/>
              <w:tr2bl w:val="nil"/>
            </w:tcBorders>
            <w:vAlign w:val="center"/>
          </w:tcPr>
          <w:p w14:paraId="4EA5AB53">
            <w:pPr>
              <w:jc w:val="center"/>
              <w:rPr>
                <w:rFonts w:ascii="宋体" w:hAnsi="宋体" w:cs="宋体"/>
                <w:color w:val="auto"/>
                <w:sz w:val="18"/>
                <w:szCs w:val="18"/>
                <w:highlight w:val="none"/>
              </w:rPr>
            </w:pPr>
            <w:r>
              <w:rPr>
                <w:rFonts w:hint="eastAsia" w:ascii="宋体" w:hAnsi="宋体" w:cs="宋体"/>
                <w:color w:val="auto"/>
                <w:sz w:val="18"/>
                <w:szCs w:val="18"/>
                <w:highlight w:val="none"/>
              </w:rPr>
              <w:t>0.</w:t>
            </w:r>
            <w:r>
              <w:rPr>
                <w:rFonts w:hint="eastAsia" w:ascii="宋体" w:hAnsi="宋体" w:cs="宋体"/>
                <w:color w:val="auto"/>
                <w:sz w:val="18"/>
                <w:szCs w:val="18"/>
                <w:highlight w:val="none"/>
                <w:lang w:val="en-US" w:eastAsia="zh-CN"/>
              </w:rPr>
              <w:t>6</w:t>
            </w:r>
            <w:r>
              <w:rPr>
                <w:rFonts w:hint="eastAsia" w:ascii="宋体" w:hAnsi="宋体" w:cs="宋体"/>
                <w:color w:val="auto"/>
                <w:sz w:val="18"/>
                <w:szCs w:val="18"/>
                <w:highlight w:val="none"/>
              </w:rPr>
              <w:t>0</w:t>
            </w:r>
          </w:p>
        </w:tc>
      </w:tr>
      <w:tr w14:paraId="56C6D4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l2br w:val="nil"/>
              <w:tr2bl w:val="nil"/>
            </w:tcBorders>
            <w:vAlign w:val="center"/>
          </w:tcPr>
          <w:p w14:paraId="597AF50B">
            <w:pPr>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4680" w:type="dxa"/>
            <w:tcBorders>
              <w:tl2br w:val="nil"/>
              <w:tr2bl w:val="nil"/>
            </w:tcBorders>
            <w:vAlign w:val="center"/>
          </w:tcPr>
          <w:p w14:paraId="2EA4465D">
            <w:pPr>
              <w:jc w:val="center"/>
              <w:rPr>
                <w:rFonts w:ascii="宋体" w:hAnsi="宋体" w:cs="宋体"/>
                <w:color w:val="auto"/>
                <w:sz w:val="18"/>
                <w:szCs w:val="18"/>
                <w:highlight w:val="none"/>
              </w:rPr>
            </w:pPr>
            <w:r>
              <w:rPr>
                <w:rFonts w:hint="eastAsia" w:ascii="宋体" w:hAnsi="宋体" w:cs="宋体"/>
                <w:color w:val="auto"/>
                <w:sz w:val="18"/>
                <w:szCs w:val="18"/>
                <w:highlight w:val="none"/>
              </w:rPr>
              <w:t>技术（A2）</w:t>
            </w:r>
          </w:p>
        </w:tc>
        <w:tc>
          <w:tcPr>
            <w:tcW w:w="3533" w:type="dxa"/>
            <w:tcBorders>
              <w:tl2br w:val="nil"/>
              <w:tr2bl w:val="nil"/>
            </w:tcBorders>
            <w:vAlign w:val="center"/>
          </w:tcPr>
          <w:p w14:paraId="2D8F8C59">
            <w:pPr>
              <w:jc w:val="center"/>
              <w:rPr>
                <w:rFonts w:ascii="宋体" w:hAnsi="宋体" w:cs="宋体"/>
                <w:color w:val="auto"/>
                <w:sz w:val="18"/>
                <w:szCs w:val="18"/>
                <w:highlight w:val="none"/>
              </w:rPr>
            </w:pPr>
            <w:r>
              <w:rPr>
                <w:rFonts w:hint="eastAsia" w:ascii="宋体" w:hAnsi="宋体" w:cs="宋体"/>
                <w:color w:val="auto"/>
                <w:sz w:val="18"/>
                <w:szCs w:val="18"/>
                <w:highlight w:val="none"/>
              </w:rPr>
              <w:t>0.</w:t>
            </w:r>
            <w:r>
              <w:rPr>
                <w:rFonts w:hint="eastAsia" w:ascii="宋体" w:hAnsi="宋体" w:cs="宋体"/>
                <w:color w:val="auto"/>
                <w:sz w:val="18"/>
                <w:szCs w:val="18"/>
                <w:highlight w:val="none"/>
                <w:lang w:val="en-US" w:eastAsia="zh-CN"/>
              </w:rPr>
              <w:t>1</w:t>
            </w:r>
            <w:r>
              <w:rPr>
                <w:rFonts w:hint="eastAsia" w:ascii="宋体" w:hAnsi="宋体" w:cs="宋体"/>
                <w:color w:val="auto"/>
                <w:sz w:val="18"/>
                <w:szCs w:val="18"/>
                <w:highlight w:val="none"/>
              </w:rPr>
              <w:t>0</w:t>
            </w:r>
          </w:p>
        </w:tc>
      </w:tr>
      <w:tr w14:paraId="7CB47B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l2br w:val="nil"/>
              <w:tr2bl w:val="nil"/>
            </w:tcBorders>
            <w:vAlign w:val="center"/>
          </w:tcPr>
          <w:p w14:paraId="5A50E5AE">
            <w:pPr>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4680" w:type="dxa"/>
            <w:tcBorders>
              <w:tl2br w:val="nil"/>
              <w:tr2bl w:val="nil"/>
            </w:tcBorders>
            <w:vAlign w:val="center"/>
          </w:tcPr>
          <w:p w14:paraId="09C86097">
            <w:pPr>
              <w:jc w:val="center"/>
              <w:rPr>
                <w:rFonts w:ascii="宋体" w:hAnsi="宋体" w:cs="宋体"/>
                <w:color w:val="auto"/>
                <w:sz w:val="18"/>
                <w:szCs w:val="18"/>
                <w:highlight w:val="none"/>
              </w:rPr>
            </w:pPr>
            <w:r>
              <w:rPr>
                <w:rFonts w:hint="eastAsia" w:ascii="宋体" w:hAnsi="宋体" w:cs="宋体"/>
                <w:color w:val="auto"/>
                <w:sz w:val="18"/>
                <w:szCs w:val="18"/>
                <w:highlight w:val="none"/>
              </w:rPr>
              <w:t>商务（A3）</w:t>
            </w:r>
          </w:p>
        </w:tc>
        <w:tc>
          <w:tcPr>
            <w:tcW w:w="3533" w:type="dxa"/>
            <w:tcBorders>
              <w:tl2br w:val="nil"/>
              <w:tr2bl w:val="nil"/>
            </w:tcBorders>
            <w:vAlign w:val="center"/>
          </w:tcPr>
          <w:p w14:paraId="7142E7DF">
            <w:pPr>
              <w:jc w:val="center"/>
              <w:rPr>
                <w:rFonts w:ascii="宋体" w:hAnsi="宋体" w:cs="宋体"/>
                <w:color w:val="auto"/>
                <w:sz w:val="18"/>
                <w:szCs w:val="18"/>
                <w:highlight w:val="none"/>
              </w:rPr>
            </w:pPr>
            <w:r>
              <w:rPr>
                <w:rFonts w:hint="eastAsia" w:ascii="宋体" w:hAnsi="宋体" w:cs="宋体"/>
                <w:color w:val="auto"/>
                <w:sz w:val="18"/>
                <w:szCs w:val="18"/>
                <w:highlight w:val="none"/>
              </w:rPr>
              <w:t>0.</w:t>
            </w: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0</w:t>
            </w:r>
          </w:p>
        </w:tc>
      </w:tr>
      <w:tr w14:paraId="62FE08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527" w:type="dxa"/>
            <w:gridSpan w:val="2"/>
            <w:tcBorders>
              <w:tl2br w:val="nil"/>
              <w:tr2bl w:val="nil"/>
            </w:tcBorders>
            <w:vAlign w:val="center"/>
          </w:tcPr>
          <w:p w14:paraId="5D1D50AF">
            <w:pPr>
              <w:jc w:val="center"/>
              <w:rPr>
                <w:rFonts w:ascii="宋体" w:hAnsi="宋体" w:cs="宋体"/>
                <w:color w:val="auto"/>
                <w:sz w:val="18"/>
                <w:szCs w:val="18"/>
                <w:highlight w:val="none"/>
              </w:rPr>
            </w:pPr>
            <w:r>
              <w:rPr>
                <w:rFonts w:hint="eastAsia" w:ascii="宋体" w:hAnsi="宋体" w:cs="宋体"/>
                <w:color w:val="auto"/>
                <w:sz w:val="18"/>
                <w:szCs w:val="18"/>
                <w:highlight w:val="none"/>
              </w:rPr>
              <w:t>合计</w:t>
            </w:r>
          </w:p>
        </w:tc>
        <w:tc>
          <w:tcPr>
            <w:tcW w:w="3533" w:type="dxa"/>
            <w:tcBorders>
              <w:tl2br w:val="nil"/>
              <w:tr2bl w:val="nil"/>
            </w:tcBorders>
            <w:vAlign w:val="center"/>
          </w:tcPr>
          <w:p w14:paraId="6C7BF75A">
            <w:pPr>
              <w:jc w:val="center"/>
              <w:rPr>
                <w:rFonts w:ascii="宋体" w:hAnsi="宋体" w:cs="宋体"/>
                <w:color w:val="auto"/>
                <w:sz w:val="18"/>
                <w:szCs w:val="18"/>
                <w:highlight w:val="none"/>
              </w:rPr>
            </w:pPr>
            <w:r>
              <w:rPr>
                <w:rFonts w:hint="eastAsia" w:ascii="宋体" w:hAnsi="宋体" w:cs="宋体"/>
                <w:color w:val="auto"/>
                <w:sz w:val="18"/>
                <w:szCs w:val="18"/>
                <w:highlight w:val="none"/>
              </w:rPr>
              <w:t>1.00</w:t>
            </w:r>
          </w:p>
        </w:tc>
      </w:tr>
    </w:tbl>
    <w:p w14:paraId="7F9CAB08">
      <w:pPr>
        <w:spacing w:beforeLines="30" w:afterLines="30"/>
        <w:rPr>
          <w:rFonts w:ascii="宋体" w:hAnsi="宋体" w:cs="宋体"/>
          <w:b/>
          <w:color w:val="auto"/>
          <w:highlight w:val="none"/>
        </w:rPr>
      </w:pPr>
    </w:p>
    <w:p w14:paraId="03DD2882">
      <w:pPr>
        <w:spacing w:beforeLines="30" w:afterLines="30" w:line="360" w:lineRule="auto"/>
        <w:jc w:val="center"/>
        <w:rPr>
          <w:rFonts w:ascii="宋体" w:hAnsi="宋体" w:cs="宋体"/>
          <w:b/>
          <w:color w:val="auto"/>
          <w:highlight w:val="none"/>
        </w:rPr>
      </w:pPr>
    </w:p>
    <w:p w14:paraId="35C8A6AD">
      <w:pPr>
        <w:spacing w:beforeLines="30" w:afterLines="30" w:line="360" w:lineRule="auto"/>
        <w:jc w:val="center"/>
        <w:rPr>
          <w:rFonts w:ascii="宋体" w:hAnsi="宋体" w:cs="宋体"/>
          <w:b/>
          <w:color w:val="auto"/>
          <w:highlight w:val="none"/>
        </w:rPr>
      </w:pPr>
      <w:r>
        <w:rPr>
          <w:rFonts w:hint="eastAsia" w:ascii="宋体" w:hAnsi="宋体" w:cs="宋体"/>
          <w:b/>
          <w:color w:val="auto"/>
          <w:highlight w:val="none"/>
        </w:rPr>
        <w:t>附表 1.1 投标报价评审标准表</w:t>
      </w:r>
    </w:p>
    <w:tbl>
      <w:tblPr>
        <w:tblStyle w:val="4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860"/>
        <w:gridCol w:w="6426"/>
      </w:tblGrid>
      <w:tr w14:paraId="42239B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661" w:type="dxa"/>
            <w:tcBorders>
              <w:tl2br w:val="nil"/>
              <w:tr2bl w:val="nil"/>
            </w:tcBorders>
            <w:vAlign w:val="center"/>
          </w:tcPr>
          <w:p w14:paraId="7E6F112F">
            <w:pPr>
              <w:spacing w:line="360" w:lineRule="auto"/>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序号</w:t>
            </w:r>
          </w:p>
        </w:tc>
        <w:tc>
          <w:tcPr>
            <w:tcW w:w="1860" w:type="dxa"/>
            <w:tcBorders>
              <w:tl2br w:val="nil"/>
              <w:tr2bl w:val="nil"/>
            </w:tcBorders>
            <w:vAlign w:val="center"/>
          </w:tcPr>
          <w:p w14:paraId="6D3ED5D3">
            <w:pPr>
              <w:spacing w:line="360" w:lineRule="auto"/>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评标因素（权重分）</w:t>
            </w:r>
          </w:p>
        </w:tc>
        <w:tc>
          <w:tcPr>
            <w:tcW w:w="6426" w:type="dxa"/>
            <w:tcBorders>
              <w:tl2br w:val="nil"/>
              <w:tr2bl w:val="nil"/>
            </w:tcBorders>
            <w:vAlign w:val="center"/>
          </w:tcPr>
          <w:p w14:paraId="36F33726">
            <w:pPr>
              <w:spacing w:line="360" w:lineRule="auto"/>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评标标准</w:t>
            </w:r>
          </w:p>
        </w:tc>
      </w:tr>
      <w:tr w14:paraId="08499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661" w:type="dxa"/>
            <w:tcBorders>
              <w:tl2br w:val="nil"/>
              <w:tr2bl w:val="nil"/>
            </w:tcBorders>
            <w:vAlign w:val="center"/>
          </w:tcPr>
          <w:p w14:paraId="4FFBC397">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1860" w:type="dxa"/>
            <w:tcBorders>
              <w:tl2br w:val="nil"/>
              <w:tr2bl w:val="nil"/>
            </w:tcBorders>
            <w:vAlign w:val="center"/>
          </w:tcPr>
          <w:p w14:paraId="48762D96">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价格评价项</w:t>
            </w:r>
          </w:p>
          <w:p w14:paraId="0C6C1BC7">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（F=100 分）</w:t>
            </w:r>
          </w:p>
        </w:tc>
        <w:tc>
          <w:tcPr>
            <w:tcW w:w="6426" w:type="dxa"/>
            <w:tcBorders>
              <w:tl2br w:val="nil"/>
              <w:tr2bl w:val="nil"/>
            </w:tcBorders>
            <w:vAlign w:val="center"/>
          </w:tcPr>
          <w:p w14:paraId="4F9C6985">
            <w:pPr>
              <w:spacing w:line="240" w:lineRule="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满足招标文件要求且投标价格最低的投标报价为评标基准价，投标报价得分=（评标基准价</w:t>
            </w:r>
            <w:r>
              <w:rPr>
                <w:rFonts w:hint="eastAsia" w:ascii="宋体" w:hAnsi="宋体" w:eastAsia="宋体" w:cs="宋体"/>
                <w:color w:val="auto"/>
                <w:kern w:val="2"/>
                <w:position w:val="-2"/>
                <w:sz w:val="9"/>
                <w:szCs w:val="24"/>
                <w:highlight w:val="none"/>
                <w:lang w:val="en-US" w:eastAsia="zh-CN" w:bidi="zh-CN"/>
              </w:rPr>
              <w:t>修正或调整</w:t>
            </w:r>
            <w:r>
              <w:rPr>
                <w:rFonts w:hint="eastAsia" w:ascii="宋体" w:hAnsi="宋体" w:eastAsia="宋体" w:cs="宋体"/>
                <w:color w:val="auto"/>
                <w:kern w:val="2"/>
                <w:sz w:val="18"/>
                <w:szCs w:val="18"/>
                <w:highlight w:val="none"/>
                <w:lang w:val="en-US" w:eastAsia="zh-CN" w:bidi="ar-SA"/>
              </w:rPr>
              <w:t>／投标报价</w:t>
            </w:r>
            <w:r>
              <w:rPr>
                <w:rFonts w:hint="eastAsia" w:ascii="宋体" w:hAnsi="宋体" w:eastAsia="宋体" w:cs="宋体"/>
                <w:color w:val="auto"/>
                <w:kern w:val="2"/>
                <w:position w:val="-2"/>
                <w:sz w:val="9"/>
                <w:szCs w:val="24"/>
                <w:highlight w:val="none"/>
                <w:lang w:val="en-US" w:eastAsia="zh-CN" w:bidi="zh-CN"/>
              </w:rPr>
              <w:t>修正或调整</w:t>
            </w:r>
            <w:r>
              <w:rPr>
                <w:rFonts w:hint="eastAsia" w:ascii="宋体" w:hAnsi="宋体" w:eastAsia="宋体" w:cs="宋体"/>
                <w:color w:val="auto"/>
                <w:kern w:val="2"/>
                <w:sz w:val="18"/>
                <w:szCs w:val="18"/>
                <w:highlight w:val="none"/>
                <w:lang w:val="en-US" w:eastAsia="zh-CN" w:bidi="ar-SA"/>
              </w:rPr>
              <w:t>）×100 分。</w:t>
            </w:r>
          </w:p>
          <w:p w14:paraId="52B41DCC">
            <w:pPr>
              <w:spacing w:line="240" w:lineRule="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14:paraId="371B42F7">
      <w:pPr>
        <w:rPr>
          <w:rFonts w:ascii="宋体" w:hAnsi="宋体" w:cs="宋体"/>
          <w:b/>
          <w:color w:val="auto"/>
          <w:highlight w:val="none"/>
        </w:rPr>
      </w:pPr>
    </w:p>
    <w:p w14:paraId="2D483AB5">
      <w:pPr>
        <w:rPr>
          <w:rFonts w:ascii="宋体" w:hAnsi="宋体" w:cs="宋体"/>
          <w:b/>
          <w:color w:val="auto"/>
          <w:highlight w:val="none"/>
        </w:rPr>
      </w:pPr>
      <w:r>
        <w:rPr>
          <w:rFonts w:hint="eastAsia" w:ascii="宋体" w:hAnsi="宋体" w:cs="宋体"/>
          <w:b/>
          <w:color w:val="auto"/>
          <w:highlight w:val="none"/>
        </w:rPr>
        <w:br w:type="page"/>
      </w:r>
    </w:p>
    <w:p w14:paraId="18B19B33">
      <w:pPr>
        <w:spacing w:beforeLines="30" w:afterLines="30" w:line="360" w:lineRule="auto"/>
        <w:jc w:val="center"/>
        <w:rPr>
          <w:rFonts w:ascii="宋体" w:hAnsi="宋体" w:cs="宋体"/>
          <w:b/>
          <w:color w:val="auto"/>
          <w:highlight w:val="none"/>
        </w:rPr>
      </w:pPr>
      <w:r>
        <w:rPr>
          <w:rFonts w:hint="eastAsia" w:ascii="宋体" w:hAnsi="宋体" w:cs="宋体"/>
          <w:b/>
          <w:color w:val="auto"/>
          <w:highlight w:val="none"/>
        </w:rPr>
        <w:t>附表 1.2 技术部分评审标准表</w:t>
      </w:r>
    </w:p>
    <w:tbl>
      <w:tblPr>
        <w:tblStyle w:val="4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40"/>
        <w:gridCol w:w="893"/>
        <w:gridCol w:w="1087"/>
        <w:gridCol w:w="6527"/>
      </w:tblGrid>
      <w:tr w14:paraId="0C22D6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40" w:type="dxa"/>
            <w:tcBorders>
              <w:tl2br w:val="nil"/>
              <w:tr2bl w:val="nil"/>
            </w:tcBorders>
            <w:vAlign w:val="center"/>
          </w:tcPr>
          <w:p w14:paraId="5A34D03A">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序号</w:t>
            </w:r>
          </w:p>
        </w:tc>
        <w:tc>
          <w:tcPr>
            <w:tcW w:w="893" w:type="dxa"/>
            <w:tcBorders>
              <w:tl2br w:val="nil"/>
              <w:tr2bl w:val="nil"/>
            </w:tcBorders>
            <w:vAlign w:val="center"/>
          </w:tcPr>
          <w:p w14:paraId="50B00C26">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评标因素（权重分）</w:t>
            </w:r>
          </w:p>
        </w:tc>
        <w:tc>
          <w:tcPr>
            <w:tcW w:w="7614" w:type="dxa"/>
            <w:gridSpan w:val="2"/>
            <w:tcBorders>
              <w:tl2br w:val="nil"/>
              <w:tr2bl w:val="nil"/>
            </w:tcBorders>
            <w:vAlign w:val="center"/>
          </w:tcPr>
          <w:p w14:paraId="049AEE27">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评标标准</w:t>
            </w:r>
          </w:p>
        </w:tc>
      </w:tr>
      <w:tr w14:paraId="1BA812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40" w:type="dxa"/>
            <w:vMerge w:val="restart"/>
            <w:tcBorders>
              <w:tl2br w:val="nil"/>
              <w:tr2bl w:val="nil"/>
            </w:tcBorders>
            <w:vAlign w:val="center"/>
          </w:tcPr>
          <w:p w14:paraId="4D466D7C">
            <w:pPr>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93" w:type="dxa"/>
            <w:vMerge w:val="restart"/>
            <w:tcBorders>
              <w:tl2br w:val="nil"/>
              <w:tr2bl w:val="nil"/>
            </w:tcBorders>
            <w:vAlign w:val="center"/>
          </w:tcPr>
          <w:p w14:paraId="1D186D9B">
            <w:pPr>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技术评价项</w:t>
            </w:r>
          </w:p>
          <w:p w14:paraId="73181D96">
            <w:pPr>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（F=100 分）</w:t>
            </w:r>
          </w:p>
        </w:tc>
        <w:tc>
          <w:tcPr>
            <w:tcW w:w="1087" w:type="dxa"/>
            <w:tcBorders>
              <w:tl2br w:val="nil"/>
              <w:tr2bl w:val="nil"/>
            </w:tcBorders>
            <w:shd w:val="clear" w:color="auto" w:fill="auto"/>
            <w:vAlign w:val="center"/>
          </w:tcPr>
          <w:p w14:paraId="6CA97CAA">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整体服务方案</w:t>
            </w:r>
          </w:p>
          <w:p w14:paraId="59AAE80E">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CN"/>
              </w:rPr>
              <w:t>（</w:t>
            </w: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lang w:val="en-US" w:eastAsia="zh-CN"/>
              </w:rPr>
              <w:t>0</w:t>
            </w:r>
            <w:r>
              <w:rPr>
                <w:rFonts w:hint="eastAsia" w:ascii="宋体" w:hAnsi="宋体" w:cs="宋体"/>
                <w:color w:val="auto"/>
                <w:sz w:val="18"/>
                <w:szCs w:val="18"/>
                <w:highlight w:val="none"/>
                <w:lang w:val="en-US" w:eastAsia="zh-CN"/>
              </w:rPr>
              <w:t>分</w:t>
            </w:r>
            <w:r>
              <w:rPr>
                <w:rFonts w:hint="eastAsia" w:ascii="宋体" w:hAnsi="宋体" w:eastAsia="宋体" w:cs="宋体"/>
                <w:color w:val="auto"/>
                <w:sz w:val="18"/>
                <w:szCs w:val="18"/>
                <w:highlight w:val="none"/>
                <w:lang w:eastAsia="zh-CN"/>
              </w:rPr>
              <w:t>）</w:t>
            </w:r>
          </w:p>
        </w:tc>
        <w:tc>
          <w:tcPr>
            <w:tcW w:w="6527" w:type="dxa"/>
            <w:tcBorders>
              <w:tl2br w:val="nil"/>
              <w:tr2bl w:val="nil"/>
            </w:tcBorders>
            <w:shd w:val="clear" w:color="auto" w:fill="auto"/>
            <w:vAlign w:val="center"/>
          </w:tcPr>
          <w:p w14:paraId="662A64E9">
            <w:pPr>
              <w:spacing w:line="240" w:lineRule="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投标人根据需求的理解提供完整的物业服务整体设想及策划方案（方案包括但不限于项目需求分析及设想</w:t>
            </w:r>
            <w:r>
              <w:rPr>
                <w:rFonts w:hint="eastAsia" w:ascii="宋体" w:hAnsi="宋体" w:cs="宋体"/>
                <w:color w:val="auto"/>
                <w:kern w:val="2"/>
                <w:sz w:val="18"/>
                <w:szCs w:val="18"/>
                <w:highlight w:val="none"/>
                <w:lang w:val="en-US" w:eastAsia="zh-CN" w:bidi="ar-SA"/>
              </w:rPr>
              <w:t>、</w:t>
            </w:r>
            <w:r>
              <w:rPr>
                <w:rFonts w:hint="eastAsia" w:ascii="宋体" w:hAnsi="宋体" w:eastAsia="宋体" w:cs="宋体"/>
                <w:color w:val="auto"/>
                <w:kern w:val="2"/>
                <w:sz w:val="18"/>
                <w:szCs w:val="18"/>
                <w:highlight w:val="none"/>
                <w:lang w:val="en-US" w:eastAsia="zh-CN" w:bidi="ar-SA"/>
              </w:rPr>
              <w:t>项目管理指标</w:t>
            </w:r>
            <w:r>
              <w:rPr>
                <w:rFonts w:hint="eastAsia" w:ascii="宋体" w:hAnsi="宋体" w:cs="宋体"/>
                <w:color w:val="auto"/>
                <w:kern w:val="2"/>
                <w:sz w:val="18"/>
                <w:szCs w:val="18"/>
                <w:highlight w:val="none"/>
                <w:lang w:val="en-US" w:eastAsia="zh-CN" w:bidi="ar-SA"/>
              </w:rPr>
              <w:t>、</w:t>
            </w:r>
            <w:r>
              <w:rPr>
                <w:rFonts w:hint="eastAsia" w:ascii="宋体" w:hAnsi="宋体" w:eastAsia="宋体" w:cs="宋体"/>
                <w:color w:val="auto"/>
                <w:kern w:val="2"/>
                <w:sz w:val="18"/>
                <w:szCs w:val="18"/>
                <w:highlight w:val="none"/>
                <w:lang w:val="en-US" w:eastAsia="zh-CN" w:bidi="ar-SA"/>
              </w:rPr>
              <w:t>监督考核机制</w:t>
            </w:r>
            <w:r>
              <w:rPr>
                <w:rFonts w:hint="eastAsia" w:ascii="宋体" w:hAnsi="宋体" w:cs="宋体"/>
                <w:color w:val="auto"/>
                <w:kern w:val="2"/>
                <w:sz w:val="18"/>
                <w:szCs w:val="18"/>
                <w:highlight w:val="none"/>
                <w:lang w:val="en-US" w:eastAsia="zh-CN" w:bidi="ar-SA"/>
              </w:rPr>
              <w:t>、</w:t>
            </w:r>
            <w:r>
              <w:rPr>
                <w:rFonts w:hint="eastAsia" w:ascii="宋体" w:hAnsi="宋体" w:eastAsia="宋体" w:cs="宋体"/>
                <w:color w:val="auto"/>
                <w:kern w:val="2"/>
                <w:sz w:val="18"/>
                <w:szCs w:val="18"/>
                <w:highlight w:val="none"/>
                <w:lang w:val="en-US" w:eastAsia="zh-CN" w:bidi="ar-SA"/>
              </w:rPr>
              <w:t>管理指标及保障措施</w:t>
            </w:r>
            <w:r>
              <w:rPr>
                <w:rFonts w:hint="eastAsia" w:ascii="宋体" w:hAnsi="宋体" w:cs="宋体"/>
                <w:color w:val="auto"/>
                <w:kern w:val="2"/>
                <w:sz w:val="18"/>
                <w:szCs w:val="18"/>
                <w:highlight w:val="none"/>
                <w:lang w:val="en-US" w:eastAsia="zh-CN" w:bidi="ar-SA"/>
              </w:rPr>
              <w:t>、</w:t>
            </w:r>
            <w:r>
              <w:rPr>
                <w:rFonts w:hint="eastAsia" w:ascii="宋体" w:hAnsi="宋体" w:eastAsia="宋体" w:cs="宋体"/>
                <w:color w:val="auto"/>
                <w:kern w:val="2"/>
                <w:sz w:val="18"/>
                <w:szCs w:val="18"/>
                <w:highlight w:val="none"/>
                <w:lang w:val="en-US" w:eastAsia="zh-CN" w:bidi="ar-SA"/>
              </w:rPr>
              <w:t>运作模式</w:t>
            </w:r>
            <w:r>
              <w:rPr>
                <w:rFonts w:hint="eastAsia" w:ascii="宋体" w:hAnsi="宋体" w:cs="宋体"/>
                <w:color w:val="auto"/>
                <w:kern w:val="2"/>
                <w:sz w:val="18"/>
                <w:szCs w:val="18"/>
                <w:highlight w:val="none"/>
                <w:lang w:val="en-US" w:eastAsia="zh-CN" w:bidi="ar-SA"/>
              </w:rPr>
              <w:t>、</w:t>
            </w:r>
            <w:r>
              <w:rPr>
                <w:rFonts w:hint="eastAsia" w:ascii="宋体" w:hAnsi="宋体" w:eastAsia="宋体" w:cs="宋体"/>
                <w:color w:val="auto"/>
                <w:kern w:val="2"/>
                <w:sz w:val="18"/>
                <w:szCs w:val="18"/>
                <w:highlight w:val="none"/>
                <w:lang w:val="en-US" w:eastAsia="zh-CN" w:bidi="ar-SA"/>
              </w:rPr>
              <w:t>服务优势</w:t>
            </w:r>
            <w:r>
              <w:rPr>
                <w:rFonts w:hint="eastAsia" w:ascii="宋体" w:hAnsi="宋体" w:cs="宋体"/>
                <w:color w:val="auto"/>
                <w:kern w:val="2"/>
                <w:sz w:val="18"/>
                <w:szCs w:val="18"/>
                <w:highlight w:val="none"/>
                <w:lang w:val="en-US" w:eastAsia="zh-CN" w:bidi="ar-SA"/>
              </w:rPr>
              <w:t>等</w:t>
            </w:r>
            <w:r>
              <w:rPr>
                <w:rFonts w:hint="eastAsia" w:ascii="宋体" w:hAnsi="宋体" w:eastAsia="宋体" w:cs="宋体"/>
                <w:color w:val="auto"/>
                <w:kern w:val="2"/>
                <w:sz w:val="18"/>
                <w:szCs w:val="18"/>
                <w:highlight w:val="none"/>
                <w:lang w:val="en-US" w:eastAsia="zh-CN" w:bidi="ar-SA"/>
              </w:rPr>
              <w:t>）</w:t>
            </w:r>
            <w:r>
              <w:rPr>
                <w:rFonts w:hint="eastAsia" w:ascii="宋体" w:hAnsi="宋体" w:cs="宋体"/>
                <w:color w:val="auto"/>
                <w:kern w:val="2"/>
                <w:sz w:val="18"/>
                <w:szCs w:val="18"/>
                <w:highlight w:val="none"/>
                <w:lang w:val="en-US" w:eastAsia="zh-CN" w:bidi="ar-SA"/>
              </w:rPr>
              <w:t>，</w:t>
            </w:r>
            <w:r>
              <w:rPr>
                <w:rFonts w:hint="eastAsia" w:ascii="宋体" w:hAnsi="宋体" w:eastAsia="宋体" w:cs="宋体"/>
                <w:color w:val="auto"/>
                <w:kern w:val="2"/>
                <w:sz w:val="18"/>
                <w:szCs w:val="18"/>
                <w:highlight w:val="none"/>
                <w:lang w:val="en-US" w:eastAsia="zh-CN" w:bidi="ar-SA"/>
              </w:rPr>
              <w:t>方案内容齐全、思路清晰、可执行力强、切合采购人实际需求的计</w:t>
            </w:r>
            <w:r>
              <w:rPr>
                <w:rFonts w:hint="eastAsia" w:ascii="宋体" w:hAnsi="宋体" w:cs="宋体"/>
                <w:color w:val="auto"/>
                <w:kern w:val="2"/>
                <w:sz w:val="18"/>
                <w:szCs w:val="18"/>
                <w:highlight w:val="none"/>
                <w:lang w:val="en-US" w:eastAsia="zh-CN" w:bidi="ar-SA"/>
              </w:rPr>
              <w:t>3</w:t>
            </w:r>
            <w:r>
              <w:rPr>
                <w:rFonts w:hint="eastAsia" w:ascii="宋体" w:hAnsi="宋体" w:eastAsia="宋体" w:cs="宋体"/>
                <w:color w:val="auto"/>
                <w:kern w:val="2"/>
                <w:sz w:val="18"/>
                <w:szCs w:val="18"/>
                <w:highlight w:val="none"/>
                <w:lang w:val="en-US" w:eastAsia="zh-CN" w:bidi="ar-SA"/>
              </w:rPr>
              <w:t>0分；方案内容不完善或不科学，思路含混不清的，每处扣</w:t>
            </w:r>
            <w:r>
              <w:rPr>
                <w:rFonts w:hint="eastAsia" w:ascii="宋体" w:hAnsi="宋体" w:cs="宋体"/>
                <w:color w:val="auto"/>
                <w:kern w:val="2"/>
                <w:sz w:val="18"/>
                <w:szCs w:val="18"/>
                <w:highlight w:val="none"/>
                <w:lang w:val="en-US" w:eastAsia="zh-CN" w:bidi="ar-SA"/>
              </w:rPr>
              <w:t>3</w:t>
            </w:r>
            <w:r>
              <w:rPr>
                <w:rFonts w:hint="eastAsia" w:ascii="宋体" w:hAnsi="宋体" w:eastAsia="宋体" w:cs="宋体"/>
                <w:color w:val="auto"/>
                <w:kern w:val="2"/>
                <w:sz w:val="18"/>
                <w:szCs w:val="18"/>
                <w:highlight w:val="none"/>
                <w:lang w:val="en-US" w:eastAsia="zh-CN" w:bidi="ar-SA"/>
              </w:rPr>
              <w:t>分，扣完为止；方案有缺项、或影响质量的、或与项目实际需求不符的，每处扣</w:t>
            </w:r>
            <w:r>
              <w:rPr>
                <w:rFonts w:hint="eastAsia" w:ascii="宋体" w:hAnsi="宋体" w:cs="宋体"/>
                <w:color w:val="auto"/>
                <w:kern w:val="2"/>
                <w:sz w:val="18"/>
                <w:szCs w:val="18"/>
                <w:highlight w:val="none"/>
                <w:lang w:val="en-US" w:eastAsia="zh-CN" w:bidi="ar-SA"/>
              </w:rPr>
              <w:t>5</w:t>
            </w:r>
            <w:r>
              <w:rPr>
                <w:rFonts w:hint="eastAsia" w:ascii="宋体" w:hAnsi="宋体" w:eastAsia="宋体" w:cs="宋体"/>
                <w:color w:val="auto"/>
                <w:kern w:val="2"/>
                <w:sz w:val="18"/>
                <w:szCs w:val="18"/>
                <w:highlight w:val="none"/>
                <w:lang w:val="en-US" w:eastAsia="zh-CN" w:bidi="ar-SA"/>
              </w:rPr>
              <w:t>分，扣完为止；未提供的不计分。</w:t>
            </w:r>
          </w:p>
        </w:tc>
      </w:tr>
      <w:tr w14:paraId="3A74A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40" w:type="dxa"/>
            <w:vMerge w:val="continue"/>
            <w:tcBorders>
              <w:tl2br w:val="nil"/>
              <w:tr2bl w:val="nil"/>
            </w:tcBorders>
            <w:vAlign w:val="center"/>
          </w:tcPr>
          <w:p w14:paraId="642887FC">
            <w:pPr>
              <w:spacing w:line="240" w:lineRule="auto"/>
              <w:jc w:val="center"/>
              <w:rPr>
                <w:rFonts w:hint="eastAsia" w:ascii="宋体" w:hAnsi="宋体" w:eastAsia="宋体" w:cs="宋体"/>
                <w:color w:val="auto"/>
                <w:kern w:val="0"/>
                <w:sz w:val="18"/>
                <w:szCs w:val="18"/>
                <w:highlight w:val="none"/>
              </w:rPr>
            </w:pPr>
          </w:p>
        </w:tc>
        <w:tc>
          <w:tcPr>
            <w:tcW w:w="893" w:type="dxa"/>
            <w:vMerge w:val="continue"/>
            <w:tcBorders>
              <w:tl2br w:val="nil"/>
              <w:tr2bl w:val="nil"/>
            </w:tcBorders>
            <w:vAlign w:val="center"/>
          </w:tcPr>
          <w:p w14:paraId="286E040D">
            <w:pPr>
              <w:spacing w:line="240" w:lineRule="auto"/>
              <w:jc w:val="center"/>
              <w:rPr>
                <w:rFonts w:hint="eastAsia" w:ascii="宋体" w:hAnsi="宋体" w:eastAsia="宋体" w:cs="宋体"/>
                <w:color w:val="auto"/>
                <w:kern w:val="0"/>
                <w:sz w:val="18"/>
                <w:szCs w:val="18"/>
                <w:highlight w:val="none"/>
              </w:rPr>
            </w:pPr>
          </w:p>
        </w:tc>
        <w:tc>
          <w:tcPr>
            <w:tcW w:w="1087" w:type="dxa"/>
            <w:tcBorders>
              <w:tl2br w:val="nil"/>
              <w:tr2bl w:val="nil"/>
            </w:tcBorders>
            <w:shd w:val="clear" w:color="auto" w:fill="auto"/>
            <w:vAlign w:val="center"/>
          </w:tcPr>
          <w:p w14:paraId="6941C397">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
              </w:rPr>
              <w:t>卫生保洁服务方案</w:t>
            </w:r>
            <w:r>
              <w:rPr>
                <w:rFonts w:hint="eastAsia" w:ascii="宋体" w:hAnsi="宋体" w:eastAsia="宋体" w:cs="宋体"/>
                <w:color w:val="auto"/>
                <w:sz w:val="18"/>
                <w:szCs w:val="18"/>
                <w:highlight w:val="none"/>
                <w:lang w:eastAsia="zh-CN" w:bidi="ar"/>
              </w:rPr>
              <w:t>（</w:t>
            </w:r>
            <w:r>
              <w:rPr>
                <w:rFonts w:hint="eastAsia" w:ascii="宋体" w:hAnsi="宋体" w:eastAsia="宋体" w:cs="宋体"/>
                <w:color w:val="auto"/>
                <w:sz w:val="18"/>
                <w:szCs w:val="18"/>
                <w:highlight w:val="none"/>
                <w:lang w:val="en-US" w:eastAsia="zh-CN" w:bidi="ar"/>
              </w:rPr>
              <w:t>1</w:t>
            </w:r>
            <w:r>
              <w:rPr>
                <w:rFonts w:hint="eastAsia" w:ascii="宋体" w:hAnsi="宋体" w:cs="宋体"/>
                <w:color w:val="auto"/>
                <w:sz w:val="18"/>
                <w:szCs w:val="18"/>
                <w:highlight w:val="none"/>
                <w:lang w:val="en-US" w:eastAsia="zh-CN" w:bidi="ar"/>
              </w:rPr>
              <w:t>2</w:t>
            </w:r>
            <w:r>
              <w:rPr>
                <w:rFonts w:hint="eastAsia" w:ascii="宋体" w:hAnsi="宋体" w:eastAsia="宋体" w:cs="宋体"/>
                <w:color w:val="auto"/>
                <w:sz w:val="18"/>
                <w:szCs w:val="18"/>
                <w:highlight w:val="none"/>
                <w:lang w:val="zh-CN" w:eastAsia="zh-CN" w:bidi="ar"/>
              </w:rPr>
              <w:t>分</w:t>
            </w:r>
            <w:r>
              <w:rPr>
                <w:rFonts w:hint="eastAsia" w:ascii="宋体" w:hAnsi="宋体" w:eastAsia="宋体" w:cs="宋体"/>
                <w:color w:val="auto"/>
                <w:sz w:val="18"/>
                <w:szCs w:val="18"/>
                <w:highlight w:val="none"/>
                <w:lang w:eastAsia="zh-CN" w:bidi="ar"/>
              </w:rPr>
              <w:t>）</w:t>
            </w:r>
          </w:p>
        </w:tc>
        <w:tc>
          <w:tcPr>
            <w:tcW w:w="6527" w:type="dxa"/>
            <w:tcBorders>
              <w:tl2br w:val="nil"/>
              <w:tr2bl w:val="nil"/>
            </w:tcBorders>
            <w:shd w:val="clear" w:color="auto" w:fill="auto"/>
            <w:vAlign w:val="center"/>
          </w:tcPr>
          <w:p w14:paraId="7B7FC20E">
            <w:pPr>
              <w:spacing w:line="240" w:lineRule="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根据投标人提供的卫生保洁服务方案</w:t>
            </w:r>
            <w:r>
              <w:rPr>
                <w:rFonts w:hint="eastAsia" w:ascii="宋体" w:hAnsi="宋体" w:cs="宋体"/>
                <w:color w:val="auto"/>
                <w:kern w:val="2"/>
                <w:sz w:val="18"/>
                <w:szCs w:val="18"/>
                <w:highlight w:val="none"/>
                <w:lang w:val="en-US" w:eastAsia="zh-CN" w:bidi="ar-SA"/>
              </w:rPr>
              <w:t>（</w:t>
            </w:r>
            <w:r>
              <w:rPr>
                <w:rFonts w:hint="eastAsia" w:ascii="宋体" w:hAnsi="宋体" w:eastAsia="宋体" w:cs="宋体"/>
                <w:color w:val="auto"/>
                <w:kern w:val="2"/>
                <w:sz w:val="18"/>
                <w:szCs w:val="18"/>
                <w:highlight w:val="none"/>
                <w:lang w:val="zh-CN" w:eastAsia="zh-CN" w:bidi="ar-SA"/>
              </w:rPr>
              <w:t>方案包括但不限于</w:t>
            </w:r>
            <w:r>
              <w:rPr>
                <w:rFonts w:hint="eastAsia" w:ascii="宋体" w:hAnsi="宋体" w:eastAsia="宋体" w:cs="宋体"/>
                <w:color w:val="auto"/>
                <w:kern w:val="2"/>
                <w:sz w:val="18"/>
                <w:szCs w:val="18"/>
                <w:highlight w:val="none"/>
                <w:lang w:val="en-US" w:eastAsia="zh-CN" w:bidi="ar-SA"/>
              </w:rPr>
              <w:t>保洁制度、室内保洁、室外保洁、卫生消杀及垃圾分类、保障措施等</w:t>
            </w:r>
            <w:r>
              <w:rPr>
                <w:rFonts w:hint="eastAsia" w:ascii="宋体" w:hAnsi="宋体" w:cs="宋体"/>
                <w:color w:val="auto"/>
                <w:kern w:val="2"/>
                <w:sz w:val="18"/>
                <w:szCs w:val="18"/>
                <w:highlight w:val="none"/>
                <w:lang w:val="en-US" w:eastAsia="zh-CN" w:bidi="ar-SA"/>
              </w:rPr>
              <w:t>）进行整体评价，</w:t>
            </w:r>
            <w:r>
              <w:rPr>
                <w:rFonts w:hint="eastAsia" w:ascii="宋体" w:hAnsi="宋体" w:eastAsia="宋体" w:cs="宋体"/>
                <w:color w:val="auto"/>
                <w:kern w:val="2"/>
                <w:sz w:val="18"/>
                <w:szCs w:val="18"/>
                <w:highlight w:val="none"/>
                <w:lang w:val="en-US" w:eastAsia="zh-CN" w:bidi="ar-SA"/>
              </w:rPr>
              <w:t>方案内容制定详细合理、服务范围和内容划分清晰、</w:t>
            </w:r>
            <w:r>
              <w:rPr>
                <w:rFonts w:hint="eastAsia" w:ascii="宋体" w:hAnsi="宋体" w:eastAsia="宋体" w:cs="宋体"/>
                <w:color w:val="auto"/>
                <w:kern w:val="2"/>
                <w:sz w:val="18"/>
                <w:szCs w:val="18"/>
                <w:highlight w:val="none"/>
                <w:lang w:val="zh-CN" w:eastAsia="zh-CN" w:bidi="ar-SA"/>
              </w:rPr>
              <w:t>可执行力强、切合采购人实际需求</w:t>
            </w:r>
            <w:r>
              <w:rPr>
                <w:rFonts w:hint="eastAsia" w:ascii="宋体" w:hAnsi="宋体" w:eastAsia="宋体" w:cs="宋体"/>
                <w:color w:val="auto"/>
                <w:kern w:val="2"/>
                <w:sz w:val="18"/>
                <w:szCs w:val="18"/>
                <w:highlight w:val="none"/>
                <w:lang w:val="en-US" w:eastAsia="zh-CN" w:bidi="ar-SA"/>
              </w:rPr>
              <w:t>的计1</w:t>
            </w:r>
            <w:r>
              <w:rPr>
                <w:rFonts w:hint="eastAsia" w:ascii="宋体" w:hAnsi="宋体" w:cs="宋体"/>
                <w:color w:val="auto"/>
                <w:kern w:val="2"/>
                <w:sz w:val="18"/>
                <w:szCs w:val="18"/>
                <w:highlight w:val="none"/>
                <w:lang w:val="en-US" w:eastAsia="zh-CN" w:bidi="ar-SA"/>
              </w:rPr>
              <w:t>2</w:t>
            </w:r>
            <w:r>
              <w:rPr>
                <w:rFonts w:hint="eastAsia" w:ascii="宋体" w:hAnsi="宋体" w:eastAsia="宋体" w:cs="宋体"/>
                <w:color w:val="auto"/>
                <w:kern w:val="2"/>
                <w:sz w:val="18"/>
                <w:szCs w:val="18"/>
                <w:highlight w:val="none"/>
                <w:lang w:val="en-US" w:eastAsia="zh-CN" w:bidi="ar-SA"/>
              </w:rPr>
              <w:t>分；</w:t>
            </w:r>
            <w:r>
              <w:rPr>
                <w:rFonts w:hint="eastAsia" w:ascii="宋体" w:hAnsi="宋体" w:eastAsia="宋体" w:cs="宋体"/>
                <w:color w:val="auto"/>
                <w:kern w:val="2"/>
                <w:sz w:val="18"/>
                <w:szCs w:val="18"/>
                <w:highlight w:val="none"/>
                <w:lang w:val="zh-CN" w:eastAsia="zh-CN" w:bidi="ar-SA"/>
              </w:rPr>
              <w:t>方案内容</w:t>
            </w:r>
            <w:r>
              <w:rPr>
                <w:rFonts w:hint="eastAsia" w:ascii="宋体" w:hAnsi="宋体" w:eastAsia="宋体" w:cs="宋体"/>
                <w:color w:val="auto"/>
                <w:kern w:val="2"/>
                <w:sz w:val="18"/>
                <w:szCs w:val="18"/>
                <w:highlight w:val="none"/>
                <w:lang w:val="en-US" w:eastAsia="zh-CN" w:bidi="ar-SA"/>
              </w:rPr>
              <w:t>不完善或不科学，思路含混不清的，每处扣</w:t>
            </w:r>
            <w:r>
              <w:rPr>
                <w:rFonts w:hint="eastAsia" w:ascii="宋体" w:hAnsi="宋体" w:cs="宋体"/>
                <w:color w:val="auto"/>
                <w:kern w:val="2"/>
                <w:sz w:val="18"/>
                <w:szCs w:val="18"/>
                <w:highlight w:val="none"/>
                <w:lang w:val="en-US" w:eastAsia="zh-CN" w:bidi="ar-SA"/>
              </w:rPr>
              <w:t>2</w:t>
            </w:r>
            <w:r>
              <w:rPr>
                <w:rFonts w:hint="eastAsia" w:ascii="宋体" w:hAnsi="宋体" w:eastAsia="宋体" w:cs="宋体"/>
                <w:color w:val="auto"/>
                <w:kern w:val="2"/>
                <w:sz w:val="18"/>
                <w:szCs w:val="18"/>
                <w:highlight w:val="none"/>
                <w:lang w:val="en-US" w:eastAsia="zh-CN" w:bidi="ar-SA"/>
              </w:rPr>
              <w:t>分，扣完为止；方案有缺项、或影响质量的、或与项目实际需求不符的，每处扣</w:t>
            </w:r>
            <w:r>
              <w:rPr>
                <w:rFonts w:hint="eastAsia" w:ascii="宋体" w:hAnsi="宋体" w:cs="宋体"/>
                <w:color w:val="auto"/>
                <w:kern w:val="2"/>
                <w:sz w:val="18"/>
                <w:szCs w:val="18"/>
                <w:highlight w:val="none"/>
                <w:lang w:val="en-US" w:eastAsia="zh-CN" w:bidi="ar-SA"/>
              </w:rPr>
              <w:t>4</w:t>
            </w:r>
            <w:r>
              <w:rPr>
                <w:rFonts w:hint="eastAsia" w:ascii="宋体" w:hAnsi="宋体" w:eastAsia="宋体" w:cs="宋体"/>
                <w:color w:val="auto"/>
                <w:kern w:val="2"/>
                <w:sz w:val="18"/>
                <w:szCs w:val="18"/>
                <w:highlight w:val="none"/>
                <w:lang w:val="en-US" w:eastAsia="zh-CN" w:bidi="ar-SA"/>
              </w:rPr>
              <w:t>分，扣完为止；</w:t>
            </w:r>
            <w:r>
              <w:rPr>
                <w:rFonts w:hint="eastAsia" w:ascii="宋体" w:hAnsi="宋体" w:eastAsia="宋体" w:cs="宋体"/>
                <w:color w:val="auto"/>
                <w:kern w:val="2"/>
                <w:sz w:val="18"/>
                <w:szCs w:val="18"/>
                <w:highlight w:val="none"/>
                <w:lang w:val="zh-CN" w:eastAsia="zh-CN" w:bidi="ar-SA"/>
              </w:rPr>
              <w:t>未提供的不计分。</w:t>
            </w:r>
          </w:p>
        </w:tc>
      </w:tr>
      <w:tr w14:paraId="7FEF70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40" w:type="dxa"/>
            <w:vMerge w:val="continue"/>
            <w:tcBorders>
              <w:tl2br w:val="nil"/>
              <w:tr2bl w:val="nil"/>
            </w:tcBorders>
            <w:vAlign w:val="center"/>
          </w:tcPr>
          <w:p w14:paraId="6B3F1DD0">
            <w:pPr>
              <w:spacing w:line="240" w:lineRule="auto"/>
              <w:jc w:val="center"/>
              <w:rPr>
                <w:rFonts w:hint="eastAsia" w:ascii="宋体" w:hAnsi="宋体" w:eastAsia="宋体" w:cs="宋体"/>
                <w:color w:val="auto"/>
                <w:kern w:val="0"/>
                <w:sz w:val="18"/>
                <w:szCs w:val="18"/>
                <w:highlight w:val="none"/>
              </w:rPr>
            </w:pPr>
          </w:p>
        </w:tc>
        <w:tc>
          <w:tcPr>
            <w:tcW w:w="893" w:type="dxa"/>
            <w:vMerge w:val="continue"/>
            <w:tcBorders>
              <w:tl2br w:val="nil"/>
              <w:tr2bl w:val="nil"/>
            </w:tcBorders>
            <w:vAlign w:val="center"/>
          </w:tcPr>
          <w:p w14:paraId="16276916">
            <w:pPr>
              <w:spacing w:line="240" w:lineRule="auto"/>
              <w:jc w:val="center"/>
              <w:rPr>
                <w:rFonts w:hint="eastAsia" w:ascii="宋体" w:hAnsi="宋体" w:eastAsia="宋体" w:cs="宋体"/>
                <w:color w:val="auto"/>
                <w:kern w:val="0"/>
                <w:sz w:val="18"/>
                <w:szCs w:val="18"/>
                <w:highlight w:val="none"/>
              </w:rPr>
            </w:pPr>
          </w:p>
        </w:tc>
        <w:tc>
          <w:tcPr>
            <w:tcW w:w="1087" w:type="dxa"/>
            <w:tcBorders>
              <w:tl2br w:val="nil"/>
              <w:tr2bl w:val="nil"/>
            </w:tcBorders>
            <w:shd w:val="clear" w:color="auto" w:fill="auto"/>
            <w:vAlign w:val="center"/>
          </w:tcPr>
          <w:p w14:paraId="2038EA7D">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
              </w:rPr>
              <w:t>秩序维护管理方案</w:t>
            </w:r>
            <w:r>
              <w:rPr>
                <w:rFonts w:hint="eastAsia" w:ascii="宋体" w:hAnsi="宋体" w:eastAsia="宋体" w:cs="宋体"/>
                <w:color w:val="auto"/>
                <w:sz w:val="18"/>
                <w:szCs w:val="18"/>
                <w:highlight w:val="none"/>
                <w:lang w:eastAsia="zh-CN" w:bidi="ar"/>
              </w:rPr>
              <w:t>（</w:t>
            </w:r>
            <w:r>
              <w:rPr>
                <w:rFonts w:hint="eastAsia" w:ascii="宋体" w:hAnsi="宋体" w:eastAsia="宋体" w:cs="宋体"/>
                <w:color w:val="auto"/>
                <w:sz w:val="18"/>
                <w:szCs w:val="18"/>
                <w:highlight w:val="none"/>
                <w:lang w:val="en-US" w:eastAsia="zh-CN" w:bidi="ar"/>
              </w:rPr>
              <w:t>1</w:t>
            </w:r>
            <w:r>
              <w:rPr>
                <w:rFonts w:hint="eastAsia" w:ascii="宋体" w:hAnsi="宋体" w:cs="宋体"/>
                <w:color w:val="auto"/>
                <w:sz w:val="18"/>
                <w:szCs w:val="18"/>
                <w:highlight w:val="none"/>
                <w:lang w:val="en-US" w:eastAsia="zh-CN" w:bidi="ar"/>
              </w:rPr>
              <w:t>2</w:t>
            </w:r>
            <w:r>
              <w:rPr>
                <w:rFonts w:hint="eastAsia" w:ascii="宋体" w:hAnsi="宋体" w:eastAsia="宋体" w:cs="宋体"/>
                <w:color w:val="auto"/>
                <w:sz w:val="18"/>
                <w:szCs w:val="18"/>
                <w:highlight w:val="none"/>
                <w:lang w:val="zh-CN" w:eastAsia="zh-CN" w:bidi="ar"/>
              </w:rPr>
              <w:t>分</w:t>
            </w:r>
            <w:r>
              <w:rPr>
                <w:rFonts w:hint="eastAsia" w:ascii="宋体" w:hAnsi="宋体" w:eastAsia="宋体" w:cs="宋体"/>
                <w:color w:val="auto"/>
                <w:sz w:val="18"/>
                <w:szCs w:val="18"/>
                <w:highlight w:val="none"/>
                <w:lang w:eastAsia="zh-CN" w:bidi="ar"/>
              </w:rPr>
              <w:t>）</w:t>
            </w:r>
          </w:p>
        </w:tc>
        <w:tc>
          <w:tcPr>
            <w:tcW w:w="6527" w:type="dxa"/>
            <w:tcBorders>
              <w:tl2br w:val="nil"/>
              <w:tr2bl w:val="nil"/>
            </w:tcBorders>
            <w:shd w:val="clear" w:color="auto" w:fill="auto"/>
            <w:vAlign w:val="center"/>
          </w:tcPr>
          <w:p w14:paraId="1758083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Cs/>
                <w:color w:val="auto"/>
                <w:kern w:val="2"/>
                <w:sz w:val="18"/>
                <w:szCs w:val="18"/>
                <w:highlight w:val="none"/>
                <w:lang w:val="en-US" w:eastAsia="zh-CN" w:bidi="ar-SA"/>
              </w:rPr>
              <w:t>根据投标人提供的秩序维护方案</w:t>
            </w:r>
            <w:r>
              <w:rPr>
                <w:rFonts w:hint="eastAsia" w:ascii="宋体" w:hAnsi="宋体" w:cs="宋体"/>
                <w:bCs/>
                <w:color w:val="auto"/>
                <w:kern w:val="2"/>
                <w:sz w:val="18"/>
                <w:szCs w:val="18"/>
                <w:highlight w:val="none"/>
                <w:lang w:val="en-US" w:eastAsia="zh-CN" w:bidi="ar-SA"/>
              </w:rPr>
              <w:t>（</w:t>
            </w:r>
            <w:r>
              <w:rPr>
                <w:rFonts w:hint="eastAsia" w:ascii="宋体" w:hAnsi="宋体" w:eastAsia="宋体" w:cs="宋体"/>
                <w:bCs/>
                <w:color w:val="auto"/>
                <w:kern w:val="2"/>
                <w:sz w:val="18"/>
                <w:szCs w:val="18"/>
                <w:highlight w:val="none"/>
                <w:lang w:val="zh-CN" w:eastAsia="zh-CN" w:bidi="ar-SA"/>
              </w:rPr>
              <w:t>方案包括但不限于</w:t>
            </w:r>
            <w:r>
              <w:rPr>
                <w:rFonts w:hint="eastAsia" w:ascii="宋体" w:hAnsi="宋体" w:eastAsia="宋体" w:cs="宋体"/>
                <w:bCs/>
                <w:color w:val="auto"/>
                <w:kern w:val="2"/>
                <w:sz w:val="18"/>
                <w:szCs w:val="18"/>
                <w:highlight w:val="none"/>
                <w:lang w:val="en-US" w:eastAsia="zh-CN" w:bidi="ar-SA"/>
              </w:rPr>
              <w:t>岗位值班值守、安全巡查、交通秩序维护、重大活动秩序维护、保障措施等</w:t>
            </w:r>
            <w:r>
              <w:rPr>
                <w:rFonts w:hint="eastAsia" w:ascii="宋体" w:hAnsi="宋体" w:cs="宋体"/>
                <w:bCs/>
                <w:color w:val="auto"/>
                <w:kern w:val="2"/>
                <w:sz w:val="18"/>
                <w:szCs w:val="18"/>
                <w:highlight w:val="none"/>
                <w:lang w:val="en-US" w:eastAsia="zh-CN" w:bidi="ar-SA"/>
              </w:rPr>
              <w:t>）进行整体评价，</w:t>
            </w:r>
            <w:r>
              <w:rPr>
                <w:rFonts w:hint="eastAsia" w:ascii="宋体" w:hAnsi="宋体" w:eastAsia="宋体" w:cs="宋体"/>
                <w:bCs/>
                <w:color w:val="auto"/>
                <w:kern w:val="2"/>
                <w:sz w:val="18"/>
                <w:szCs w:val="18"/>
                <w:highlight w:val="none"/>
                <w:lang w:val="en-US" w:eastAsia="zh-CN" w:bidi="ar-SA"/>
              </w:rPr>
              <w:t>方案内容制定详细合理、服务范围和内容划分清晰、</w:t>
            </w:r>
            <w:r>
              <w:rPr>
                <w:rFonts w:hint="eastAsia" w:ascii="宋体" w:hAnsi="宋体" w:eastAsia="宋体" w:cs="宋体"/>
                <w:bCs/>
                <w:color w:val="auto"/>
                <w:kern w:val="2"/>
                <w:sz w:val="18"/>
                <w:szCs w:val="18"/>
                <w:highlight w:val="none"/>
                <w:lang w:val="zh-CN" w:eastAsia="zh-CN" w:bidi="ar-SA"/>
              </w:rPr>
              <w:t>可执行力强、切合采购人实际需求</w:t>
            </w:r>
            <w:r>
              <w:rPr>
                <w:rFonts w:hint="eastAsia" w:ascii="宋体" w:hAnsi="宋体" w:eastAsia="宋体" w:cs="宋体"/>
                <w:bCs/>
                <w:color w:val="auto"/>
                <w:kern w:val="2"/>
                <w:sz w:val="18"/>
                <w:szCs w:val="18"/>
                <w:highlight w:val="none"/>
                <w:lang w:val="en-US" w:eastAsia="zh-CN" w:bidi="ar-SA"/>
              </w:rPr>
              <w:t>的计1</w:t>
            </w:r>
            <w:r>
              <w:rPr>
                <w:rFonts w:hint="eastAsia" w:ascii="宋体" w:hAnsi="宋体" w:cs="宋体"/>
                <w:bCs/>
                <w:color w:val="auto"/>
                <w:kern w:val="2"/>
                <w:sz w:val="18"/>
                <w:szCs w:val="18"/>
                <w:highlight w:val="none"/>
                <w:lang w:val="en-US" w:eastAsia="zh-CN" w:bidi="ar-SA"/>
              </w:rPr>
              <w:t>2</w:t>
            </w:r>
            <w:r>
              <w:rPr>
                <w:rFonts w:hint="eastAsia" w:ascii="宋体" w:hAnsi="宋体" w:eastAsia="宋体" w:cs="宋体"/>
                <w:bCs/>
                <w:color w:val="auto"/>
                <w:kern w:val="2"/>
                <w:sz w:val="18"/>
                <w:szCs w:val="18"/>
                <w:highlight w:val="none"/>
                <w:lang w:val="en-US" w:eastAsia="zh-CN" w:bidi="ar-SA"/>
              </w:rPr>
              <w:t>分；</w:t>
            </w:r>
            <w:r>
              <w:rPr>
                <w:rFonts w:hint="eastAsia" w:ascii="宋体" w:hAnsi="宋体" w:eastAsia="宋体" w:cs="宋体"/>
                <w:bCs/>
                <w:color w:val="auto"/>
                <w:kern w:val="2"/>
                <w:sz w:val="18"/>
                <w:szCs w:val="18"/>
                <w:highlight w:val="none"/>
                <w:lang w:val="zh-CN" w:eastAsia="zh-CN" w:bidi="ar-SA"/>
              </w:rPr>
              <w:t>方案内容</w:t>
            </w:r>
            <w:r>
              <w:rPr>
                <w:rFonts w:hint="eastAsia" w:ascii="宋体" w:hAnsi="宋体" w:eastAsia="宋体" w:cs="宋体"/>
                <w:bCs/>
                <w:color w:val="auto"/>
                <w:kern w:val="2"/>
                <w:sz w:val="18"/>
                <w:szCs w:val="18"/>
                <w:highlight w:val="none"/>
                <w:lang w:val="en-US" w:eastAsia="zh-CN" w:bidi="ar-SA"/>
              </w:rPr>
              <w:t>不完善或不科学，思路含混不清的，每处扣</w:t>
            </w:r>
            <w:r>
              <w:rPr>
                <w:rFonts w:hint="eastAsia" w:ascii="宋体" w:hAnsi="宋体" w:cs="宋体"/>
                <w:bCs/>
                <w:color w:val="auto"/>
                <w:kern w:val="2"/>
                <w:sz w:val="18"/>
                <w:szCs w:val="18"/>
                <w:highlight w:val="none"/>
                <w:lang w:val="en-US" w:eastAsia="zh-CN" w:bidi="ar-SA"/>
              </w:rPr>
              <w:t>2</w:t>
            </w:r>
            <w:r>
              <w:rPr>
                <w:rFonts w:hint="eastAsia" w:ascii="宋体" w:hAnsi="宋体" w:eastAsia="宋体" w:cs="宋体"/>
                <w:bCs/>
                <w:color w:val="auto"/>
                <w:kern w:val="2"/>
                <w:sz w:val="18"/>
                <w:szCs w:val="18"/>
                <w:highlight w:val="none"/>
                <w:lang w:val="en-US" w:eastAsia="zh-CN" w:bidi="ar-SA"/>
              </w:rPr>
              <w:t>分，扣完为止；</w:t>
            </w:r>
            <w:r>
              <w:rPr>
                <w:rFonts w:hint="eastAsia" w:ascii="宋体" w:hAnsi="宋体" w:eastAsia="宋体" w:cs="宋体"/>
                <w:color w:val="auto"/>
                <w:sz w:val="18"/>
                <w:szCs w:val="18"/>
                <w:highlight w:val="none"/>
              </w:rPr>
              <w:t>方案</w:t>
            </w:r>
            <w:r>
              <w:rPr>
                <w:rFonts w:hint="eastAsia" w:ascii="宋体" w:hAnsi="宋体" w:eastAsia="宋体" w:cs="宋体"/>
                <w:color w:val="auto"/>
                <w:sz w:val="18"/>
                <w:szCs w:val="18"/>
                <w:highlight w:val="none"/>
                <w:lang w:val="en-US" w:eastAsia="zh-CN"/>
              </w:rPr>
              <w:t>有</w:t>
            </w:r>
            <w:r>
              <w:rPr>
                <w:rFonts w:hint="eastAsia" w:ascii="宋体" w:hAnsi="宋体" w:eastAsia="宋体" w:cs="宋体"/>
                <w:color w:val="auto"/>
                <w:sz w:val="18"/>
                <w:szCs w:val="18"/>
                <w:highlight w:val="none"/>
              </w:rPr>
              <w:t>缺项、或影响质量的、或</w:t>
            </w:r>
            <w:r>
              <w:rPr>
                <w:rFonts w:hint="eastAsia" w:ascii="宋体" w:hAnsi="宋体" w:eastAsia="宋体" w:cs="宋体"/>
                <w:bCs/>
                <w:color w:val="auto"/>
                <w:kern w:val="2"/>
                <w:sz w:val="18"/>
                <w:szCs w:val="18"/>
                <w:highlight w:val="none"/>
                <w:lang w:val="en-US" w:eastAsia="zh-CN" w:bidi="ar-SA"/>
              </w:rPr>
              <w:t>与项目实际需求不符的</w:t>
            </w:r>
            <w:r>
              <w:rPr>
                <w:rFonts w:hint="eastAsia" w:ascii="宋体" w:hAnsi="宋体" w:eastAsia="宋体" w:cs="宋体"/>
                <w:color w:val="auto"/>
                <w:sz w:val="18"/>
                <w:szCs w:val="18"/>
                <w:highlight w:val="none"/>
              </w:rPr>
              <w:t>，每处扣</w:t>
            </w:r>
            <w:r>
              <w:rPr>
                <w:rFonts w:hint="eastAsia" w:ascii="宋体" w:hAnsi="宋体" w:cs="宋体"/>
                <w:color w:val="auto"/>
                <w:sz w:val="18"/>
                <w:szCs w:val="18"/>
                <w:highlight w:val="none"/>
                <w:lang w:val="en-US" w:eastAsia="zh-CN"/>
              </w:rPr>
              <w:t>4</w:t>
            </w:r>
            <w:r>
              <w:rPr>
                <w:rFonts w:hint="eastAsia" w:ascii="宋体" w:hAnsi="宋体" w:eastAsia="宋体" w:cs="宋体"/>
                <w:color w:val="auto"/>
                <w:sz w:val="18"/>
                <w:szCs w:val="18"/>
                <w:highlight w:val="none"/>
              </w:rPr>
              <w:t>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扣完为止</w:t>
            </w:r>
            <w:r>
              <w:rPr>
                <w:rFonts w:hint="eastAsia" w:ascii="宋体" w:hAnsi="宋体" w:eastAsia="宋体" w:cs="宋体"/>
                <w:color w:val="auto"/>
                <w:sz w:val="18"/>
                <w:szCs w:val="18"/>
                <w:highlight w:val="none"/>
                <w:lang w:eastAsia="zh-CN"/>
              </w:rPr>
              <w:t>；</w:t>
            </w:r>
            <w:r>
              <w:rPr>
                <w:rFonts w:hint="eastAsia" w:ascii="宋体" w:hAnsi="宋体" w:eastAsia="宋体" w:cs="宋体"/>
                <w:bCs/>
                <w:color w:val="auto"/>
                <w:kern w:val="2"/>
                <w:sz w:val="18"/>
                <w:szCs w:val="18"/>
                <w:highlight w:val="none"/>
                <w:lang w:val="zh-CN" w:eastAsia="zh-CN" w:bidi="ar-SA"/>
              </w:rPr>
              <w:t>未提供的不计分。</w:t>
            </w:r>
          </w:p>
        </w:tc>
      </w:tr>
      <w:tr w14:paraId="1D6A55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40" w:type="dxa"/>
            <w:vMerge w:val="continue"/>
            <w:tcBorders>
              <w:tl2br w:val="nil"/>
              <w:tr2bl w:val="nil"/>
            </w:tcBorders>
            <w:vAlign w:val="center"/>
          </w:tcPr>
          <w:p w14:paraId="2FA5378C">
            <w:pPr>
              <w:spacing w:line="240" w:lineRule="auto"/>
              <w:jc w:val="center"/>
              <w:rPr>
                <w:rFonts w:hint="eastAsia" w:ascii="宋体" w:hAnsi="宋体" w:eastAsia="宋体" w:cs="宋体"/>
                <w:color w:val="auto"/>
                <w:kern w:val="0"/>
                <w:sz w:val="18"/>
                <w:szCs w:val="18"/>
                <w:highlight w:val="none"/>
              </w:rPr>
            </w:pPr>
          </w:p>
        </w:tc>
        <w:tc>
          <w:tcPr>
            <w:tcW w:w="893" w:type="dxa"/>
            <w:vMerge w:val="continue"/>
            <w:tcBorders>
              <w:tl2br w:val="nil"/>
              <w:tr2bl w:val="nil"/>
            </w:tcBorders>
            <w:vAlign w:val="center"/>
          </w:tcPr>
          <w:p w14:paraId="0C1A46FA">
            <w:pPr>
              <w:spacing w:line="240" w:lineRule="auto"/>
              <w:jc w:val="center"/>
              <w:rPr>
                <w:rFonts w:hint="eastAsia" w:ascii="宋体" w:hAnsi="宋体" w:eastAsia="宋体" w:cs="宋体"/>
                <w:color w:val="auto"/>
                <w:kern w:val="0"/>
                <w:sz w:val="18"/>
                <w:szCs w:val="18"/>
                <w:highlight w:val="none"/>
              </w:rPr>
            </w:pPr>
          </w:p>
        </w:tc>
        <w:tc>
          <w:tcPr>
            <w:tcW w:w="1087" w:type="dxa"/>
            <w:tcBorders>
              <w:tl2br w:val="nil"/>
              <w:tr2bl w:val="nil"/>
            </w:tcBorders>
            <w:shd w:val="clear" w:color="auto" w:fill="auto"/>
            <w:vAlign w:val="center"/>
          </w:tcPr>
          <w:p w14:paraId="4B0D12F4">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
              </w:rPr>
              <w:t>设备运行维护方案</w:t>
            </w:r>
            <w:r>
              <w:rPr>
                <w:rFonts w:hint="eastAsia" w:ascii="宋体" w:hAnsi="宋体" w:eastAsia="宋体" w:cs="宋体"/>
                <w:color w:val="auto"/>
                <w:sz w:val="18"/>
                <w:szCs w:val="18"/>
                <w:highlight w:val="none"/>
                <w:lang w:eastAsia="zh-CN" w:bidi="ar"/>
              </w:rPr>
              <w:t>（</w:t>
            </w:r>
            <w:r>
              <w:rPr>
                <w:rFonts w:hint="eastAsia" w:ascii="宋体" w:hAnsi="宋体" w:eastAsia="宋体" w:cs="宋体"/>
                <w:color w:val="auto"/>
                <w:sz w:val="18"/>
                <w:szCs w:val="18"/>
                <w:highlight w:val="none"/>
                <w:lang w:val="en-US" w:eastAsia="zh-CN" w:bidi="ar"/>
              </w:rPr>
              <w:t>1</w:t>
            </w:r>
            <w:r>
              <w:rPr>
                <w:rFonts w:hint="eastAsia" w:ascii="宋体" w:hAnsi="宋体" w:cs="宋体"/>
                <w:color w:val="auto"/>
                <w:sz w:val="18"/>
                <w:szCs w:val="18"/>
                <w:highlight w:val="none"/>
                <w:lang w:val="en-US" w:eastAsia="zh-CN" w:bidi="ar"/>
              </w:rPr>
              <w:t>2</w:t>
            </w:r>
            <w:r>
              <w:rPr>
                <w:rFonts w:hint="eastAsia" w:ascii="宋体" w:hAnsi="宋体" w:eastAsia="宋体" w:cs="宋体"/>
                <w:color w:val="auto"/>
                <w:sz w:val="18"/>
                <w:szCs w:val="18"/>
                <w:highlight w:val="none"/>
                <w:lang w:val="zh-CN" w:eastAsia="zh-CN" w:bidi="ar"/>
              </w:rPr>
              <w:t>分</w:t>
            </w:r>
            <w:r>
              <w:rPr>
                <w:rFonts w:hint="eastAsia" w:ascii="宋体" w:hAnsi="宋体" w:eastAsia="宋体" w:cs="宋体"/>
                <w:color w:val="auto"/>
                <w:sz w:val="18"/>
                <w:szCs w:val="18"/>
                <w:highlight w:val="none"/>
                <w:lang w:eastAsia="zh-CN" w:bidi="ar"/>
              </w:rPr>
              <w:t>）</w:t>
            </w:r>
          </w:p>
        </w:tc>
        <w:tc>
          <w:tcPr>
            <w:tcW w:w="6527" w:type="dxa"/>
            <w:tcBorders>
              <w:tl2br w:val="nil"/>
              <w:tr2bl w:val="nil"/>
            </w:tcBorders>
            <w:shd w:val="clear" w:color="auto" w:fill="auto"/>
            <w:vAlign w:val="center"/>
          </w:tcPr>
          <w:p w14:paraId="18BBE45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kern w:val="2"/>
                <w:sz w:val="18"/>
                <w:szCs w:val="18"/>
                <w:highlight w:val="none"/>
                <w:lang w:val="ru-RU" w:eastAsia="zh-CN" w:bidi="ar-SA"/>
              </w:rPr>
            </w:pPr>
            <w:r>
              <w:rPr>
                <w:rFonts w:hint="eastAsia" w:ascii="宋体" w:hAnsi="宋体" w:eastAsia="宋体" w:cs="宋体"/>
                <w:bCs/>
                <w:color w:val="auto"/>
                <w:kern w:val="2"/>
                <w:sz w:val="18"/>
                <w:szCs w:val="18"/>
                <w:highlight w:val="none"/>
                <w:lang w:val="en-US" w:eastAsia="zh-CN" w:bidi="ar-SA"/>
              </w:rPr>
              <w:t>根据投标人提供的设备运行维护方案</w:t>
            </w:r>
            <w:r>
              <w:rPr>
                <w:rFonts w:hint="eastAsia" w:ascii="宋体" w:hAnsi="宋体" w:cs="宋体"/>
                <w:bCs/>
                <w:color w:val="auto"/>
                <w:kern w:val="2"/>
                <w:sz w:val="18"/>
                <w:szCs w:val="18"/>
                <w:highlight w:val="none"/>
                <w:lang w:val="en-US" w:eastAsia="zh-CN" w:bidi="ar-SA"/>
              </w:rPr>
              <w:t>（</w:t>
            </w:r>
            <w:r>
              <w:rPr>
                <w:rFonts w:hint="eastAsia" w:ascii="宋体" w:hAnsi="宋体" w:eastAsia="宋体" w:cs="宋体"/>
                <w:bCs/>
                <w:color w:val="auto"/>
                <w:kern w:val="2"/>
                <w:sz w:val="18"/>
                <w:szCs w:val="18"/>
                <w:highlight w:val="none"/>
                <w:lang w:val="zh-CN" w:eastAsia="zh-CN" w:bidi="ar-SA"/>
              </w:rPr>
              <w:t>方案包括但不限于</w:t>
            </w:r>
            <w:r>
              <w:rPr>
                <w:rFonts w:hint="eastAsia" w:ascii="宋体" w:hAnsi="宋体" w:eastAsia="宋体" w:cs="宋体"/>
                <w:bCs/>
                <w:color w:val="auto"/>
                <w:kern w:val="2"/>
                <w:sz w:val="18"/>
                <w:szCs w:val="18"/>
                <w:highlight w:val="none"/>
                <w:lang w:val="en-US" w:eastAsia="zh-CN" w:bidi="ar-SA"/>
              </w:rPr>
              <w:t>维修制度、管理办法、保障措施等</w:t>
            </w:r>
            <w:r>
              <w:rPr>
                <w:rFonts w:hint="eastAsia" w:ascii="宋体" w:hAnsi="宋体" w:cs="宋体"/>
                <w:bCs/>
                <w:color w:val="auto"/>
                <w:kern w:val="2"/>
                <w:sz w:val="18"/>
                <w:szCs w:val="18"/>
                <w:highlight w:val="none"/>
                <w:lang w:val="en-US" w:eastAsia="zh-CN" w:bidi="ar-SA"/>
              </w:rPr>
              <w:t>）进行整体评价，</w:t>
            </w:r>
            <w:r>
              <w:rPr>
                <w:rFonts w:hint="eastAsia" w:ascii="宋体" w:hAnsi="宋体" w:eastAsia="宋体" w:cs="宋体"/>
                <w:bCs/>
                <w:color w:val="auto"/>
                <w:kern w:val="2"/>
                <w:sz w:val="18"/>
                <w:szCs w:val="18"/>
                <w:highlight w:val="none"/>
                <w:lang w:val="en-US" w:eastAsia="zh-CN" w:bidi="ar-SA"/>
              </w:rPr>
              <w:t>方案内容制定详细合理，维修人员专业技术能力强、维修制度和流程清晰便捷的计1</w:t>
            </w:r>
            <w:r>
              <w:rPr>
                <w:rFonts w:hint="eastAsia" w:ascii="宋体" w:hAnsi="宋体" w:cs="宋体"/>
                <w:bCs/>
                <w:color w:val="auto"/>
                <w:kern w:val="2"/>
                <w:sz w:val="18"/>
                <w:szCs w:val="18"/>
                <w:highlight w:val="none"/>
                <w:lang w:val="en-US" w:eastAsia="zh-CN" w:bidi="ar-SA"/>
              </w:rPr>
              <w:t>2</w:t>
            </w:r>
            <w:r>
              <w:rPr>
                <w:rFonts w:hint="eastAsia" w:ascii="宋体" w:hAnsi="宋体" w:eastAsia="宋体" w:cs="宋体"/>
                <w:bCs/>
                <w:color w:val="auto"/>
                <w:kern w:val="2"/>
                <w:sz w:val="18"/>
                <w:szCs w:val="18"/>
                <w:highlight w:val="none"/>
                <w:lang w:val="en-US" w:eastAsia="zh-CN" w:bidi="ar-SA"/>
              </w:rPr>
              <w:t>分；</w:t>
            </w:r>
            <w:r>
              <w:rPr>
                <w:rFonts w:hint="eastAsia" w:ascii="宋体" w:hAnsi="宋体" w:eastAsia="宋体" w:cs="宋体"/>
                <w:bCs/>
                <w:color w:val="auto"/>
                <w:kern w:val="2"/>
                <w:sz w:val="18"/>
                <w:szCs w:val="18"/>
                <w:highlight w:val="none"/>
                <w:lang w:val="zh-CN" w:eastAsia="zh-CN" w:bidi="ar-SA"/>
              </w:rPr>
              <w:t>方案内容</w:t>
            </w:r>
            <w:r>
              <w:rPr>
                <w:rFonts w:hint="eastAsia" w:ascii="宋体" w:hAnsi="宋体" w:eastAsia="宋体" w:cs="宋体"/>
                <w:bCs/>
                <w:color w:val="auto"/>
                <w:kern w:val="2"/>
                <w:sz w:val="18"/>
                <w:szCs w:val="18"/>
                <w:highlight w:val="none"/>
                <w:lang w:val="en-US" w:eastAsia="zh-CN" w:bidi="ar-SA"/>
              </w:rPr>
              <w:t>不完善或不科学，思路含混不清的，每处扣</w:t>
            </w:r>
            <w:r>
              <w:rPr>
                <w:rFonts w:hint="eastAsia" w:ascii="宋体" w:hAnsi="宋体" w:cs="宋体"/>
                <w:bCs/>
                <w:color w:val="auto"/>
                <w:kern w:val="2"/>
                <w:sz w:val="18"/>
                <w:szCs w:val="18"/>
                <w:highlight w:val="none"/>
                <w:lang w:val="en-US" w:eastAsia="zh-CN" w:bidi="ar-SA"/>
              </w:rPr>
              <w:t>2</w:t>
            </w:r>
            <w:r>
              <w:rPr>
                <w:rFonts w:hint="eastAsia" w:ascii="宋体" w:hAnsi="宋体" w:eastAsia="宋体" w:cs="宋体"/>
                <w:bCs/>
                <w:color w:val="auto"/>
                <w:kern w:val="2"/>
                <w:sz w:val="18"/>
                <w:szCs w:val="18"/>
                <w:highlight w:val="none"/>
                <w:lang w:val="en-US" w:eastAsia="zh-CN" w:bidi="ar-SA"/>
              </w:rPr>
              <w:t>分，扣完为止；</w:t>
            </w:r>
            <w:r>
              <w:rPr>
                <w:rFonts w:hint="eastAsia" w:ascii="宋体" w:hAnsi="宋体" w:eastAsia="宋体" w:cs="宋体"/>
                <w:color w:val="auto"/>
                <w:sz w:val="18"/>
                <w:szCs w:val="18"/>
                <w:highlight w:val="none"/>
              </w:rPr>
              <w:t>方案</w:t>
            </w:r>
            <w:r>
              <w:rPr>
                <w:rFonts w:hint="eastAsia" w:ascii="宋体" w:hAnsi="宋体" w:eastAsia="宋体" w:cs="宋体"/>
                <w:color w:val="auto"/>
                <w:sz w:val="18"/>
                <w:szCs w:val="18"/>
                <w:highlight w:val="none"/>
                <w:lang w:val="en-US" w:eastAsia="zh-CN"/>
              </w:rPr>
              <w:t>有</w:t>
            </w:r>
            <w:r>
              <w:rPr>
                <w:rFonts w:hint="eastAsia" w:ascii="宋体" w:hAnsi="宋体" w:eastAsia="宋体" w:cs="宋体"/>
                <w:color w:val="auto"/>
                <w:sz w:val="18"/>
                <w:szCs w:val="18"/>
                <w:highlight w:val="none"/>
              </w:rPr>
              <w:t>缺项、或影响质量的、或</w:t>
            </w:r>
            <w:r>
              <w:rPr>
                <w:rFonts w:hint="eastAsia" w:ascii="宋体" w:hAnsi="宋体" w:eastAsia="宋体" w:cs="宋体"/>
                <w:bCs/>
                <w:color w:val="auto"/>
                <w:kern w:val="2"/>
                <w:sz w:val="18"/>
                <w:szCs w:val="18"/>
                <w:highlight w:val="none"/>
                <w:lang w:val="en-US" w:eastAsia="zh-CN" w:bidi="ar-SA"/>
              </w:rPr>
              <w:t>与项目实际需求不符的</w:t>
            </w:r>
            <w:r>
              <w:rPr>
                <w:rFonts w:hint="eastAsia" w:ascii="宋体" w:hAnsi="宋体" w:eastAsia="宋体" w:cs="宋体"/>
                <w:color w:val="auto"/>
                <w:sz w:val="18"/>
                <w:szCs w:val="18"/>
                <w:highlight w:val="none"/>
              </w:rPr>
              <w:t>，每处扣</w:t>
            </w:r>
            <w:r>
              <w:rPr>
                <w:rFonts w:hint="eastAsia" w:ascii="宋体" w:hAnsi="宋体" w:cs="宋体"/>
                <w:color w:val="auto"/>
                <w:sz w:val="18"/>
                <w:szCs w:val="18"/>
                <w:highlight w:val="none"/>
                <w:lang w:val="en-US" w:eastAsia="zh-CN"/>
              </w:rPr>
              <w:t>4</w:t>
            </w:r>
            <w:r>
              <w:rPr>
                <w:rFonts w:hint="eastAsia" w:ascii="宋体" w:hAnsi="宋体" w:eastAsia="宋体" w:cs="宋体"/>
                <w:color w:val="auto"/>
                <w:sz w:val="18"/>
                <w:szCs w:val="18"/>
                <w:highlight w:val="none"/>
              </w:rPr>
              <w:t>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扣完为止</w:t>
            </w:r>
            <w:r>
              <w:rPr>
                <w:rFonts w:hint="eastAsia" w:ascii="宋体" w:hAnsi="宋体" w:eastAsia="宋体" w:cs="宋体"/>
                <w:color w:val="auto"/>
                <w:sz w:val="18"/>
                <w:szCs w:val="18"/>
                <w:highlight w:val="none"/>
                <w:lang w:eastAsia="zh-CN"/>
              </w:rPr>
              <w:t>；</w:t>
            </w:r>
            <w:r>
              <w:rPr>
                <w:rFonts w:hint="eastAsia" w:ascii="宋体" w:hAnsi="宋体" w:eastAsia="宋体" w:cs="宋体"/>
                <w:bCs/>
                <w:color w:val="auto"/>
                <w:kern w:val="2"/>
                <w:sz w:val="18"/>
                <w:szCs w:val="18"/>
                <w:highlight w:val="none"/>
                <w:lang w:val="zh-CN" w:eastAsia="zh-CN" w:bidi="ar-SA"/>
              </w:rPr>
              <w:t>未提供的不计分。</w:t>
            </w:r>
          </w:p>
        </w:tc>
      </w:tr>
      <w:tr w14:paraId="7D77AB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40" w:type="dxa"/>
            <w:vMerge w:val="continue"/>
            <w:tcBorders>
              <w:tl2br w:val="nil"/>
              <w:tr2bl w:val="nil"/>
            </w:tcBorders>
            <w:vAlign w:val="center"/>
          </w:tcPr>
          <w:p w14:paraId="6888E2B4">
            <w:pPr>
              <w:spacing w:line="240" w:lineRule="auto"/>
              <w:jc w:val="center"/>
              <w:rPr>
                <w:rFonts w:hint="eastAsia" w:ascii="宋体" w:hAnsi="宋体" w:eastAsia="宋体" w:cs="宋体"/>
                <w:color w:val="auto"/>
                <w:kern w:val="0"/>
                <w:sz w:val="18"/>
                <w:szCs w:val="18"/>
                <w:highlight w:val="none"/>
              </w:rPr>
            </w:pPr>
          </w:p>
        </w:tc>
        <w:tc>
          <w:tcPr>
            <w:tcW w:w="893" w:type="dxa"/>
            <w:vMerge w:val="continue"/>
            <w:tcBorders>
              <w:tl2br w:val="nil"/>
              <w:tr2bl w:val="nil"/>
            </w:tcBorders>
            <w:vAlign w:val="center"/>
          </w:tcPr>
          <w:p w14:paraId="05F6BBD3">
            <w:pPr>
              <w:spacing w:line="240" w:lineRule="auto"/>
              <w:jc w:val="center"/>
              <w:rPr>
                <w:rFonts w:hint="eastAsia" w:ascii="宋体" w:hAnsi="宋体" w:eastAsia="宋体" w:cs="宋体"/>
                <w:color w:val="auto"/>
                <w:kern w:val="0"/>
                <w:sz w:val="18"/>
                <w:szCs w:val="18"/>
                <w:highlight w:val="none"/>
              </w:rPr>
            </w:pPr>
          </w:p>
        </w:tc>
        <w:tc>
          <w:tcPr>
            <w:tcW w:w="1087" w:type="dxa"/>
            <w:tcBorders>
              <w:tl2br w:val="nil"/>
              <w:tr2bl w:val="nil"/>
            </w:tcBorders>
            <w:shd w:val="clear" w:color="auto" w:fill="auto"/>
            <w:vAlign w:val="center"/>
          </w:tcPr>
          <w:p w14:paraId="11DA1034">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sz w:val="18"/>
                <w:szCs w:val="18"/>
                <w:highlight w:val="none"/>
                <w:lang w:eastAsia="zh-CN" w:bidi="ar"/>
              </w:rPr>
            </w:pPr>
            <w:r>
              <w:rPr>
                <w:rFonts w:hint="eastAsia" w:ascii="宋体" w:hAnsi="宋体" w:cs="宋体"/>
                <w:color w:val="auto"/>
                <w:sz w:val="18"/>
                <w:szCs w:val="18"/>
                <w:highlight w:val="none"/>
                <w:lang w:eastAsia="zh-CN" w:bidi="ar"/>
              </w:rPr>
              <w:t>宿舍管理服务方案（</w:t>
            </w:r>
            <w:r>
              <w:rPr>
                <w:rFonts w:hint="eastAsia" w:ascii="宋体" w:hAnsi="宋体" w:cs="宋体"/>
                <w:color w:val="auto"/>
                <w:sz w:val="18"/>
                <w:szCs w:val="18"/>
                <w:highlight w:val="none"/>
                <w:lang w:val="en-US" w:eastAsia="zh-CN" w:bidi="ar"/>
              </w:rPr>
              <w:t>12分</w:t>
            </w:r>
            <w:r>
              <w:rPr>
                <w:rFonts w:hint="eastAsia" w:ascii="宋体" w:hAnsi="宋体" w:cs="宋体"/>
                <w:color w:val="auto"/>
                <w:sz w:val="18"/>
                <w:szCs w:val="18"/>
                <w:highlight w:val="none"/>
                <w:lang w:eastAsia="zh-CN" w:bidi="ar"/>
              </w:rPr>
              <w:t>）</w:t>
            </w:r>
          </w:p>
        </w:tc>
        <w:tc>
          <w:tcPr>
            <w:tcW w:w="6527" w:type="dxa"/>
            <w:tcBorders>
              <w:tl2br w:val="nil"/>
              <w:tr2bl w:val="nil"/>
            </w:tcBorders>
            <w:shd w:val="clear" w:color="auto" w:fill="auto"/>
            <w:vAlign w:val="center"/>
          </w:tcPr>
          <w:p w14:paraId="05BA798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kern w:val="2"/>
                <w:sz w:val="18"/>
                <w:szCs w:val="18"/>
                <w:highlight w:val="none"/>
                <w:lang w:val="en-US" w:eastAsia="zh-CN" w:bidi="ar-SA"/>
              </w:rPr>
              <w:t>根据投标人提供的学生宿舍管理服务方案</w:t>
            </w:r>
            <w:r>
              <w:rPr>
                <w:rFonts w:hint="eastAsia" w:ascii="宋体" w:hAnsi="宋体" w:cs="宋体"/>
                <w:bCs/>
                <w:color w:val="auto"/>
                <w:kern w:val="2"/>
                <w:sz w:val="18"/>
                <w:szCs w:val="18"/>
                <w:highlight w:val="none"/>
                <w:lang w:val="en-US" w:eastAsia="zh-CN" w:bidi="ar-SA"/>
              </w:rPr>
              <w:t>（</w:t>
            </w:r>
            <w:r>
              <w:rPr>
                <w:rFonts w:hint="eastAsia" w:ascii="宋体" w:hAnsi="宋体" w:eastAsia="宋体" w:cs="宋体"/>
                <w:bCs/>
                <w:color w:val="auto"/>
                <w:kern w:val="2"/>
                <w:sz w:val="18"/>
                <w:szCs w:val="18"/>
                <w:highlight w:val="none"/>
                <w:lang w:val="zh-CN" w:eastAsia="zh-CN" w:bidi="ar-SA"/>
              </w:rPr>
              <w:t>方案包括但不限于日常</w:t>
            </w:r>
            <w:r>
              <w:rPr>
                <w:rFonts w:hint="eastAsia" w:ascii="宋体" w:hAnsi="宋体" w:eastAsia="宋体" w:cs="宋体"/>
                <w:bCs/>
                <w:color w:val="auto"/>
                <w:kern w:val="2"/>
                <w:sz w:val="18"/>
                <w:szCs w:val="18"/>
                <w:highlight w:val="none"/>
                <w:lang w:val="en-US" w:eastAsia="zh-CN" w:bidi="ar-SA"/>
              </w:rPr>
              <w:t>管理制度、治安管理、实施办法等</w:t>
            </w:r>
            <w:r>
              <w:rPr>
                <w:rFonts w:hint="eastAsia" w:ascii="宋体" w:hAnsi="宋体" w:cs="宋体"/>
                <w:bCs/>
                <w:color w:val="auto"/>
                <w:kern w:val="2"/>
                <w:sz w:val="18"/>
                <w:szCs w:val="18"/>
                <w:highlight w:val="none"/>
                <w:lang w:val="en-US" w:eastAsia="zh-CN" w:bidi="ar-SA"/>
              </w:rPr>
              <w:t>）进行整体评价，</w:t>
            </w:r>
            <w:r>
              <w:rPr>
                <w:rFonts w:hint="eastAsia" w:ascii="宋体" w:hAnsi="宋体" w:eastAsia="宋体" w:cs="宋体"/>
                <w:bCs/>
                <w:color w:val="auto"/>
                <w:kern w:val="2"/>
                <w:sz w:val="18"/>
                <w:szCs w:val="18"/>
                <w:highlight w:val="none"/>
                <w:lang w:val="en-US" w:eastAsia="zh-CN" w:bidi="ar-SA"/>
              </w:rPr>
              <w:t>方案内容制定详细合理，人员配置符合要求、流程清晰，服务标准高的计</w:t>
            </w:r>
            <w:r>
              <w:rPr>
                <w:rFonts w:hint="eastAsia" w:ascii="宋体" w:hAnsi="宋体" w:cs="宋体"/>
                <w:bCs/>
                <w:color w:val="auto"/>
                <w:kern w:val="2"/>
                <w:sz w:val="18"/>
                <w:szCs w:val="18"/>
                <w:highlight w:val="none"/>
                <w:lang w:val="en-US" w:eastAsia="zh-CN" w:bidi="ar-SA"/>
              </w:rPr>
              <w:t>12</w:t>
            </w:r>
            <w:r>
              <w:rPr>
                <w:rFonts w:hint="eastAsia" w:ascii="宋体" w:hAnsi="宋体" w:eastAsia="宋体" w:cs="宋体"/>
                <w:bCs/>
                <w:color w:val="auto"/>
                <w:kern w:val="2"/>
                <w:sz w:val="18"/>
                <w:szCs w:val="18"/>
                <w:highlight w:val="none"/>
                <w:lang w:val="en-US" w:eastAsia="zh-CN" w:bidi="ar-SA"/>
              </w:rPr>
              <w:t>分；</w:t>
            </w:r>
            <w:r>
              <w:rPr>
                <w:rFonts w:hint="eastAsia" w:ascii="宋体" w:hAnsi="宋体" w:eastAsia="宋体" w:cs="宋体"/>
                <w:bCs/>
                <w:color w:val="auto"/>
                <w:kern w:val="2"/>
                <w:sz w:val="18"/>
                <w:szCs w:val="18"/>
                <w:highlight w:val="none"/>
                <w:lang w:val="zh-CN" w:eastAsia="zh-CN" w:bidi="ar-SA"/>
              </w:rPr>
              <w:t>方案内容</w:t>
            </w:r>
            <w:r>
              <w:rPr>
                <w:rFonts w:hint="eastAsia" w:ascii="宋体" w:hAnsi="宋体" w:eastAsia="宋体" w:cs="宋体"/>
                <w:bCs/>
                <w:color w:val="auto"/>
                <w:kern w:val="2"/>
                <w:sz w:val="18"/>
                <w:szCs w:val="18"/>
                <w:highlight w:val="none"/>
                <w:lang w:val="en-US" w:eastAsia="zh-CN" w:bidi="ar-SA"/>
              </w:rPr>
              <w:t>不完善或不科学，思路含混不清的，每处扣</w:t>
            </w:r>
            <w:r>
              <w:rPr>
                <w:rFonts w:hint="eastAsia" w:ascii="宋体" w:hAnsi="宋体" w:cs="宋体"/>
                <w:bCs/>
                <w:color w:val="auto"/>
                <w:kern w:val="2"/>
                <w:sz w:val="18"/>
                <w:szCs w:val="18"/>
                <w:highlight w:val="none"/>
                <w:lang w:val="en-US" w:eastAsia="zh-CN" w:bidi="ar-SA"/>
              </w:rPr>
              <w:t>2</w:t>
            </w:r>
            <w:r>
              <w:rPr>
                <w:rFonts w:hint="eastAsia" w:ascii="宋体" w:hAnsi="宋体" w:eastAsia="宋体" w:cs="宋体"/>
                <w:bCs/>
                <w:color w:val="auto"/>
                <w:kern w:val="2"/>
                <w:sz w:val="18"/>
                <w:szCs w:val="18"/>
                <w:highlight w:val="none"/>
                <w:lang w:val="en-US" w:eastAsia="zh-CN" w:bidi="ar-SA"/>
              </w:rPr>
              <w:t>分，扣完为止；</w:t>
            </w:r>
            <w:r>
              <w:rPr>
                <w:rFonts w:hint="eastAsia" w:ascii="宋体" w:hAnsi="宋体" w:eastAsia="宋体" w:cs="宋体"/>
                <w:color w:val="auto"/>
                <w:sz w:val="18"/>
                <w:szCs w:val="18"/>
                <w:highlight w:val="none"/>
              </w:rPr>
              <w:t>以上方案</w:t>
            </w:r>
            <w:r>
              <w:rPr>
                <w:rFonts w:hint="eastAsia" w:ascii="宋体" w:hAnsi="宋体" w:eastAsia="宋体" w:cs="宋体"/>
                <w:color w:val="auto"/>
                <w:sz w:val="18"/>
                <w:szCs w:val="18"/>
                <w:highlight w:val="none"/>
                <w:lang w:val="en-US" w:eastAsia="zh-CN"/>
              </w:rPr>
              <w:t>有</w:t>
            </w:r>
            <w:r>
              <w:rPr>
                <w:rFonts w:hint="eastAsia" w:ascii="宋体" w:hAnsi="宋体" w:eastAsia="宋体" w:cs="宋体"/>
                <w:color w:val="auto"/>
                <w:sz w:val="18"/>
                <w:szCs w:val="18"/>
                <w:highlight w:val="none"/>
              </w:rPr>
              <w:t>缺项、或影响质量的、或</w:t>
            </w:r>
            <w:r>
              <w:rPr>
                <w:rFonts w:hint="eastAsia" w:ascii="宋体" w:hAnsi="宋体" w:eastAsia="宋体" w:cs="宋体"/>
                <w:bCs/>
                <w:color w:val="auto"/>
                <w:kern w:val="2"/>
                <w:sz w:val="18"/>
                <w:szCs w:val="18"/>
                <w:highlight w:val="none"/>
                <w:lang w:val="en-US" w:eastAsia="zh-CN" w:bidi="ar-SA"/>
              </w:rPr>
              <w:t>与项目实际需求不符的</w:t>
            </w:r>
            <w:r>
              <w:rPr>
                <w:rFonts w:hint="eastAsia" w:ascii="宋体" w:hAnsi="宋体" w:eastAsia="宋体" w:cs="宋体"/>
                <w:color w:val="auto"/>
                <w:sz w:val="18"/>
                <w:szCs w:val="18"/>
                <w:highlight w:val="none"/>
              </w:rPr>
              <w:t>，每处扣</w:t>
            </w:r>
            <w:r>
              <w:rPr>
                <w:rFonts w:hint="eastAsia" w:ascii="宋体" w:hAnsi="宋体" w:cs="宋体"/>
                <w:color w:val="auto"/>
                <w:sz w:val="18"/>
                <w:szCs w:val="18"/>
                <w:highlight w:val="none"/>
                <w:lang w:val="en-US" w:eastAsia="zh-CN"/>
              </w:rPr>
              <w:t>4</w:t>
            </w:r>
            <w:r>
              <w:rPr>
                <w:rFonts w:hint="eastAsia" w:ascii="宋体" w:hAnsi="宋体" w:eastAsia="宋体" w:cs="宋体"/>
                <w:color w:val="auto"/>
                <w:sz w:val="18"/>
                <w:szCs w:val="18"/>
                <w:highlight w:val="none"/>
              </w:rPr>
              <w:t>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扣完为止</w:t>
            </w:r>
            <w:r>
              <w:rPr>
                <w:rFonts w:hint="eastAsia" w:ascii="宋体" w:hAnsi="宋体" w:eastAsia="宋体" w:cs="宋体"/>
                <w:color w:val="auto"/>
                <w:sz w:val="18"/>
                <w:szCs w:val="18"/>
                <w:highlight w:val="none"/>
                <w:lang w:eastAsia="zh-CN"/>
              </w:rPr>
              <w:t>；</w:t>
            </w:r>
            <w:r>
              <w:rPr>
                <w:rFonts w:hint="eastAsia" w:ascii="宋体" w:hAnsi="宋体" w:eastAsia="宋体" w:cs="宋体"/>
                <w:bCs/>
                <w:color w:val="auto"/>
                <w:kern w:val="2"/>
                <w:sz w:val="18"/>
                <w:szCs w:val="18"/>
                <w:highlight w:val="none"/>
                <w:lang w:val="zh-CN" w:eastAsia="zh-CN" w:bidi="ar-SA"/>
              </w:rPr>
              <w:t>未提供的不计分。</w:t>
            </w:r>
          </w:p>
        </w:tc>
      </w:tr>
      <w:tr w14:paraId="6AB88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40" w:type="dxa"/>
            <w:vMerge w:val="continue"/>
            <w:tcBorders>
              <w:tl2br w:val="nil"/>
              <w:tr2bl w:val="nil"/>
            </w:tcBorders>
            <w:vAlign w:val="center"/>
          </w:tcPr>
          <w:p w14:paraId="208E8EE7">
            <w:pPr>
              <w:spacing w:line="240" w:lineRule="auto"/>
              <w:jc w:val="center"/>
              <w:rPr>
                <w:rFonts w:hint="eastAsia" w:ascii="宋体" w:hAnsi="宋体" w:eastAsia="宋体" w:cs="宋体"/>
                <w:color w:val="auto"/>
                <w:kern w:val="0"/>
                <w:sz w:val="18"/>
                <w:szCs w:val="18"/>
                <w:highlight w:val="none"/>
              </w:rPr>
            </w:pPr>
          </w:p>
        </w:tc>
        <w:tc>
          <w:tcPr>
            <w:tcW w:w="893" w:type="dxa"/>
            <w:vMerge w:val="continue"/>
            <w:tcBorders>
              <w:tl2br w:val="nil"/>
              <w:tr2bl w:val="nil"/>
            </w:tcBorders>
            <w:vAlign w:val="center"/>
          </w:tcPr>
          <w:p w14:paraId="36D63017">
            <w:pPr>
              <w:spacing w:line="240" w:lineRule="auto"/>
              <w:jc w:val="center"/>
              <w:rPr>
                <w:rFonts w:hint="eastAsia" w:ascii="宋体" w:hAnsi="宋体" w:eastAsia="宋体" w:cs="宋体"/>
                <w:color w:val="auto"/>
                <w:kern w:val="0"/>
                <w:sz w:val="18"/>
                <w:szCs w:val="18"/>
                <w:highlight w:val="none"/>
              </w:rPr>
            </w:pPr>
          </w:p>
        </w:tc>
        <w:tc>
          <w:tcPr>
            <w:tcW w:w="1087" w:type="dxa"/>
            <w:tcBorders>
              <w:tl2br w:val="nil"/>
              <w:tr2bl w:val="nil"/>
            </w:tcBorders>
            <w:shd w:val="clear" w:color="auto" w:fill="auto"/>
            <w:vAlign w:val="center"/>
          </w:tcPr>
          <w:p w14:paraId="038485DE">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会务服务方案</w:t>
            </w:r>
          </w:p>
          <w:p w14:paraId="0B710C07">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CN" w:bidi="ar"/>
              </w:rPr>
              <w:t>（</w:t>
            </w:r>
            <w:r>
              <w:rPr>
                <w:rFonts w:hint="eastAsia" w:ascii="宋体" w:hAnsi="宋体" w:cs="宋体"/>
                <w:color w:val="auto"/>
                <w:sz w:val="18"/>
                <w:szCs w:val="18"/>
                <w:highlight w:val="none"/>
                <w:lang w:val="en-US" w:eastAsia="zh-CN" w:bidi="ar"/>
              </w:rPr>
              <w:t>8</w:t>
            </w:r>
            <w:r>
              <w:rPr>
                <w:rFonts w:hint="eastAsia" w:ascii="宋体" w:hAnsi="宋体" w:eastAsia="宋体" w:cs="宋体"/>
                <w:color w:val="auto"/>
                <w:sz w:val="18"/>
                <w:szCs w:val="18"/>
                <w:highlight w:val="none"/>
                <w:lang w:val="zh-CN" w:eastAsia="zh-CN" w:bidi="ar"/>
              </w:rPr>
              <w:t>分</w:t>
            </w:r>
            <w:r>
              <w:rPr>
                <w:rFonts w:hint="eastAsia" w:ascii="宋体" w:hAnsi="宋体" w:eastAsia="宋体" w:cs="宋体"/>
                <w:color w:val="auto"/>
                <w:sz w:val="18"/>
                <w:szCs w:val="18"/>
                <w:highlight w:val="none"/>
                <w:lang w:eastAsia="zh-CN" w:bidi="ar"/>
              </w:rPr>
              <w:t>）</w:t>
            </w:r>
          </w:p>
        </w:tc>
        <w:tc>
          <w:tcPr>
            <w:tcW w:w="6527" w:type="dxa"/>
            <w:tcBorders>
              <w:tl2br w:val="nil"/>
              <w:tr2bl w:val="nil"/>
            </w:tcBorders>
            <w:shd w:val="clear" w:color="auto" w:fill="auto"/>
            <w:vAlign w:val="center"/>
          </w:tcPr>
          <w:p w14:paraId="0414A8A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kern w:val="2"/>
                <w:sz w:val="18"/>
                <w:szCs w:val="18"/>
                <w:highlight w:val="none"/>
                <w:lang w:val="ru-RU" w:eastAsia="zh-CN" w:bidi="ar-SA"/>
              </w:rPr>
            </w:pPr>
            <w:r>
              <w:rPr>
                <w:rFonts w:hint="eastAsia" w:ascii="宋体" w:hAnsi="宋体" w:eastAsia="宋体" w:cs="宋体"/>
                <w:bCs/>
                <w:color w:val="auto"/>
                <w:kern w:val="2"/>
                <w:sz w:val="18"/>
                <w:szCs w:val="18"/>
                <w:highlight w:val="none"/>
                <w:lang w:val="en-US" w:eastAsia="zh-CN" w:bidi="ar-SA"/>
              </w:rPr>
              <w:t>根据投标人提供的会议服务方案</w:t>
            </w:r>
            <w:r>
              <w:rPr>
                <w:rFonts w:hint="eastAsia" w:ascii="宋体" w:hAnsi="宋体" w:cs="宋体"/>
                <w:bCs/>
                <w:color w:val="auto"/>
                <w:kern w:val="2"/>
                <w:sz w:val="18"/>
                <w:szCs w:val="18"/>
                <w:highlight w:val="none"/>
                <w:lang w:val="en-US" w:eastAsia="zh-CN" w:bidi="ar-SA"/>
              </w:rPr>
              <w:t>（</w:t>
            </w:r>
            <w:r>
              <w:rPr>
                <w:rFonts w:hint="eastAsia" w:ascii="宋体" w:hAnsi="宋体" w:eastAsia="宋体" w:cs="宋体"/>
                <w:bCs/>
                <w:color w:val="auto"/>
                <w:kern w:val="2"/>
                <w:sz w:val="18"/>
                <w:szCs w:val="18"/>
                <w:highlight w:val="none"/>
                <w:lang w:val="zh-CN" w:eastAsia="zh-CN" w:bidi="ar-SA"/>
              </w:rPr>
              <w:t>方案包括但不限于</w:t>
            </w:r>
            <w:r>
              <w:rPr>
                <w:rFonts w:hint="eastAsia" w:ascii="宋体" w:hAnsi="宋体" w:eastAsia="宋体" w:cs="宋体"/>
                <w:bCs/>
                <w:color w:val="auto"/>
                <w:kern w:val="2"/>
                <w:sz w:val="18"/>
                <w:szCs w:val="18"/>
                <w:highlight w:val="none"/>
                <w:lang w:val="en-US" w:eastAsia="zh-CN" w:bidi="ar-SA"/>
              </w:rPr>
              <w:t>管理制度、服务标准、实施办法等</w:t>
            </w:r>
            <w:r>
              <w:rPr>
                <w:rFonts w:hint="eastAsia" w:ascii="宋体" w:hAnsi="宋体" w:cs="宋体"/>
                <w:bCs/>
                <w:color w:val="auto"/>
                <w:kern w:val="2"/>
                <w:sz w:val="18"/>
                <w:szCs w:val="18"/>
                <w:highlight w:val="none"/>
                <w:lang w:val="en-US" w:eastAsia="zh-CN" w:bidi="ar-SA"/>
              </w:rPr>
              <w:t>）进行整体评价，</w:t>
            </w:r>
            <w:r>
              <w:rPr>
                <w:rFonts w:hint="eastAsia" w:ascii="宋体" w:hAnsi="宋体" w:eastAsia="宋体" w:cs="宋体"/>
                <w:bCs/>
                <w:color w:val="auto"/>
                <w:kern w:val="2"/>
                <w:sz w:val="18"/>
                <w:szCs w:val="18"/>
                <w:highlight w:val="none"/>
                <w:lang w:val="en-US" w:eastAsia="zh-CN" w:bidi="ar-SA"/>
              </w:rPr>
              <w:t>方案内容制定详细合理，人员配置符合要求、流程清晰，服务标准高的计</w:t>
            </w:r>
            <w:r>
              <w:rPr>
                <w:rFonts w:hint="eastAsia" w:ascii="宋体" w:hAnsi="宋体" w:cs="宋体"/>
                <w:bCs/>
                <w:color w:val="auto"/>
                <w:kern w:val="2"/>
                <w:sz w:val="18"/>
                <w:szCs w:val="18"/>
                <w:highlight w:val="none"/>
                <w:lang w:val="en-US" w:eastAsia="zh-CN" w:bidi="ar-SA"/>
              </w:rPr>
              <w:t>8</w:t>
            </w:r>
            <w:r>
              <w:rPr>
                <w:rFonts w:hint="eastAsia" w:ascii="宋体" w:hAnsi="宋体" w:eastAsia="宋体" w:cs="宋体"/>
                <w:bCs/>
                <w:color w:val="auto"/>
                <w:kern w:val="2"/>
                <w:sz w:val="18"/>
                <w:szCs w:val="18"/>
                <w:highlight w:val="none"/>
                <w:lang w:val="en-US" w:eastAsia="zh-CN" w:bidi="ar-SA"/>
              </w:rPr>
              <w:t>分；</w:t>
            </w:r>
            <w:r>
              <w:rPr>
                <w:rFonts w:hint="eastAsia" w:ascii="宋体" w:hAnsi="宋体" w:eastAsia="宋体" w:cs="宋体"/>
                <w:bCs/>
                <w:color w:val="auto"/>
                <w:kern w:val="2"/>
                <w:sz w:val="18"/>
                <w:szCs w:val="18"/>
                <w:highlight w:val="none"/>
                <w:lang w:val="zh-CN" w:eastAsia="zh-CN" w:bidi="ar-SA"/>
              </w:rPr>
              <w:t>方案内容</w:t>
            </w:r>
            <w:r>
              <w:rPr>
                <w:rFonts w:hint="eastAsia" w:ascii="宋体" w:hAnsi="宋体" w:eastAsia="宋体" w:cs="宋体"/>
                <w:bCs/>
                <w:color w:val="auto"/>
                <w:kern w:val="2"/>
                <w:sz w:val="18"/>
                <w:szCs w:val="18"/>
                <w:highlight w:val="none"/>
                <w:lang w:val="en-US" w:eastAsia="zh-CN" w:bidi="ar-SA"/>
              </w:rPr>
              <w:t>不完善或不科学，思路含混不清的，每处扣</w:t>
            </w:r>
            <w:r>
              <w:rPr>
                <w:rFonts w:hint="eastAsia" w:ascii="宋体" w:hAnsi="宋体" w:cs="宋体"/>
                <w:bCs/>
                <w:color w:val="auto"/>
                <w:kern w:val="2"/>
                <w:sz w:val="18"/>
                <w:szCs w:val="18"/>
                <w:highlight w:val="none"/>
                <w:lang w:val="en-US" w:eastAsia="zh-CN" w:bidi="ar-SA"/>
              </w:rPr>
              <w:t>2</w:t>
            </w:r>
            <w:r>
              <w:rPr>
                <w:rFonts w:hint="eastAsia" w:ascii="宋体" w:hAnsi="宋体" w:eastAsia="宋体" w:cs="宋体"/>
                <w:bCs/>
                <w:color w:val="auto"/>
                <w:kern w:val="2"/>
                <w:sz w:val="18"/>
                <w:szCs w:val="18"/>
                <w:highlight w:val="none"/>
                <w:lang w:val="en-US" w:eastAsia="zh-CN" w:bidi="ar-SA"/>
              </w:rPr>
              <w:t>分，扣完为止；</w:t>
            </w:r>
            <w:r>
              <w:rPr>
                <w:rFonts w:hint="eastAsia" w:ascii="宋体" w:hAnsi="宋体" w:eastAsia="宋体" w:cs="宋体"/>
                <w:color w:val="auto"/>
                <w:sz w:val="18"/>
                <w:szCs w:val="18"/>
                <w:highlight w:val="none"/>
              </w:rPr>
              <w:t>以上方案</w:t>
            </w:r>
            <w:r>
              <w:rPr>
                <w:rFonts w:hint="eastAsia" w:ascii="宋体" w:hAnsi="宋体" w:eastAsia="宋体" w:cs="宋体"/>
                <w:color w:val="auto"/>
                <w:sz w:val="18"/>
                <w:szCs w:val="18"/>
                <w:highlight w:val="none"/>
                <w:lang w:val="en-US" w:eastAsia="zh-CN"/>
              </w:rPr>
              <w:t>有</w:t>
            </w:r>
            <w:r>
              <w:rPr>
                <w:rFonts w:hint="eastAsia" w:ascii="宋体" w:hAnsi="宋体" w:eastAsia="宋体" w:cs="宋体"/>
                <w:color w:val="auto"/>
                <w:sz w:val="18"/>
                <w:szCs w:val="18"/>
                <w:highlight w:val="none"/>
              </w:rPr>
              <w:t>缺项、或影响质量的、或</w:t>
            </w:r>
            <w:r>
              <w:rPr>
                <w:rFonts w:hint="eastAsia" w:ascii="宋体" w:hAnsi="宋体" w:eastAsia="宋体" w:cs="宋体"/>
                <w:bCs/>
                <w:color w:val="auto"/>
                <w:kern w:val="2"/>
                <w:sz w:val="18"/>
                <w:szCs w:val="18"/>
                <w:highlight w:val="none"/>
                <w:lang w:val="en-US" w:eastAsia="zh-CN" w:bidi="ar-SA"/>
              </w:rPr>
              <w:t>与项目实际需求不符的</w:t>
            </w:r>
            <w:r>
              <w:rPr>
                <w:rFonts w:hint="eastAsia" w:ascii="宋体" w:hAnsi="宋体" w:eastAsia="宋体" w:cs="宋体"/>
                <w:color w:val="auto"/>
                <w:sz w:val="18"/>
                <w:szCs w:val="18"/>
                <w:highlight w:val="none"/>
              </w:rPr>
              <w:t>，每处扣</w:t>
            </w:r>
            <w:r>
              <w:rPr>
                <w:rFonts w:hint="eastAsia" w:ascii="宋体" w:hAnsi="宋体" w:cs="宋体"/>
                <w:color w:val="auto"/>
                <w:sz w:val="18"/>
                <w:szCs w:val="18"/>
                <w:highlight w:val="none"/>
                <w:lang w:val="en-US" w:eastAsia="zh-CN"/>
              </w:rPr>
              <w:t>4</w:t>
            </w:r>
            <w:r>
              <w:rPr>
                <w:rFonts w:hint="eastAsia" w:ascii="宋体" w:hAnsi="宋体" w:eastAsia="宋体" w:cs="宋体"/>
                <w:color w:val="auto"/>
                <w:sz w:val="18"/>
                <w:szCs w:val="18"/>
                <w:highlight w:val="none"/>
              </w:rPr>
              <w:t>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扣完为止</w:t>
            </w:r>
            <w:r>
              <w:rPr>
                <w:rFonts w:hint="eastAsia" w:ascii="宋体" w:hAnsi="宋体" w:eastAsia="宋体" w:cs="宋体"/>
                <w:color w:val="auto"/>
                <w:sz w:val="18"/>
                <w:szCs w:val="18"/>
                <w:highlight w:val="none"/>
                <w:lang w:eastAsia="zh-CN"/>
              </w:rPr>
              <w:t>；</w:t>
            </w:r>
            <w:r>
              <w:rPr>
                <w:rFonts w:hint="eastAsia" w:ascii="宋体" w:hAnsi="宋体" w:eastAsia="宋体" w:cs="宋体"/>
                <w:bCs/>
                <w:color w:val="auto"/>
                <w:kern w:val="2"/>
                <w:sz w:val="18"/>
                <w:szCs w:val="18"/>
                <w:highlight w:val="none"/>
                <w:lang w:val="zh-CN" w:eastAsia="zh-CN" w:bidi="ar-SA"/>
              </w:rPr>
              <w:t>未提供的不计分。</w:t>
            </w:r>
          </w:p>
        </w:tc>
      </w:tr>
      <w:tr w14:paraId="133B20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40" w:type="dxa"/>
            <w:vMerge w:val="continue"/>
            <w:tcBorders>
              <w:tl2br w:val="nil"/>
              <w:tr2bl w:val="nil"/>
            </w:tcBorders>
            <w:vAlign w:val="center"/>
          </w:tcPr>
          <w:p w14:paraId="02D9E97A">
            <w:pPr>
              <w:spacing w:line="240" w:lineRule="auto"/>
              <w:jc w:val="center"/>
              <w:rPr>
                <w:rFonts w:hint="eastAsia" w:ascii="宋体" w:hAnsi="宋体" w:eastAsia="宋体" w:cs="宋体"/>
                <w:color w:val="auto"/>
                <w:kern w:val="0"/>
                <w:sz w:val="18"/>
                <w:szCs w:val="18"/>
                <w:highlight w:val="none"/>
              </w:rPr>
            </w:pPr>
          </w:p>
        </w:tc>
        <w:tc>
          <w:tcPr>
            <w:tcW w:w="893" w:type="dxa"/>
            <w:vMerge w:val="continue"/>
            <w:tcBorders>
              <w:tl2br w:val="nil"/>
              <w:tr2bl w:val="nil"/>
            </w:tcBorders>
            <w:vAlign w:val="center"/>
          </w:tcPr>
          <w:p w14:paraId="1F9166AF">
            <w:pPr>
              <w:spacing w:line="240" w:lineRule="auto"/>
              <w:jc w:val="center"/>
              <w:rPr>
                <w:rFonts w:hint="eastAsia" w:ascii="宋体" w:hAnsi="宋体" w:eastAsia="宋体" w:cs="宋体"/>
                <w:color w:val="auto"/>
                <w:kern w:val="0"/>
                <w:sz w:val="18"/>
                <w:szCs w:val="18"/>
                <w:highlight w:val="none"/>
              </w:rPr>
            </w:pPr>
          </w:p>
        </w:tc>
        <w:tc>
          <w:tcPr>
            <w:tcW w:w="1087" w:type="dxa"/>
            <w:tcBorders>
              <w:tl2br w:val="nil"/>
              <w:tr2bl w:val="nil"/>
            </w:tcBorders>
            <w:shd w:val="clear" w:color="auto" w:fill="auto"/>
            <w:vAlign w:val="center"/>
          </w:tcPr>
          <w:p w14:paraId="7CFFBC21">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应急管理方案</w:t>
            </w:r>
          </w:p>
          <w:p w14:paraId="6174A2F2">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eastAsia="zh-CN" w:bidi="ar"/>
              </w:rPr>
              <w:t>（</w:t>
            </w:r>
            <w:r>
              <w:rPr>
                <w:rFonts w:hint="eastAsia" w:ascii="宋体" w:hAnsi="宋体" w:cs="宋体"/>
                <w:color w:val="auto"/>
                <w:sz w:val="18"/>
                <w:szCs w:val="18"/>
                <w:highlight w:val="none"/>
                <w:lang w:val="en-US" w:eastAsia="zh-CN" w:bidi="ar"/>
              </w:rPr>
              <w:t>8</w:t>
            </w:r>
            <w:r>
              <w:rPr>
                <w:rFonts w:hint="eastAsia" w:ascii="宋体" w:hAnsi="宋体" w:eastAsia="宋体" w:cs="宋体"/>
                <w:color w:val="auto"/>
                <w:sz w:val="18"/>
                <w:szCs w:val="18"/>
                <w:highlight w:val="none"/>
                <w:lang w:val="zh-CN" w:eastAsia="zh-CN" w:bidi="ar"/>
              </w:rPr>
              <w:t>分</w:t>
            </w:r>
            <w:r>
              <w:rPr>
                <w:rFonts w:hint="eastAsia" w:ascii="宋体" w:hAnsi="宋体" w:eastAsia="宋体" w:cs="宋体"/>
                <w:color w:val="auto"/>
                <w:sz w:val="18"/>
                <w:szCs w:val="18"/>
                <w:highlight w:val="none"/>
                <w:lang w:eastAsia="zh-CN" w:bidi="ar"/>
              </w:rPr>
              <w:t>）</w:t>
            </w:r>
          </w:p>
        </w:tc>
        <w:tc>
          <w:tcPr>
            <w:tcW w:w="6527" w:type="dxa"/>
            <w:tcBorders>
              <w:tl2br w:val="nil"/>
              <w:tr2bl w:val="nil"/>
            </w:tcBorders>
            <w:shd w:val="clear" w:color="auto" w:fill="auto"/>
            <w:vAlign w:val="center"/>
          </w:tcPr>
          <w:p w14:paraId="2584062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kern w:val="2"/>
                <w:sz w:val="18"/>
                <w:szCs w:val="18"/>
                <w:highlight w:val="none"/>
                <w:lang w:val="ru-RU" w:eastAsia="zh-CN" w:bidi="ar-SA"/>
              </w:rPr>
            </w:pPr>
            <w:r>
              <w:rPr>
                <w:rFonts w:hint="eastAsia" w:ascii="宋体" w:hAnsi="宋体" w:eastAsia="宋体" w:cs="宋体"/>
                <w:bCs/>
                <w:color w:val="auto"/>
                <w:kern w:val="2"/>
                <w:sz w:val="18"/>
                <w:szCs w:val="18"/>
                <w:highlight w:val="none"/>
                <w:lang w:val="en-US" w:eastAsia="zh-CN" w:bidi="ar-SA"/>
              </w:rPr>
              <w:t>根据投标人提供的应急管理方案</w:t>
            </w:r>
            <w:r>
              <w:rPr>
                <w:rFonts w:hint="eastAsia" w:ascii="宋体" w:hAnsi="宋体" w:cs="宋体"/>
                <w:bCs/>
                <w:color w:val="auto"/>
                <w:kern w:val="2"/>
                <w:sz w:val="18"/>
                <w:szCs w:val="18"/>
                <w:highlight w:val="none"/>
                <w:lang w:val="en-US" w:eastAsia="zh-CN" w:bidi="ar-SA"/>
              </w:rPr>
              <w:t>（</w:t>
            </w:r>
            <w:r>
              <w:rPr>
                <w:rFonts w:hint="eastAsia" w:ascii="宋体" w:hAnsi="宋体" w:eastAsia="宋体" w:cs="宋体"/>
                <w:bCs/>
                <w:color w:val="auto"/>
                <w:kern w:val="2"/>
                <w:sz w:val="18"/>
                <w:szCs w:val="18"/>
                <w:highlight w:val="none"/>
                <w:lang w:val="zh-CN" w:eastAsia="zh-CN" w:bidi="ar-SA"/>
              </w:rPr>
              <w:t>方案包括但不限于</w:t>
            </w:r>
            <w:r>
              <w:rPr>
                <w:rFonts w:hint="eastAsia" w:ascii="宋体" w:hAnsi="宋体" w:eastAsia="宋体" w:cs="宋体"/>
                <w:bCs/>
                <w:color w:val="auto"/>
                <w:kern w:val="2"/>
                <w:sz w:val="18"/>
                <w:szCs w:val="18"/>
                <w:highlight w:val="none"/>
                <w:lang w:val="en-US" w:eastAsia="zh-CN" w:bidi="ar-SA"/>
              </w:rPr>
              <w:t>信息安全、消防应急、交通安全、保密安全、设备突发事故、人员意外伤害、火灾、自然灾害、公共卫生事件等</w:t>
            </w:r>
            <w:r>
              <w:rPr>
                <w:rFonts w:hint="eastAsia" w:ascii="宋体" w:hAnsi="宋体" w:cs="宋体"/>
                <w:bCs/>
                <w:color w:val="auto"/>
                <w:kern w:val="2"/>
                <w:sz w:val="18"/>
                <w:szCs w:val="18"/>
                <w:highlight w:val="none"/>
                <w:lang w:val="en-US" w:eastAsia="zh-CN" w:bidi="ar-SA"/>
              </w:rPr>
              <w:t>）进行整体评价，</w:t>
            </w:r>
            <w:r>
              <w:rPr>
                <w:rFonts w:hint="eastAsia" w:ascii="宋体" w:hAnsi="宋体" w:eastAsia="宋体" w:cs="宋体"/>
                <w:bCs/>
                <w:color w:val="auto"/>
                <w:kern w:val="2"/>
                <w:sz w:val="18"/>
                <w:szCs w:val="18"/>
                <w:highlight w:val="none"/>
                <w:lang w:val="en-US" w:eastAsia="zh-CN" w:bidi="ar-SA"/>
              </w:rPr>
              <w:t>方案内容制定详细合理、</w:t>
            </w:r>
            <w:r>
              <w:rPr>
                <w:rFonts w:hint="eastAsia" w:ascii="宋体" w:hAnsi="宋体" w:eastAsia="宋体" w:cs="宋体"/>
                <w:bCs/>
                <w:color w:val="auto"/>
                <w:kern w:val="2"/>
                <w:sz w:val="18"/>
                <w:szCs w:val="18"/>
                <w:highlight w:val="none"/>
                <w:lang w:val="zh-CN" w:eastAsia="zh-CN" w:bidi="ar-SA"/>
              </w:rPr>
              <w:t>可执行力强、切合采购人实际需求</w:t>
            </w:r>
            <w:r>
              <w:rPr>
                <w:rFonts w:hint="eastAsia" w:ascii="宋体" w:hAnsi="宋体" w:eastAsia="宋体" w:cs="宋体"/>
                <w:bCs/>
                <w:color w:val="auto"/>
                <w:kern w:val="2"/>
                <w:sz w:val="18"/>
                <w:szCs w:val="18"/>
                <w:highlight w:val="none"/>
                <w:lang w:val="en-US" w:eastAsia="zh-CN" w:bidi="ar-SA"/>
              </w:rPr>
              <w:t>的计</w:t>
            </w:r>
            <w:r>
              <w:rPr>
                <w:rFonts w:hint="eastAsia" w:ascii="宋体" w:hAnsi="宋体" w:cs="宋体"/>
                <w:bCs/>
                <w:color w:val="auto"/>
                <w:kern w:val="2"/>
                <w:sz w:val="18"/>
                <w:szCs w:val="18"/>
                <w:highlight w:val="none"/>
                <w:lang w:val="en-US" w:eastAsia="zh-CN" w:bidi="ar-SA"/>
              </w:rPr>
              <w:t>8</w:t>
            </w:r>
            <w:r>
              <w:rPr>
                <w:rFonts w:hint="eastAsia" w:ascii="宋体" w:hAnsi="宋体" w:eastAsia="宋体" w:cs="宋体"/>
                <w:bCs/>
                <w:color w:val="auto"/>
                <w:kern w:val="2"/>
                <w:sz w:val="18"/>
                <w:szCs w:val="18"/>
                <w:highlight w:val="none"/>
                <w:lang w:val="en-US" w:eastAsia="zh-CN" w:bidi="ar-SA"/>
              </w:rPr>
              <w:t>分；</w:t>
            </w:r>
            <w:r>
              <w:rPr>
                <w:rFonts w:hint="eastAsia" w:ascii="宋体" w:hAnsi="宋体" w:eastAsia="宋体" w:cs="宋体"/>
                <w:bCs/>
                <w:color w:val="auto"/>
                <w:kern w:val="2"/>
                <w:sz w:val="18"/>
                <w:szCs w:val="18"/>
                <w:highlight w:val="none"/>
                <w:lang w:val="zh-CN" w:eastAsia="zh-CN" w:bidi="ar-SA"/>
              </w:rPr>
              <w:t>方案内容</w:t>
            </w:r>
            <w:r>
              <w:rPr>
                <w:rFonts w:hint="eastAsia" w:ascii="宋体" w:hAnsi="宋体" w:eastAsia="宋体" w:cs="宋体"/>
                <w:bCs/>
                <w:color w:val="auto"/>
                <w:kern w:val="2"/>
                <w:sz w:val="18"/>
                <w:szCs w:val="18"/>
                <w:highlight w:val="none"/>
                <w:lang w:val="en-US" w:eastAsia="zh-CN" w:bidi="ar-SA"/>
              </w:rPr>
              <w:t>不完善或不科学，思路含混不清的，每处扣</w:t>
            </w:r>
            <w:r>
              <w:rPr>
                <w:rFonts w:hint="eastAsia" w:ascii="宋体" w:hAnsi="宋体" w:cs="宋体"/>
                <w:bCs/>
                <w:color w:val="auto"/>
                <w:kern w:val="2"/>
                <w:sz w:val="18"/>
                <w:szCs w:val="18"/>
                <w:highlight w:val="none"/>
                <w:lang w:val="en-US" w:eastAsia="zh-CN" w:bidi="ar-SA"/>
              </w:rPr>
              <w:t>2</w:t>
            </w:r>
            <w:r>
              <w:rPr>
                <w:rFonts w:hint="eastAsia" w:ascii="宋体" w:hAnsi="宋体" w:eastAsia="宋体" w:cs="宋体"/>
                <w:bCs/>
                <w:color w:val="auto"/>
                <w:kern w:val="2"/>
                <w:sz w:val="18"/>
                <w:szCs w:val="18"/>
                <w:highlight w:val="none"/>
                <w:lang w:val="en-US" w:eastAsia="zh-CN" w:bidi="ar-SA"/>
              </w:rPr>
              <w:t>分，扣完为止；</w:t>
            </w:r>
            <w:r>
              <w:rPr>
                <w:rFonts w:hint="eastAsia" w:ascii="宋体" w:hAnsi="宋体" w:eastAsia="宋体" w:cs="宋体"/>
                <w:color w:val="auto"/>
                <w:sz w:val="18"/>
                <w:szCs w:val="18"/>
                <w:highlight w:val="none"/>
              </w:rPr>
              <w:t>以上方案</w:t>
            </w:r>
            <w:r>
              <w:rPr>
                <w:rFonts w:hint="eastAsia" w:ascii="宋体" w:hAnsi="宋体" w:eastAsia="宋体" w:cs="宋体"/>
                <w:color w:val="auto"/>
                <w:sz w:val="18"/>
                <w:szCs w:val="18"/>
                <w:highlight w:val="none"/>
                <w:lang w:val="en-US" w:eastAsia="zh-CN"/>
              </w:rPr>
              <w:t>有</w:t>
            </w:r>
            <w:r>
              <w:rPr>
                <w:rFonts w:hint="eastAsia" w:ascii="宋体" w:hAnsi="宋体" w:eastAsia="宋体" w:cs="宋体"/>
                <w:color w:val="auto"/>
                <w:sz w:val="18"/>
                <w:szCs w:val="18"/>
                <w:highlight w:val="none"/>
              </w:rPr>
              <w:t>缺项、或影响质量的、或</w:t>
            </w:r>
            <w:r>
              <w:rPr>
                <w:rFonts w:hint="eastAsia" w:ascii="宋体" w:hAnsi="宋体" w:eastAsia="宋体" w:cs="宋体"/>
                <w:bCs/>
                <w:color w:val="auto"/>
                <w:kern w:val="2"/>
                <w:sz w:val="18"/>
                <w:szCs w:val="18"/>
                <w:highlight w:val="none"/>
                <w:lang w:val="en-US" w:eastAsia="zh-CN" w:bidi="ar-SA"/>
              </w:rPr>
              <w:t>与项目实际需求不符的</w:t>
            </w:r>
            <w:r>
              <w:rPr>
                <w:rFonts w:hint="eastAsia" w:ascii="宋体" w:hAnsi="宋体" w:eastAsia="宋体" w:cs="宋体"/>
                <w:color w:val="auto"/>
                <w:sz w:val="18"/>
                <w:szCs w:val="18"/>
                <w:highlight w:val="none"/>
              </w:rPr>
              <w:t>，每处扣</w:t>
            </w:r>
            <w:r>
              <w:rPr>
                <w:rFonts w:hint="eastAsia" w:ascii="宋体" w:hAnsi="宋体" w:cs="宋体"/>
                <w:color w:val="auto"/>
                <w:sz w:val="18"/>
                <w:szCs w:val="18"/>
                <w:highlight w:val="none"/>
                <w:lang w:val="en-US" w:eastAsia="zh-CN"/>
              </w:rPr>
              <w:t>4</w:t>
            </w:r>
            <w:r>
              <w:rPr>
                <w:rFonts w:hint="eastAsia" w:ascii="宋体" w:hAnsi="宋体" w:eastAsia="宋体" w:cs="宋体"/>
                <w:color w:val="auto"/>
                <w:sz w:val="18"/>
                <w:szCs w:val="18"/>
                <w:highlight w:val="none"/>
              </w:rPr>
              <w:t>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扣完为止</w:t>
            </w:r>
            <w:r>
              <w:rPr>
                <w:rFonts w:hint="eastAsia" w:ascii="宋体" w:hAnsi="宋体" w:eastAsia="宋体" w:cs="宋体"/>
                <w:color w:val="auto"/>
                <w:sz w:val="18"/>
                <w:szCs w:val="18"/>
                <w:highlight w:val="none"/>
                <w:lang w:eastAsia="zh-CN"/>
              </w:rPr>
              <w:t>；</w:t>
            </w:r>
            <w:r>
              <w:rPr>
                <w:rFonts w:hint="eastAsia" w:ascii="宋体" w:hAnsi="宋体" w:eastAsia="宋体" w:cs="宋体"/>
                <w:bCs/>
                <w:color w:val="auto"/>
                <w:kern w:val="2"/>
                <w:sz w:val="18"/>
                <w:szCs w:val="18"/>
                <w:highlight w:val="none"/>
                <w:lang w:val="zh-CN" w:eastAsia="zh-CN" w:bidi="ar-SA"/>
              </w:rPr>
              <w:t>未提供的不计分。</w:t>
            </w:r>
          </w:p>
        </w:tc>
      </w:tr>
      <w:tr w14:paraId="0D152D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40" w:type="dxa"/>
            <w:vMerge w:val="continue"/>
          </w:tcPr>
          <w:p w14:paraId="6C8002C6">
            <w:pPr>
              <w:spacing w:line="240" w:lineRule="auto"/>
              <w:jc w:val="center"/>
              <w:rPr>
                <w:rFonts w:hint="eastAsia" w:ascii="宋体" w:hAnsi="宋体" w:eastAsia="宋体" w:cs="宋体"/>
                <w:color w:val="auto"/>
                <w:kern w:val="0"/>
                <w:sz w:val="18"/>
                <w:szCs w:val="18"/>
                <w:highlight w:val="none"/>
              </w:rPr>
            </w:pPr>
          </w:p>
        </w:tc>
        <w:tc>
          <w:tcPr>
            <w:tcW w:w="893" w:type="dxa"/>
            <w:vMerge w:val="continue"/>
          </w:tcPr>
          <w:p w14:paraId="26FF7650">
            <w:pPr>
              <w:spacing w:line="240" w:lineRule="auto"/>
              <w:jc w:val="center"/>
              <w:rPr>
                <w:rFonts w:hint="eastAsia" w:ascii="宋体" w:hAnsi="宋体" w:eastAsia="宋体" w:cs="宋体"/>
                <w:color w:val="auto"/>
                <w:kern w:val="0"/>
                <w:sz w:val="18"/>
                <w:szCs w:val="18"/>
                <w:highlight w:val="none"/>
              </w:rPr>
            </w:pPr>
          </w:p>
        </w:tc>
        <w:tc>
          <w:tcPr>
            <w:tcW w:w="1087" w:type="dxa"/>
            <w:shd w:val="clear" w:color="auto" w:fill="auto"/>
            <w:vAlign w:val="center"/>
          </w:tcPr>
          <w:p w14:paraId="0A906A03">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节能管理服务</w:t>
            </w:r>
          </w:p>
          <w:p w14:paraId="1C6B6DE4">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eastAsia="zh-CN" w:bidi="ar"/>
              </w:rPr>
              <w:t>（</w:t>
            </w:r>
            <w:r>
              <w:rPr>
                <w:rFonts w:hint="eastAsia" w:ascii="宋体" w:hAnsi="宋体" w:cs="宋体"/>
                <w:color w:val="auto"/>
                <w:sz w:val="18"/>
                <w:szCs w:val="18"/>
                <w:highlight w:val="none"/>
                <w:lang w:val="en-US" w:eastAsia="zh-CN" w:bidi="ar"/>
              </w:rPr>
              <w:t>6</w:t>
            </w:r>
            <w:r>
              <w:rPr>
                <w:rFonts w:hint="eastAsia" w:ascii="宋体" w:hAnsi="宋体" w:eastAsia="宋体" w:cs="宋体"/>
                <w:color w:val="auto"/>
                <w:sz w:val="18"/>
                <w:szCs w:val="18"/>
                <w:highlight w:val="none"/>
                <w:lang w:val="zh-CN" w:eastAsia="zh-CN" w:bidi="ar"/>
              </w:rPr>
              <w:t>分</w:t>
            </w:r>
            <w:r>
              <w:rPr>
                <w:rFonts w:hint="eastAsia" w:ascii="宋体" w:hAnsi="宋体" w:eastAsia="宋体" w:cs="宋体"/>
                <w:color w:val="auto"/>
                <w:sz w:val="18"/>
                <w:szCs w:val="18"/>
                <w:highlight w:val="none"/>
                <w:lang w:eastAsia="zh-CN" w:bidi="ar"/>
              </w:rPr>
              <w:t>）</w:t>
            </w:r>
          </w:p>
        </w:tc>
        <w:tc>
          <w:tcPr>
            <w:tcW w:w="6527" w:type="dxa"/>
            <w:shd w:val="clear" w:color="auto" w:fill="auto"/>
            <w:vAlign w:val="center"/>
          </w:tcPr>
          <w:p w14:paraId="67E13C1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kern w:val="2"/>
                <w:sz w:val="18"/>
                <w:szCs w:val="18"/>
                <w:highlight w:val="none"/>
                <w:lang w:val="ru-RU" w:eastAsia="zh-CN" w:bidi="ar-SA"/>
              </w:rPr>
            </w:pPr>
            <w:r>
              <w:rPr>
                <w:rFonts w:hint="eastAsia" w:ascii="宋体" w:hAnsi="宋体" w:eastAsia="宋体" w:cs="宋体"/>
                <w:bCs/>
                <w:color w:val="auto"/>
                <w:kern w:val="2"/>
                <w:sz w:val="18"/>
                <w:szCs w:val="18"/>
                <w:highlight w:val="none"/>
                <w:lang w:val="en-US" w:eastAsia="zh-CN" w:bidi="ar-SA"/>
              </w:rPr>
              <w:t>根据投标人提供的节能管理方案</w:t>
            </w:r>
            <w:r>
              <w:rPr>
                <w:rFonts w:hint="eastAsia" w:ascii="宋体" w:hAnsi="宋体" w:cs="宋体"/>
                <w:bCs/>
                <w:color w:val="auto"/>
                <w:kern w:val="2"/>
                <w:sz w:val="18"/>
                <w:szCs w:val="18"/>
                <w:highlight w:val="none"/>
                <w:lang w:val="en-US" w:eastAsia="zh-CN" w:bidi="ar-SA"/>
              </w:rPr>
              <w:t>（</w:t>
            </w:r>
            <w:r>
              <w:rPr>
                <w:rFonts w:hint="eastAsia" w:ascii="宋体" w:hAnsi="宋体" w:eastAsia="宋体" w:cs="宋体"/>
                <w:bCs/>
                <w:color w:val="auto"/>
                <w:kern w:val="2"/>
                <w:sz w:val="18"/>
                <w:szCs w:val="18"/>
                <w:highlight w:val="none"/>
                <w:lang w:val="zh-CN" w:eastAsia="zh-CN" w:bidi="ar-SA"/>
              </w:rPr>
              <w:t>方案包括但不限于</w:t>
            </w:r>
            <w:r>
              <w:rPr>
                <w:rFonts w:hint="eastAsia" w:ascii="宋体" w:hAnsi="宋体" w:eastAsia="宋体" w:cs="宋体"/>
                <w:bCs/>
                <w:color w:val="auto"/>
                <w:kern w:val="2"/>
                <w:sz w:val="18"/>
                <w:szCs w:val="18"/>
                <w:highlight w:val="none"/>
                <w:lang w:val="en-US" w:eastAsia="zh-CN" w:bidi="ar-SA"/>
              </w:rPr>
              <w:t>管理制度、节能目标、实施办法、节能奖惩措施等</w:t>
            </w:r>
            <w:r>
              <w:rPr>
                <w:rFonts w:hint="eastAsia" w:ascii="宋体" w:hAnsi="宋体" w:cs="宋体"/>
                <w:bCs/>
                <w:color w:val="auto"/>
                <w:kern w:val="2"/>
                <w:sz w:val="18"/>
                <w:szCs w:val="18"/>
                <w:highlight w:val="none"/>
                <w:lang w:val="en-US" w:eastAsia="zh-CN" w:bidi="ar-SA"/>
              </w:rPr>
              <w:t>）等进行整体评价，</w:t>
            </w:r>
            <w:r>
              <w:rPr>
                <w:rFonts w:hint="eastAsia" w:ascii="宋体" w:hAnsi="宋体" w:eastAsia="宋体" w:cs="宋体"/>
                <w:bCs/>
                <w:color w:val="auto"/>
                <w:kern w:val="2"/>
                <w:sz w:val="18"/>
                <w:szCs w:val="18"/>
                <w:highlight w:val="none"/>
                <w:lang w:val="en-US" w:eastAsia="zh-CN" w:bidi="ar-SA"/>
              </w:rPr>
              <w:t>制度齐全、目标明确、措施科学高效、</w:t>
            </w:r>
            <w:r>
              <w:rPr>
                <w:rFonts w:hint="eastAsia" w:ascii="宋体" w:hAnsi="宋体" w:eastAsia="宋体" w:cs="宋体"/>
                <w:bCs/>
                <w:color w:val="auto"/>
                <w:kern w:val="2"/>
                <w:sz w:val="18"/>
                <w:szCs w:val="18"/>
                <w:highlight w:val="none"/>
                <w:lang w:val="zh-CN" w:eastAsia="zh-CN" w:bidi="ar-SA"/>
              </w:rPr>
              <w:t>可执行力强、切合采购人实际需求</w:t>
            </w:r>
            <w:r>
              <w:rPr>
                <w:rFonts w:hint="eastAsia" w:ascii="宋体" w:hAnsi="宋体" w:eastAsia="宋体" w:cs="宋体"/>
                <w:bCs/>
                <w:color w:val="auto"/>
                <w:kern w:val="2"/>
                <w:sz w:val="18"/>
                <w:szCs w:val="18"/>
                <w:highlight w:val="none"/>
                <w:lang w:val="en-US" w:eastAsia="zh-CN" w:bidi="ar-SA"/>
              </w:rPr>
              <w:t>的计</w:t>
            </w:r>
            <w:r>
              <w:rPr>
                <w:rFonts w:hint="eastAsia" w:ascii="宋体" w:hAnsi="宋体" w:cs="宋体"/>
                <w:bCs/>
                <w:color w:val="auto"/>
                <w:kern w:val="2"/>
                <w:sz w:val="18"/>
                <w:szCs w:val="18"/>
                <w:highlight w:val="none"/>
                <w:lang w:val="en-US" w:eastAsia="zh-CN" w:bidi="ar-SA"/>
              </w:rPr>
              <w:t>6</w:t>
            </w:r>
            <w:r>
              <w:rPr>
                <w:rFonts w:hint="eastAsia" w:ascii="宋体" w:hAnsi="宋体" w:eastAsia="宋体" w:cs="宋体"/>
                <w:bCs/>
                <w:color w:val="auto"/>
                <w:kern w:val="2"/>
                <w:sz w:val="18"/>
                <w:szCs w:val="18"/>
                <w:highlight w:val="none"/>
                <w:lang w:val="en-US" w:eastAsia="zh-CN" w:bidi="ar-SA"/>
              </w:rPr>
              <w:t>分；</w:t>
            </w:r>
            <w:r>
              <w:rPr>
                <w:rFonts w:hint="eastAsia" w:ascii="宋体" w:hAnsi="宋体" w:eastAsia="宋体" w:cs="宋体"/>
                <w:bCs/>
                <w:color w:val="auto"/>
                <w:kern w:val="2"/>
                <w:sz w:val="18"/>
                <w:szCs w:val="18"/>
                <w:highlight w:val="none"/>
                <w:lang w:val="zh-CN" w:eastAsia="zh-CN" w:bidi="ar-SA"/>
              </w:rPr>
              <w:t>方案内容</w:t>
            </w:r>
            <w:r>
              <w:rPr>
                <w:rFonts w:hint="eastAsia" w:ascii="宋体" w:hAnsi="宋体" w:eastAsia="宋体" w:cs="宋体"/>
                <w:bCs/>
                <w:color w:val="auto"/>
                <w:kern w:val="2"/>
                <w:sz w:val="18"/>
                <w:szCs w:val="18"/>
                <w:highlight w:val="none"/>
                <w:lang w:val="en-US" w:eastAsia="zh-CN" w:bidi="ar-SA"/>
              </w:rPr>
              <w:t>不完善或措施不科学的，思路含混不清的，每处扣</w:t>
            </w:r>
            <w:r>
              <w:rPr>
                <w:rFonts w:hint="eastAsia" w:ascii="宋体" w:hAnsi="宋体" w:cs="宋体"/>
                <w:bCs/>
                <w:color w:val="auto"/>
                <w:kern w:val="2"/>
                <w:sz w:val="18"/>
                <w:szCs w:val="18"/>
                <w:highlight w:val="none"/>
                <w:lang w:val="en-US" w:eastAsia="zh-CN" w:bidi="ar-SA"/>
              </w:rPr>
              <w:t>1.5</w:t>
            </w:r>
            <w:r>
              <w:rPr>
                <w:rFonts w:hint="eastAsia" w:ascii="宋体" w:hAnsi="宋体" w:eastAsia="宋体" w:cs="宋体"/>
                <w:bCs/>
                <w:color w:val="auto"/>
                <w:kern w:val="2"/>
                <w:sz w:val="18"/>
                <w:szCs w:val="18"/>
                <w:highlight w:val="none"/>
                <w:lang w:val="en-US" w:eastAsia="zh-CN" w:bidi="ar-SA"/>
              </w:rPr>
              <w:t>分，扣完为止；</w:t>
            </w:r>
            <w:r>
              <w:rPr>
                <w:rFonts w:hint="eastAsia" w:ascii="宋体" w:hAnsi="宋体" w:eastAsia="宋体" w:cs="宋体"/>
                <w:color w:val="auto"/>
                <w:sz w:val="18"/>
                <w:szCs w:val="18"/>
                <w:highlight w:val="none"/>
              </w:rPr>
              <w:t>以上方案</w:t>
            </w:r>
            <w:r>
              <w:rPr>
                <w:rFonts w:hint="eastAsia" w:ascii="宋体" w:hAnsi="宋体" w:eastAsia="宋体" w:cs="宋体"/>
                <w:color w:val="auto"/>
                <w:sz w:val="18"/>
                <w:szCs w:val="18"/>
                <w:highlight w:val="none"/>
                <w:lang w:val="en-US" w:eastAsia="zh-CN"/>
              </w:rPr>
              <w:t>有</w:t>
            </w:r>
            <w:r>
              <w:rPr>
                <w:rFonts w:hint="eastAsia" w:ascii="宋体" w:hAnsi="宋体" w:eastAsia="宋体" w:cs="宋体"/>
                <w:color w:val="auto"/>
                <w:sz w:val="18"/>
                <w:szCs w:val="18"/>
                <w:highlight w:val="none"/>
              </w:rPr>
              <w:t>缺项、或影响质量的、或</w:t>
            </w:r>
            <w:r>
              <w:rPr>
                <w:rFonts w:hint="eastAsia" w:ascii="宋体" w:hAnsi="宋体" w:eastAsia="宋体" w:cs="宋体"/>
                <w:bCs/>
                <w:color w:val="auto"/>
                <w:kern w:val="2"/>
                <w:sz w:val="18"/>
                <w:szCs w:val="18"/>
                <w:highlight w:val="none"/>
                <w:lang w:val="en-US" w:eastAsia="zh-CN" w:bidi="ar-SA"/>
              </w:rPr>
              <w:t>与项目实际需求不符的</w:t>
            </w:r>
            <w:r>
              <w:rPr>
                <w:rFonts w:hint="eastAsia" w:ascii="宋体" w:hAnsi="宋体" w:eastAsia="宋体" w:cs="宋体"/>
                <w:color w:val="auto"/>
                <w:sz w:val="18"/>
                <w:szCs w:val="18"/>
                <w:highlight w:val="none"/>
              </w:rPr>
              <w:t>，每处扣</w:t>
            </w: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rPr>
              <w:t>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扣完为止</w:t>
            </w:r>
            <w:r>
              <w:rPr>
                <w:rFonts w:hint="eastAsia" w:ascii="宋体" w:hAnsi="宋体" w:eastAsia="宋体" w:cs="宋体"/>
                <w:color w:val="auto"/>
                <w:sz w:val="18"/>
                <w:szCs w:val="18"/>
                <w:highlight w:val="none"/>
                <w:lang w:eastAsia="zh-CN"/>
              </w:rPr>
              <w:t>；</w:t>
            </w:r>
            <w:r>
              <w:rPr>
                <w:rFonts w:hint="eastAsia" w:ascii="宋体" w:hAnsi="宋体" w:eastAsia="宋体" w:cs="宋体"/>
                <w:bCs/>
                <w:color w:val="auto"/>
                <w:kern w:val="2"/>
                <w:sz w:val="18"/>
                <w:szCs w:val="18"/>
                <w:highlight w:val="none"/>
                <w:lang w:val="zh-CN" w:eastAsia="zh-CN" w:bidi="ar-SA"/>
              </w:rPr>
              <w:t>未提供的不计分。</w:t>
            </w:r>
          </w:p>
        </w:tc>
      </w:tr>
    </w:tbl>
    <w:p w14:paraId="7DF352BC">
      <w:pPr>
        <w:rPr>
          <w:rFonts w:hint="eastAsia" w:ascii="宋体" w:hAnsi="宋体" w:cs="宋体"/>
          <w:b/>
          <w:color w:val="auto"/>
          <w:highlight w:val="none"/>
        </w:rPr>
      </w:pPr>
      <w:r>
        <w:rPr>
          <w:rFonts w:hint="eastAsia" w:ascii="宋体" w:hAnsi="宋体" w:cs="宋体"/>
          <w:b/>
          <w:color w:val="auto"/>
          <w:highlight w:val="none"/>
        </w:rPr>
        <w:br w:type="page"/>
      </w:r>
    </w:p>
    <w:p w14:paraId="6F261B1A">
      <w:pPr>
        <w:spacing w:beforeLines="30" w:afterLines="30" w:line="360" w:lineRule="auto"/>
        <w:jc w:val="center"/>
        <w:rPr>
          <w:rFonts w:ascii="宋体" w:hAnsi="宋体" w:cs="宋体"/>
          <w:b/>
          <w:color w:val="auto"/>
          <w:highlight w:val="none"/>
        </w:rPr>
      </w:pPr>
      <w:r>
        <w:rPr>
          <w:rFonts w:hint="eastAsia" w:ascii="宋体" w:hAnsi="宋体" w:cs="宋体"/>
          <w:b/>
          <w:color w:val="auto"/>
          <w:highlight w:val="none"/>
        </w:rPr>
        <w:t>附表 1.3 商务部分评审标准表</w:t>
      </w:r>
    </w:p>
    <w:tbl>
      <w:tblPr>
        <w:tblStyle w:val="4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1045"/>
        <w:gridCol w:w="1105"/>
        <w:gridCol w:w="5569"/>
      </w:tblGrid>
      <w:tr w14:paraId="2F5CF3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7" w:hRule="exact"/>
        </w:trPr>
        <w:tc>
          <w:tcPr>
            <w:tcW w:w="803" w:type="dxa"/>
            <w:tcBorders>
              <w:tl2br w:val="nil"/>
              <w:tr2bl w:val="nil"/>
            </w:tcBorders>
            <w:vAlign w:val="center"/>
          </w:tcPr>
          <w:p w14:paraId="0D1AD951">
            <w:pPr>
              <w:jc w:val="center"/>
              <w:rPr>
                <w:rFonts w:ascii="宋体" w:hAnsi="宋体" w:cs="宋体"/>
                <w:color w:val="auto"/>
                <w:sz w:val="18"/>
                <w:szCs w:val="18"/>
                <w:highlight w:val="none"/>
              </w:rPr>
            </w:pPr>
            <w:r>
              <w:rPr>
                <w:rFonts w:hint="eastAsia" w:ascii="宋体" w:hAnsi="宋体" w:cs="宋体"/>
                <w:b/>
                <w:bCs/>
                <w:color w:val="auto"/>
                <w:sz w:val="18"/>
                <w:szCs w:val="18"/>
                <w:highlight w:val="none"/>
              </w:rPr>
              <w:t>序号</w:t>
            </w:r>
          </w:p>
        </w:tc>
        <w:tc>
          <w:tcPr>
            <w:tcW w:w="1045" w:type="dxa"/>
            <w:tcBorders>
              <w:tl2br w:val="nil"/>
              <w:tr2bl w:val="nil"/>
            </w:tcBorders>
            <w:vAlign w:val="center"/>
          </w:tcPr>
          <w:p w14:paraId="362DA5E3">
            <w:pPr>
              <w:jc w:val="center"/>
              <w:rPr>
                <w:rFonts w:ascii="宋体" w:hAnsi="宋体" w:cs="宋体"/>
                <w:color w:val="auto"/>
                <w:sz w:val="18"/>
                <w:szCs w:val="18"/>
                <w:highlight w:val="none"/>
              </w:rPr>
            </w:pPr>
            <w:r>
              <w:rPr>
                <w:rFonts w:hint="eastAsia" w:ascii="宋体" w:hAnsi="宋体" w:cs="宋体"/>
                <w:b/>
                <w:bCs/>
                <w:color w:val="auto"/>
                <w:sz w:val="18"/>
                <w:szCs w:val="18"/>
                <w:highlight w:val="none"/>
              </w:rPr>
              <w:t>评标因素（权重分）</w:t>
            </w:r>
          </w:p>
        </w:tc>
        <w:tc>
          <w:tcPr>
            <w:tcW w:w="6674" w:type="dxa"/>
            <w:gridSpan w:val="2"/>
            <w:tcBorders>
              <w:tl2br w:val="nil"/>
              <w:tr2bl w:val="nil"/>
            </w:tcBorders>
            <w:vAlign w:val="center"/>
          </w:tcPr>
          <w:p w14:paraId="35F1659B">
            <w:pPr>
              <w:jc w:val="center"/>
              <w:rPr>
                <w:rFonts w:ascii="宋体" w:hAnsi="宋体" w:cs="宋体"/>
                <w:color w:val="auto"/>
                <w:sz w:val="18"/>
                <w:szCs w:val="18"/>
                <w:highlight w:val="none"/>
              </w:rPr>
            </w:pPr>
            <w:r>
              <w:rPr>
                <w:rFonts w:hint="eastAsia" w:ascii="宋体" w:hAnsi="宋体" w:cs="宋体"/>
                <w:b/>
                <w:bCs/>
                <w:color w:val="auto"/>
                <w:sz w:val="18"/>
                <w:szCs w:val="18"/>
                <w:highlight w:val="none"/>
              </w:rPr>
              <w:t>评标标准</w:t>
            </w:r>
          </w:p>
        </w:tc>
      </w:tr>
      <w:tr w14:paraId="5CAF0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4" w:hRule="atLeast"/>
        </w:trPr>
        <w:tc>
          <w:tcPr>
            <w:tcW w:w="803" w:type="dxa"/>
            <w:vMerge w:val="restart"/>
            <w:tcBorders>
              <w:tl2br w:val="nil"/>
              <w:tr2bl w:val="nil"/>
            </w:tcBorders>
            <w:vAlign w:val="center"/>
          </w:tcPr>
          <w:p w14:paraId="45AF1DC3">
            <w:pPr>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1045" w:type="dxa"/>
            <w:vMerge w:val="restart"/>
            <w:tcBorders>
              <w:tl2br w:val="nil"/>
              <w:tr2bl w:val="nil"/>
            </w:tcBorders>
            <w:vAlign w:val="center"/>
          </w:tcPr>
          <w:p w14:paraId="44B199C0">
            <w:pPr>
              <w:jc w:val="center"/>
              <w:rPr>
                <w:rFonts w:ascii="宋体" w:hAnsi="宋体" w:cs="宋体"/>
                <w:color w:val="auto"/>
                <w:sz w:val="18"/>
                <w:szCs w:val="18"/>
                <w:highlight w:val="none"/>
              </w:rPr>
            </w:pPr>
            <w:r>
              <w:rPr>
                <w:rFonts w:hint="eastAsia" w:ascii="宋体" w:hAnsi="宋体" w:cs="宋体"/>
                <w:color w:val="auto"/>
                <w:sz w:val="18"/>
                <w:szCs w:val="18"/>
                <w:highlight w:val="none"/>
              </w:rPr>
              <w:t>商务</w:t>
            </w:r>
          </w:p>
          <w:p w14:paraId="560DF289">
            <w:pPr>
              <w:jc w:val="center"/>
              <w:rPr>
                <w:rFonts w:ascii="宋体" w:hAnsi="宋体" w:cs="宋体"/>
                <w:color w:val="auto"/>
                <w:sz w:val="18"/>
                <w:szCs w:val="18"/>
                <w:highlight w:val="none"/>
              </w:rPr>
            </w:pPr>
            <w:r>
              <w:rPr>
                <w:rFonts w:hint="eastAsia" w:ascii="宋体" w:hAnsi="宋体" w:cs="宋体"/>
                <w:color w:val="auto"/>
                <w:sz w:val="18"/>
                <w:szCs w:val="18"/>
                <w:highlight w:val="none"/>
              </w:rPr>
              <w:t>评价项</w:t>
            </w:r>
          </w:p>
          <w:p w14:paraId="62FC11E1">
            <w:pPr>
              <w:jc w:val="center"/>
              <w:rPr>
                <w:rFonts w:ascii="宋体" w:hAnsi="宋体" w:cs="宋体"/>
                <w:color w:val="auto"/>
                <w:sz w:val="18"/>
                <w:szCs w:val="18"/>
                <w:highlight w:val="none"/>
              </w:rPr>
            </w:pPr>
            <w:r>
              <w:rPr>
                <w:rFonts w:hint="eastAsia" w:ascii="宋体" w:hAnsi="宋体" w:cs="宋体"/>
                <w:color w:val="auto"/>
                <w:sz w:val="18"/>
                <w:szCs w:val="18"/>
                <w:highlight w:val="none"/>
              </w:rPr>
              <w:t>（F=100 分）</w:t>
            </w:r>
          </w:p>
        </w:tc>
        <w:tc>
          <w:tcPr>
            <w:tcW w:w="1105" w:type="dxa"/>
            <w:vMerge w:val="restart"/>
            <w:tcBorders>
              <w:tl2br w:val="nil"/>
              <w:tr2bl w:val="nil"/>
            </w:tcBorders>
            <w:shd w:val="clear" w:color="auto" w:fill="auto"/>
            <w:vAlign w:val="center"/>
          </w:tcPr>
          <w:p w14:paraId="62B5BA4D">
            <w:pPr>
              <w:pStyle w:val="38"/>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color w:val="auto"/>
                <w:sz w:val="18"/>
                <w:szCs w:val="18"/>
                <w:highlight w:val="none"/>
                <w:lang w:eastAsia="zh-CN" w:bidi="ar"/>
              </w:rPr>
            </w:pPr>
            <w:r>
              <w:rPr>
                <w:rFonts w:hint="eastAsia" w:ascii="宋体" w:hAnsi="宋体" w:eastAsia="宋体" w:cs="宋体"/>
                <w:color w:val="auto"/>
                <w:sz w:val="18"/>
                <w:szCs w:val="18"/>
                <w:highlight w:val="none"/>
                <w:lang w:eastAsia="zh-CN" w:bidi="ar"/>
              </w:rPr>
              <w:t>人员配备</w:t>
            </w:r>
          </w:p>
          <w:p w14:paraId="0D10EDF2">
            <w:pPr>
              <w:pStyle w:val="38"/>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color w:val="auto"/>
                <w:kern w:val="2"/>
                <w:sz w:val="18"/>
                <w:szCs w:val="18"/>
                <w:highlight w:val="none"/>
                <w:lang w:val="en-US" w:eastAsia="zh-CN" w:bidi="ar"/>
              </w:rPr>
            </w:pPr>
            <w:r>
              <w:rPr>
                <w:rFonts w:hint="eastAsia" w:ascii="宋体" w:hAnsi="宋体" w:eastAsia="宋体" w:cs="宋体"/>
                <w:color w:val="auto"/>
                <w:sz w:val="18"/>
                <w:szCs w:val="18"/>
                <w:highlight w:val="none"/>
                <w:lang w:eastAsia="zh-CN" w:bidi="ar"/>
              </w:rPr>
              <w:t>（</w:t>
            </w:r>
            <w:r>
              <w:rPr>
                <w:rFonts w:hint="eastAsia" w:ascii="宋体" w:hAnsi="宋体" w:cs="宋体"/>
                <w:color w:val="auto"/>
                <w:sz w:val="18"/>
                <w:szCs w:val="18"/>
                <w:highlight w:val="none"/>
                <w:lang w:val="en-US" w:eastAsia="zh-CN" w:bidi="ar"/>
              </w:rPr>
              <w:t>45</w:t>
            </w:r>
            <w:r>
              <w:rPr>
                <w:rFonts w:hint="eastAsia" w:ascii="宋体" w:hAnsi="宋体" w:eastAsia="宋体" w:cs="宋体"/>
                <w:color w:val="auto"/>
                <w:sz w:val="18"/>
                <w:szCs w:val="18"/>
                <w:highlight w:val="none"/>
                <w:lang w:val="zh-CN" w:eastAsia="zh-CN" w:bidi="ar"/>
              </w:rPr>
              <w:t>分</w:t>
            </w:r>
            <w:r>
              <w:rPr>
                <w:rFonts w:hint="eastAsia" w:ascii="宋体" w:hAnsi="宋体" w:eastAsia="宋体" w:cs="宋体"/>
                <w:color w:val="auto"/>
                <w:sz w:val="18"/>
                <w:szCs w:val="18"/>
                <w:highlight w:val="none"/>
                <w:lang w:eastAsia="zh-CN" w:bidi="ar"/>
              </w:rPr>
              <w:t>）</w:t>
            </w:r>
          </w:p>
        </w:tc>
        <w:tc>
          <w:tcPr>
            <w:tcW w:w="5569" w:type="dxa"/>
            <w:tcBorders>
              <w:tl2br w:val="nil"/>
              <w:tr2bl w:val="nil"/>
            </w:tcBorders>
            <w:shd w:val="clear" w:color="auto" w:fill="auto"/>
            <w:vAlign w:val="top"/>
          </w:tcPr>
          <w:p w14:paraId="71ECAE55">
            <w:pPr>
              <w:spacing w:line="240" w:lineRule="auto"/>
              <w:rPr>
                <w:rFonts w:hint="eastAsia" w:ascii="宋体" w:hAnsi="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投标人拟</w:t>
            </w:r>
            <w:r>
              <w:rPr>
                <w:rFonts w:hint="eastAsia" w:ascii="宋体" w:hAnsi="宋体" w:cs="宋体"/>
                <w:color w:val="auto"/>
                <w:kern w:val="2"/>
                <w:sz w:val="18"/>
                <w:szCs w:val="18"/>
                <w:highlight w:val="none"/>
                <w:lang w:val="en-US" w:eastAsia="zh-CN" w:bidi="ar-SA"/>
              </w:rPr>
              <w:t>派</w:t>
            </w:r>
            <w:r>
              <w:rPr>
                <w:rFonts w:hint="eastAsia" w:ascii="宋体" w:hAnsi="宋体" w:eastAsia="宋体" w:cs="宋体"/>
                <w:color w:val="auto"/>
                <w:kern w:val="2"/>
                <w:sz w:val="18"/>
                <w:szCs w:val="18"/>
                <w:highlight w:val="none"/>
                <w:lang w:val="en-US" w:eastAsia="zh-CN" w:bidi="ar-SA"/>
              </w:rPr>
              <w:t>本项目</w:t>
            </w:r>
            <w:r>
              <w:rPr>
                <w:rFonts w:hint="eastAsia" w:ascii="宋体" w:hAnsi="宋体" w:cs="宋体"/>
                <w:color w:val="auto"/>
                <w:kern w:val="2"/>
                <w:sz w:val="18"/>
                <w:szCs w:val="18"/>
                <w:highlight w:val="none"/>
                <w:lang w:val="en-US" w:eastAsia="zh-CN" w:bidi="ar-SA"/>
              </w:rPr>
              <w:t>主要</w:t>
            </w:r>
            <w:r>
              <w:rPr>
                <w:rFonts w:hint="eastAsia" w:ascii="宋体" w:hAnsi="宋体" w:eastAsia="宋体" w:cs="宋体"/>
                <w:color w:val="auto"/>
                <w:kern w:val="2"/>
                <w:sz w:val="18"/>
                <w:szCs w:val="18"/>
                <w:highlight w:val="none"/>
                <w:lang w:val="en-US" w:eastAsia="zh-CN" w:bidi="ar-SA"/>
              </w:rPr>
              <w:t>管理人员（指项目经理、安保队长、维修主管）完全满足招标文件第五章《采购需求》</w:t>
            </w:r>
            <w:r>
              <w:rPr>
                <w:rFonts w:hint="eastAsia" w:ascii="宋体" w:hAnsi="宋体" w:cs="宋体"/>
                <w:color w:val="auto"/>
                <w:kern w:val="2"/>
                <w:sz w:val="18"/>
                <w:szCs w:val="18"/>
                <w:highlight w:val="none"/>
                <w:lang w:val="en-US" w:eastAsia="zh-CN" w:bidi="ar-SA"/>
              </w:rPr>
              <w:t>的35分</w:t>
            </w:r>
            <w:r>
              <w:rPr>
                <w:rFonts w:hint="eastAsia" w:ascii="宋体" w:hAnsi="宋体" w:eastAsia="宋体" w:cs="宋体"/>
                <w:color w:val="auto"/>
                <w:kern w:val="2"/>
                <w:sz w:val="18"/>
                <w:szCs w:val="18"/>
                <w:highlight w:val="none"/>
                <w:lang w:val="en-US" w:eastAsia="zh-CN" w:bidi="ar-SA"/>
              </w:rPr>
              <w:t>，</w:t>
            </w:r>
            <w:r>
              <w:rPr>
                <w:rFonts w:hint="eastAsia" w:ascii="宋体" w:hAnsi="宋体" w:cs="宋体"/>
                <w:color w:val="auto"/>
                <w:kern w:val="2"/>
                <w:sz w:val="18"/>
                <w:szCs w:val="18"/>
                <w:highlight w:val="none"/>
                <w:lang w:val="en-US" w:eastAsia="zh-CN" w:bidi="ar-SA"/>
              </w:rPr>
              <w:t>即：</w:t>
            </w:r>
          </w:p>
          <w:p w14:paraId="6A3D0DA3">
            <w:pPr>
              <w:numPr>
                <w:ilvl w:val="0"/>
                <w:numId w:val="0"/>
              </w:numPr>
              <w:spacing w:line="240" w:lineRule="auto"/>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kern w:val="2"/>
                <w:sz w:val="18"/>
                <w:szCs w:val="18"/>
                <w:highlight w:val="none"/>
                <w:lang w:val="en-US" w:eastAsia="zh-CN" w:bidi="ar-SA"/>
              </w:rPr>
              <w:t>1、</w:t>
            </w:r>
            <w:r>
              <w:rPr>
                <w:rFonts w:hint="eastAsia" w:ascii="宋体" w:hAnsi="宋体" w:eastAsia="宋体" w:cs="宋体"/>
                <w:b/>
                <w:bCs/>
                <w:color w:val="auto"/>
                <w:kern w:val="2"/>
                <w:sz w:val="18"/>
                <w:szCs w:val="18"/>
                <w:highlight w:val="none"/>
                <w:lang w:val="en-US" w:eastAsia="zh-CN" w:bidi="ar-SA"/>
              </w:rPr>
              <w:t>项目经理要求：</w:t>
            </w:r>
            <w:r>
              <w:rPr>
                <w:rFonts w:hint="eastAsia" w:ascii="宋体" w:hAnsi="宋体" w:eastAsia="宋体" w:cs="宋体"/>
                <w:b w:val="0"/>
                <w:color w:val="auto"/>
                <w:kern w:val="2"/>
                <w:sz w:val="18"/>
                <w:szCs w:val="18"/>
                <w:highlight w:val="none"/>
                <w:lang w:val="en-US" w:eastAsia="zh-CN" w:bidi="ar-SA"/>
              </w:rPr>
              <w:t>①45岁以下，②大专及以上学历，③具有三年或以上同岗位工作经验。（投标文件中须提供拟派项目经理身份证、学历证明、业主出具的同岗位工作经验证明以及投标人近半年（指投标文件递交截止之日起上推半年）内任意一个月为其缴纳的社保证明材料复印件并加盖投标人单位公章。）</w:t>
            </w:r>
          </w:p>
          <w:p w14:paraId="349737F2">
            <w:pPr>
              <w:pStyle w:val="63"/>
              <w:widowControl w:val="0"/>
              <w:numPr>
                <w:ilvl w:val="0"/>
                <w:numId w:val="0"/>
              </w:numPr>
              <w:jc w:val="both"/>
              <w:rPr>
                <w:rFonts w:hint="default"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kern w:val="2"/>
                <w:sz w:val="18"/>
                <w:szCs w:val="18"/>
                <w:highlight w:val="none"/>
                <w:lang w:val="en-US" w:eastAsia="zh-CN" w:bidi="ar-SA"/>
              </w:rPr>
              <w:t>2、</w:t>
            </w:r>
            <w:r>
              <w:rPr>
                <w:rFonts w:hint="eastAsia" w:ascii="宋体" w:hAnsi="宋体" w:eastAsia="宋体" w:cs="宋体"/>
                <w:b/>
                <w:bCs/>
                <w:color w:val="auto"/>
                <w:kern w:val="2"/>
                <w:sz w:val="18"/>
                <w:szCs w:val="18"/>
                <w:highlight w:val="none"/>
                <w:lang w:val="en-US" w:eastAsia="zh-CN" w:bidi="ar-SA"/>
              </w:rPr>
              <w:t>维修主管要求：</w:t>
            </w:r>
            <w:r>
              <w:rPr>
                <w:rFonts w:hint="eastAsia" w:ascii="宋体" w:hAnsi="宋体" w:eastAsia="宋体" w:cs="宋体"/>
                <w:b w:val="0"/>
                <w:color w:val="auto"/>
                <w:kern w:val="2"/>
                <w:sz w:val="18"/>
                <w:szCs w:val="18"/>
                <w:highlight w:val="none"/>
                <w:lang w:val="en-US" w:eastAsia="zh-CN" w:bidi="ar-SA"/>
              </w:rPr>
              <w:t>①具备有人力资源和社会保障部门颁发的有电工特种作业（高、低压电工）操作证；②具备市场监督管理局颁发的特种设备安全管理人员证</w:t>
            </w:r>
            <w:r>
              <w:rPr>
                <w:rFonts w:hint="eastAsia" w:ascii="宋体" w:hAnsi="宋体" w:cs="宋体"/>
                <w:b w:val="0"/>
                <w:color w:val="auto"/>
                <w:kern w:val="2"/>
                <w:sz w:val="18"/>
                <w:szCs w:val="18"/>
                <w:highlight w:val="none"/>
                <w:lang w:val="en-US" w:eastAsia="zh-CN" w:bidi="ar-SA"/>
              </w:rPr>
              <w:t>（电梯安全管理）</w:t>
            </w:r>
            <w:r>
              <w:rPr>
                <w:rFonts w:hint="eastAsia" w:ascii="宋体" w:hAnsi="宋体" w:eastAsia="宋体" w:cs="宋体"/>
                <w:b w:val="0"/>
                <w:color w:val="auto"/>
                <w:kern w:val="2"/>
                <w:sz w:val="18"/>
                <w:szCs w:val="18"/>
                <w:highlight w:val="none"/>
                <w:lang w:val="en-US" w:eastAsia="zh-CN" w:bidi="ar-SA"/>
              </w:rPr>
              <w:t>。（投标文件中须提供拟派维修主管上述证书以及投标人近半年（指投标文件递交截止之日起上推半年）内任意一个月为其缴纳的社保证明材料复印件并加盖投标人单位公章。）</w:t>
            </w:r>
          </w:p>
          <w:p w14:paraId="058D86CA">
            <w:pPr>
              <w:pStyle w:val="63"/>
              <w:widowControl w:val="0"/>
              <w:numPr>
                <w:ilvl w:val="0"/>
                <w:numId w:val="0"/>
              </w:numPr>
              <w:jc w:val="both"/>
              <w:rPr>
                <w:rFonts w:hint="default"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kern w:val="2"/>
                <w:sz w:val="18"/>
                <w:szCs w:val="18"/>
                <w:highlight w:val="none"/>
                <w:lang w:val="en-US" w:eastAsia="zh-CN" w:bidi="ar-SA"/>
              </w:rPr>
              <w:t>3、</w:t>
            </w:r>
            <w:r>
              <w:rPr>
                <w:rFonts w:hint="eastAsia" w:ascii="宋体" w:hAnsi="宋体" w:eastAsia="宋体" w:cs="宋体"/>
                <w:b/>
                <w:bCs/>
                <w:color w:val="auto"/>
                <w:kern w:val="2"/>
                <w:sz w:val="18"/>
                <w:szCs w:val="18"/>
                <w:highlight w:val="none"/>
                <w:lang w:val="en-US" w:eastAsia="zh-CN" w:bidi="ar-SA"/>
              </w:rPr>
              <w:t>安保队长要求：</w:t>
            </w:r>
            <w:r>
              <w:rPr>
                <w:rFonts w:hint="eastAsia" w:ascii="宋体" w:hAnsi="宋体" w:eastAsia="宋体" w:cs="宋体"/>
                <w:b w:val="0"/>
                <w:color w:val="auto"/>
                <w:kern w:val="2"/>
                <w:sz w:val="18"/>
                <w:szCs w:val="18"/>
                <w:highlight w:val="none"/>
                <w:lang w:val="en-US" w:eastAsia="zh-CN" w:bidi="ar-SA"/>
              </w:rPr>
              <w:t>①45岁以下，②大专及以上学历，③具备建（构）筑消防员证，④具备退伍军人证，⑤具有三年或以上保安管理经验。（投标文件中须提供拟派安保队长身份证、学历证明、相关证书、业主出具的保安管理工作经验证明以及投标人近半年（指投标文件递交截止之日起上推半年）内任意一个月为其缴纳的社保证明材料复印件并加盖投标人单位公章。）</w:t>
            </w:r>
          </w:p>
          <w:p w14:paraId="2540F20E">
            <w:pPr>
              <w:spacing w:line="240" w:lineRule="auto"/>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上述人员要求，每有1项不满足要求的，扣7分，扣完为止。未按要求提供社保证明材料的，该人员所有要求均视为不合格；未按要求提供证明材料证明满足相关要求的，该要求视为不满足。</w:t>
            </w:r>
          </w:p>
        </w:tc>
      </w:tr>
      <w:tr w14:paraId="512AEE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803" w:type="dxa"/>
            <w:vMerge w:val="continue"/>
            <w:tcBorders>
              <w:tl2br w:val="nil"/>
              <w:tr2bl w:val="nil"/>
            </w:tcBorders>
            <w:vAlign w:val="center"/>
          </w:tcPr>
          <w:p w14:paraId="08967E5A">
            <w:pPr>
              <w:spacing w:line="240" w:lineRule="auto"/>
              <w:rPr>
                <w:color w:val="auto"/>
                <w:highlight w:val="none"/>
              </w:rPr>
            </w:pPr>
          </w:p>
        </w:tc>
        <w:tc>
          <w:tcPr>
            <w:tcW w:w="1045" w:type="dxa"/>
            <w:vMerge w:val="continue"/>
            <w:tcBorders>
              <w:tl2br w:val="nil"/>
              <w:tr2bl w:val="nil"/>
            </w:tcBorders>
            <w:vAlign w:val="center"/>
          </w:tcPr>
          <w:p w14:paraId="5E6C286E">
            <w:pPr>
              <w:spacing w:line="240" w:lineRule="auto"/>
              <w:rPr>
                <w:color w:val="auto"/>
                <w:highlight w:val="none"/>
              </w:rPr>
            </w:pPr>
          </w:p>
        </w:tc>
        <w:tc>
          <w:tcPr>
            <w:tcW w:w="1105" w:type="dxa"/>
            <w:vMerge w:val="continue"/>
            <w:tcBorders>
              <w:tl2br w:val="nil"/>
              <w:tr2bl w:val="nil"/>
            </w:tcBorders>
            <w:shd w:val="clear" w:color="auto" w:fill="auto"/>
            <w:vAlign w:val="center"/>
          </w:tcPr>
          <w:p w14:paraId="3F8BCA85">
            <w:pPr>
              <w:spacing w:line="240" w:lineRule="auto"/>
              <w:rPr>
                <w:color w:val="auto"/>
                <w:highlight w:val="none"/>
              </w:rPr>
            </w:pPr>
          </w:p>
        </w:tc>
        <w:tc>
          <w:tcPr>
            <w:tcW w:w="5569" w:type="dxa"/>
            <w:tcBorders>
              <w:tl2br w:val="nil"/>
              <w:tr2bl w:val="nil"/>
            </w:tcBorders>
            <w:shd w:val="clear" w:color="auto" w:fill="auto"/>
            <w:vAlign w:val="top"/>
          </w:tcPr>
          <w:p w14:paraId="6A740971">
            <w:pPr>
              <w:spacing w:line="240" w:lineRule="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投标人拟派本项目主要人员（指消防监控室值守人员4人）均取得中级</w:t>
            </w:r>
            <w:r>
              <w:rPr>
                <w:rFonts w:hint="default" w:ascii="宋体" w:hAnsi="宋体" w:eastAsia="宋体" w:cs="宋体"/>
                <w:color w:val="auto"/>
                <w:kern w:val="2"/>
                <w:sz w:val="18"/>
                <w:szCs w:val="18"/>
                <w:highlight w:val="none"/>
                <w:lang w:val="en-US" w:eastAsia="zh-CN" w:bidi="ar-SA"/>
              </w:rPr>
              <w:t>消防设施操作员（国家职业资格四级）</w:t>
            </w:r>
            <w:r>
              <w:rPr>
                <w:rFonts w:hint="eastAsia" w:ascii="宋体" w:hAnsi="宋体" w:eastAsia="宋体" w:cs="宋体"/>
                <w:color w:val="auto"/>
                <w:kern w:val="2"/>
                <w:sz w:val="18"/>
                <w:szCs w:val="18"/>
                <w:highlight w:val="none"/>
                <w:lang w:val="en-US" w:eastAsia="zh-CN" w:bidi="ar-SA"/>
              </w:rPr>
              <w:t>及以上证书的，计10分，每少一人扣5分，扣完为止。</w:t>
            </w:r>
          </w:p>
          <w:p w14:paraId="137E3239">
            <w:pPr>
              <w:spacing w:line="240" w:lineRule="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（备注：投标文件中须提供拟派消防监控室值守人员相关证书以及投标人近半年（指投标文件递交截止之日起上推半年）内任意一个月为其缴纳的社保证明材料复印件并加盖投标人单位公章，否则不予计分。）</w:t>
            </w:r>
          </w:p>
        </w:tc>
      </w:tr>
      <w:tr w14:paraId="1BFEE6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03" w:type="dxa"/>
            <w:vMerge w:val="continue"/>
            <w:tcBorders>
              <w:tl2br w:val="nil"/>
              <w:tr2bl w:val="nil"/>
            </w:tcBorders>
            <w:vAlign w:val="center"/>
          </w:tcPr>
          <w:p w14:paraId="0967DCDA">
            <w:pPr>
              <w:jc w:val="center"/>
              <w:rPr>
                <w:rFonts w:ascii="宋体" w:hAnsi="宋体" w:cs="宋体"/>
                <w:color w:val="auto"/>
                <w:sz w:val="18"/>
                <w:szCs w:val="18"/>
                <w:highlight w:val="none"/>
              </w:rPr>
            </w:pPr>
          </w:p>
        </w:tc>
        <w:tc>
          <w:tcPr>
            <w:tcW w:w="1045" w:type="dxa"/>
            <w:vMerge w:val="continue"/>
            <w:tcBorders>
              <w:tl2br w:val="nil"/>
              <w:tr2bl w:val="nil"/>
            </w:tcBorders>
            <w:vAlign w:val="center"/>
          </w:tcPr>
          <w:p w14:paraId="058B7E66">
            <w:pPr>
              <w:jc w:val="center"/>
              <w:rPr>
                <w:rFonts w:ascii="宋体" w:hAnsi="宋体" w:cs="宋体"/>
                <w:color w:val="auto"/>
                <w:sz w:val="18"/>
                <w:szCs w:val="18"/>
                <w:highlight w:val="none"/>
              </w:rPr>
            </w:pPr>
          </w:p>
        </w:tc>
        <w:tc>
          <w:tcPr>
            <w:tcW w:w="1105" w:type="dxa"/>
            <w:tcBorders>
              <w:tl2br w:val="nil"/>
              <w:tr2bl w:val="nil"/>
            </w:tcBorders>
            <w:vAlign w:val="center"/>
          </w:tcPr>
          <w:p w14:paraId="24FE87A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cs="宋体"/>
                <w:bCs/>
                <w:color w:val="auto"/>
                <w:kern w:val="2"/>
                <w:sz w:val="18"/>
                <w:szCs w:val="18"/>
                <w:highlight w:val="none"/>
                <w:lang w:val="en-US" w:eastAsia="zh-CN" w:bidi="ar-SA"/>
              </w:rPr>
              <w:t>企业认证</w:t>
            </w:r>
            <w:r>
              <w:rPr>
                <w:rFonts w:hint="eastAsia" w:ascii="宋体" w:hAnsi="宋体" w:eastAsia="宋体" w:cs="宋体"/>
                <w:bCs/>
                <w:color w:val="auto"/>
                <w:kern w:val="2"/>
                <w:sz w:val="18"/>
                <w:szCs w:val="18"/>
                <w:highlight w:val="none"/>
                <w:lang w:val="en-US" w:eastAsia="zh-CN" w:bidi="ar-SA"/>
              </w:rPr>
              <w:t>（</w:t>
            </w:r>
            <w:r>
              <w:rPr>
                <w:rFonts w:hint="eastAsia" w:ascii="宋体" w:hAnsi="宋体" w:cs="宋体"/>
                <w:bCs/>
                <w:color w:val="auto"/>
                <w:kern w:val="2"/>
                <w:sz w:val="18"/>
                <w:szCs w:val="18"/>
                <w:highlight w:val="none"/>
                <w:lang w:val="en-US" w:eastAsia="zh-CN" w:bidi="ar-SA"/>
              </w:rPr>
              <w:t>3</w:t>
            </w:r>
            <w:r>
              <w:rPr>
                <w:rFonts w:hint="eastAsia" w:ascii="宋体" w:hAnsi="宋体" w:eastAsia="宋体" w:cs="宋体"/>
                <w:bCs/>
                <w:color w:val="auto"/>
                <w:kern w:val="2"/>
                <w:sz w:val="18"/>
                <w:szCs w:val="18"/>
                <w:highlight w:val="none"/>
                <w:lang w:val="en-US" w:eastAsia="zh-CN" w:bidi="ar-SA"/>
              </w:rPr>
              <w:t>0分）</w:t>
            </w:r>
          </w:p>
        </w:tc>
        <w:tc>
          <w:tcPr>
            <w:tcW w:w="5569" w:type="dxa"/>
            <w:tcBorders>
              <w:tl2br w:val="nil"/>
              <w:tr2bl w:val="nil"/>
            </w:tcBorders>
            <w:vAlign w:val="center"/>
          </w:tcPr>
          <w:p w14:paraId="4BB4716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kern w:val="2"/>
                <w:sz w:val="18"/>
                <w:szCs w:val="18"/>
                <w:highlight w:val="none"/>
                <w:lang w:val="en-US" w:eastAsia="zh-CN" w:bidi="ar-SA"/>
              </w:rPr>
              <w:t>投标人具有有效期内的质量管理体系认证、环境管理体系认证、职业健康安全管理体系认证证书的计</w:t>
            </w:r>
            <w:r>
              <w:rPr>
                <w:rFonts w:hint="eastAsia" w:ascii="宋体" w:hAnsi="宋体" w:cs="宋体"/>
                <w:bCs/>
                <w:color w:val="auto"/>
                <w:kern w:val="2"/>
                <w:sz w:val="18"/>
                <w:szCs w:val="18"/>
                <w:highlight w:val="none"/>
                <w:lang w:val="en-US" w:eastAsia="zh-CN" w:bidi="ar-SA"/>
              </w:rPr>
              <w:t>30</w:t>
            </w:r>
            <w:r>
              <w:rPr>
                <w:rFonts w:hint="eastAsia" w:ascii="宋体" w:hAnsi="宋体" w:eastAsia="宋体" w:cs="宋体"/>
                <w:bCs/>
                <w:color w:val="auto"/>
                <w:kern w:val="2"/>
                <w:sz w:val="18"/>
                <w:szCs w:val="18"/>
                <w:highlight w:val="none"/>
                <w:lang w:val="en-US" w:eastAsia="zh-CN" w:bidi="ar-SA"/>
              </w:rPr>
              <w:t>分，</w:t>
            </w:r>
            <w:r>
              <w:rPr>
                <w:rFonts w:hint="eastAsia" w:ascii="宋体" w:hAnsi="宋体" w:cs="宋体"/>
                <w:bCs/>
                <w:color w:val="auto"/>
                <w:kern w:val="2"/>
                <w:sz w:val="18"/>
                <w:szCs w:val="18"/>
                <w:highlight w:val="none"/>
                <w:lang w:val="en-US" w:eastAsia="zh-CN" w:bidi="ar-SA"/>
              </w:rPr>
              <w:t>每少一类证书扣10分，扣完为止</w:t>
            </w:r>
            <w:r>
              <w:rPr>
                <w:rFonts w:hint="eastAsia" w:ascii="宋体" w:hAnsi="宋体" w:eastAsia="宋体" w:cs="宋体"/>
                <w:bCs/>
                <w:color w:val="auto"/>
                <w:kern w:val="2"/>
                <w:sz w:val="18"/>
                <w:szCs w:val="18"/>
                <w:highlight w:val="none"/>
                <w:lang w:val="en-US" w:eastAsia="zh-CN" w:bidi="ar-SA"/>
              </w:rPr>
              <w:t>。</w:t>
            </w:r>
          </w:p>
          <w:p w14:paraId="203989E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（备注：投标文件</w:t>
            </w:r>
            <w:r>
              <w:rPr>
                <w:rFonts w:hint="eastAsia" w:ascii="宋体" w:hAnsi="宋体" w:cs="宋体"/>
                <w:b/>
                <w:bCs w:val="0"/>
                <w:color w:val="auto"/>
                <w:kern w:val="2"/>
                <w:sz w:val="18"/>
                <w:szCs w:val="18"/>
                <w:highlight w:val="none"/>
                <w:lang w:val="en-US" w:eastAsia="zh-CN" w:bidi="ar-SA"/>
              </w:rPr>
              <w:t>内</w:t>
            </w:r>
            <w:r>
              <w:rPr>
                <w:rFonts w:hint="eastAsia" w:ascii="宋体" w:hAnsi="宋体" w:eastAsia="宋体" w:cs="宋体"/>
                <w:b/>
                <w:bCs w:val="0"/>
                <w:color w:val="auto"/>
                <w:kern w:val="2"/>
                <w:sz w:val="18"/>
                <w:szCs w:val="18"/>
                <w:highlight w:val="none"/>
                <w:lang w:val="en-US" w:eastAsia="zh-CN" w:bidi="ar-SA"/>
              </w:rPr>
              <w:t>需提供全国认证认可信息公共服务平台查询截图及相关证书复印件并加盖投标人</w:t>
            </w:r>
            <w:r>
              <w:rPr>
                <w:rFonts w:hint="eastAsia" w:ascii="宋体" w:hAnsi="宋体" w:cs="宋体"/>
                <w:b/>
                <w:bCs w:val="0"/>
                <w:color w:val="auto"/>
                <w:kern w:val="2"/>
                <w:sz w:val="18"/>
                <w:szCs w:val="18"/>
                <w:highlight w:val="none"/>
                <w:lang w:val="en-US" w:eastAsia="zh-CN" w:bidi="ar-SA"/>
              </w:rPr>
              <w:t>单位</w:t>
            </w:r>
            <w:r>
              <w:rPr>
                <w:rFonts w:hint="eastAsia" w:ascii="宋体" w:hAnsi="宋体" w:eastAsia="宋体" w:cs="宋体"/>
                <w:b/>
                <w:bCs w:val="0"/>
                <w:color w:val="auto"/>
                <w:kern w:val="2"/>
                <w:sz w:val="18"/>
                <w:szCs w:val="18"/>
                <w:highlight w:val="none"/>
                <w:lang w:val="en-US" w:eastAsia="zh-CN" w:bidi="ar-SA"/>
              </w:rPr>
              <w:t>公章，否则不计分。）</w:t>
            </w:r>
          </w:p>
        </w:tc>
      </w:tr>
      <w:tr w14:paraId="619CE7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3" w:type="dxa"/>
            <w:vMerge w:val="continue"/>
            <w:tcBorders>
              <w:tl2br w:val="nil"/>
              <w:tr2bl w:val="nil"/>
            </w:tcBorders>
            <w:vAlign w:val="center"/>
          </w:tcPr>
          <w:p w14:paraId="0DABA4BC">
            <w:pPr>
              <w:jc w:val="center"/>
              <w:rPr>
                <w:rFonts w:ascii="宋体" w:hAnsi="宋体" w:cs="宋体"/>
                <w:color w:val="auto"/>
                <w:sz w:val="18"/>
                <w:szCs w:val="18"/>
                <w:highlight w:val="none"/>
              </w:rPr>
            </w:pPr>
          </w:p>
        </w:tc>
        <w:tc>
          <w:tcPr>
            <w:tcW w:w="1045" w:type="dxa"/>
            <w:vMerge w:val="continue"/>
            <w:tcBorders>
              <w:tl2br w:val="nil"/>
              <w:tr2bl w:val="nil"/>
            </w:tcBorders>
            <w:vAlign w:val="center"/>
          </w:tcPr>
          <w:p w14:paraId="18651A6D">
            <w:pPr>
              <w:jc w:val="center"/>
              <w:rPr>
                <w:rFonts w:ascii="宋体" w:hAnsi="宋体" w:cs="宋体"/>
                <w:color w:val="auto"/>
                <w:sz w:val="18"/>
                <w:szCs w:val="18"/>
                <w:highlight w:val="none"/>
              </w:rPr>
            </w:pPr>
          </w:p>
        </w:tc>
        <w:tc>
          <w:tcPr>
            <w:tcW w:w="1105" w:type="dxa"/>
            <w:tcBorders>
              <w:tl2br w:val="nil"/>
              <w:tr2bl w:val="nil"/>
            </w:tcBorders>
            <w:shd w:val="clear" w:color="auto" w:fill="auto"/>
            <w:vAlign w:val="center"/>
          </w:tcPr>
          <w:p w14:paraId="7F5DEEBC">
            <w:pPr>
              <w:pStyle w:val="38"/>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zh-CN" w:eastAsia="zh-CN" w:bidi="ar-SA"/>
              </w:rPr>
              <w:t>服务响应</w:t>
            </w:r>
            <w:r>
              <w:rPr>
                <w:rFonts w:hint="eastAsia" w:ascii="宋体" w:hAnsi="宋体" w:eastAsia="宋体" w:cs="宋体"/>
                <w:color w:val="auto"/>
                <w:kern w:val="2"/>
                <w:sz w:val="18"/>
                <w:szCs w:val="18"/>
                <w:highlight w:val="none"/>
                <w:lang w:val="zh-CN" w:eastAsia="zh-CN" w:bidi="ar-SA"/>
              </w:rPr>
              <w:t>（</w:t>
            </w:r>
            <w:r>
              <w:rPr>
                <w:rFonts w:hint="eastAsia" w:ascii="宋体" w:hAnsi="宋体" w:cs="宋体"/>
                <w:color w:val="auto"/>
                <w:kern w:val="2"/>
                <w:sz w:val="18"/>
                <w:szCs w:val="18"/>
                <w:highlight w:val="none"/>
                <w:lang w:val="en-US" w:eastAsia="zh-CN" w:bidi="ar-SA"/>
              </w:rPr>
              <w:t>5</w:t>
            </w:r>
            <w:r>
              <w:rPr>
                <w:rFonts w:hint="eastAsia" w:ascii="宋体" w:hAnsi="宋体" w:eastAsia="宋体" w:cs="宋体"/>
                <w:color w:val="auto"/>
                <w:kern w:val="2"/>
                <w:sz w:val="18"/>
                <w:szCs w:val="18"/>
                <w:highlight w:val="none"/>
                <w:lang w:val="zh-CN" w:eastAsia="zh-CN" w:bidi="ar-SA"/>
              </w:rPr>
              <w:t>分）</w:t>
            </w:r>
          </w:p>
        </w:tc>
        <w:tc>
          <w:tcPr>
            <w:tcW w:w="5569" w:type="dxa"/>
            <w:tcBorders>
              <w:tl2br w:val="nil"/>
              <w:tr2bl w:val="nil"/>
            </w:tcBorders>
            <w:shd w:val="clear" w:color="auto" w:fill="auto"/>
            <w:vAlign w:val="center"/>
          </w:tcPr>
          <w:p w14:paraId="0B15939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Cs/>
                <w:color w:val="auto"/>
                <w:kern w:val="2"/>
                <w:sz w:val="18"/>
                <w:szCs w:val="18"/>
                <w:highlight w:val="none"/>
                <w:lang w:val="zh-CN" w:eastAsia="zh-CN" w:bidi="ar-SA"/>
              </w:rPr>
            </w:pPr>
            <w:r>
              <w:rPr>
                <w:rFonts w:hint="eastAsia" w:ascii="宋体" w:hAnsi="宋体" w:eastAsia="宋体" w:cs="宋体"/>
                <w:bCs/>
                <w:color w:val="auto"/>
                <w:kern w:val="2"/>
                <w:sz w:val="18"/>
                <w:szCs w:val="18"/>
                <w:highlight w:val="none"/>
                <w:lang w:val="zh-CN" w:eastAsia="zh-CN" w:bidi="ar-SA"/>
              </w:rPr>
              <w:t>对投标人针对本项目临时任务、突发任务、以及应对群体事件所需的</w:t>
            </w:r>
            <w:r>
              <w:rPr>
                <w:rFonts w:hint="eastAsia" w:ascii="宋体" w:hAnsi="宋体" w:cs="宋体"/>
                <w:bCs/>
                <w:color w:val="auto"/>
                <w:kern w:val="2"/>
                <w:sz w:val="18"/>
                <w:szCs w:val="18"/>
                <w:highlight w:val="none"/>
                <w:lang w:val="en-US" w:eastAsia="zh-CN" w:bidi="ar-SA"/>
              </w:rPr>
              <w:t>服务响应进行</w:t>
            </w:r>
            <w:r>
              <w:rPr>
                <w:rFonts w:hint="eastAsia" w:ascii="宋体" w:hAnsi="宋体" w:eastAsia="宋体" w:cs="宋体"/>
                <w:bCs/>
                <w:color w:val="auto"/>
                <w:kern w:val="2"/>
                <w:sz w:val="18"/>
                <w:szCs w:val="18"/>
                <w:highlight w:val="none"/>
                <w:lang w:val="zh-CN" w:eastAsia="zh-CN" w:bidi="ar-SA"/>
              </w:rPr>
              <w:t>评分。可随时在半小时内从本地调配</w:t>
            </w:r>
            <w:r>
              <w:rPr>
                <w:rFonts w:hint="eastAsia" w:ascii="宋体" w:hAnsi="宋体" w:cs="宋体"/>
                <w:bCs/>
                <w:color w:val="auto"/>
                <w:kern w:val="2"/>
                <w:sz w:val="18"/>
                <w:szCs w:val="18"/>
                <w:highlight w:val="none"/>
                <w:lang w:val="en-US" w:eastAsia="zh-CN" w:bidi="ar-SA"/>
              </w:rPr>
              <w:t>20及</w:t>
            </w:r>
            <w:r>
              <w:rPr>
                <w:rFonts w:hint="eastAsia" w:ascii="宋体" w:hAnsi="宋体" w:cs="宋体"/>
                <w:bCs/>
                <w:color w:val="auto"/>
                <w:kern w:val="2"/>
                <w:sz w:val="18"/>
                <w:szCs w:val="18"/>
                <w:highlight w:val="none"/>
                <w:lang w:val="zh-CN" w:eastAsia="zh-CN" w:bidi="ar-SA"/>
              </w:rPr>
              <w:t>以上人员</w:t>
            </w:r>
            <w:r>
              <w:rPr>
                <w:rFonts w:hint="eastAsia" w:ascii="宋体" w:hAnsi="宋体" w:eastAsia="宋体" w:cs="宋体"/>
                <w:bCs/>
                <w:color w:val="auto"/>
                <w:kern w:val="2"/>
                <w:sz w:val="18"/>
                <w:szCs w:val="18"/>
                <w:highlight w:val="none"/>
                <w:lang w:val="zh-CN" w:eastAsia="zh-CN" w:bidi="ar-SA"/>
              </w:rPr>
              <w:t>应急的计</w:t>
            </w:r>
            <w:r>
              <w:rPr>
                <w:rFonts w:hint="eastAsia" w:ascii="宋体" w:hAnsi="宋体" w:cs="宋体"/>
                <w:bCs/>
                <w:color w:val="auto"/>
                <w:kern w:val="2"/>
                <w:sz w:val="18"/>
                <w:szCs w:val="18"/>
                <w:highlight w:val="none"/>
                <w:lang w:val="en-US" w:eastAsia="zh-CN" w:bidi="ar-SA"/>
              </w:rPr>
              <w:t>5</w:t>
            </w:r>
            <w:r>
              <w:rPr>
                <w:rFonts w:hint="eastAsia" w:ascii="宋体" w:hAnsi="宋体" w:eastAsia="宋体" w:cs="宋体"/>
                <w:bCs/>
                <w:color w:val="auto"/>
                <w:kern w:val="2"/>
                <w:sz w:val="18"/>
                <w:szCs w:val="18"/>
                <w:highlight w:val="none"/>
                <w:lang w:val="zh-CN" w:eastAsia="zh-CN" w:bidi="ar-SA"/>
              </w:rPr>
              <w:t>分；</w:t>
            </w:r>
            <w:r>
              <w:rPr>
                <w:rFonts w:hint="eastAsia" w:ascii="宋体" w:hAnsi="宋体" w:cs="宋体"/>
                <w:bCs/>
                <w:color w:val="auto"/>
                <w:kern w:val="2"/>
                <w:sz w:val="18"/>
                <w:szCs w:val="18"/>
                <w:highlight w:val="none"/>
                <w:lang w:val="zh-CN" w:eastAsia="zh-CN" w:bidi="ar-SA"/>
              </w:rPr>
              <w:t>可</w:t>
            </w:r>
            <w:r>
              <w:rPr>
                <w:rFonts w:hint="eastAsia" w:ascii="宋体" w:hAnsi="宋体" w:eastAsia="宋体" w:cs="宋体"/>
                <w:bCs/>
                <w:color w:val="auto"/>
                <w:kern w:val="2"/>
                <w:sz w:val="18"/>
                <w:szCs w:val="18"/>
                <w:highlight w:val="none"/>
                <w:lang w:val="zh-CN" w:eastAsia="zh-CN" w:bidi="ar-SA"/>
              </w:rPr>
              <w:t>调配</w:t>
            </w:r>
            <w:r>
              <w:rPr>
                <w:rFonts w:hint="eastAsia" w:ascii="宋体" w:hAnsi="宋体" w:cs="宋体"/>
                <w:bCs/>
                <w:color w:val="auto"/>
                <w:kern w:val="2"/>
                <w:sz w:val="18"/>
                <w:szCs w:val="18"/>
                <w:highlight w:val="none"/>
                <w:lang w:val="en-US" w:eastAsia="zh-CN" w:bidi="ar-SA"/>
              </w:rPr>
              <w:t>15-19人</w:t>
            </w:r>
            <w:r>
              <w:rPr>
                <w:rFonts w:hint="eastAsia" w:ascii="宋体" w:hAnsi="宋体" w:eastAsia="宋体" w:cs="宋体"/>
                <w:bCs/>
                <w:color w:val="auto"/>
                <w:kern w:val="2"/>
                <w:sz w:val="18"/>
                <w:szCs w:val="18"/>
                <w:highlight w:val="none"/>
                <w:lang w:val="zh-CN" w:eastAsia="zh-CN" w:bidi="ar-SA"/>
              </w:rPr>
              <w:t>应急的计</w:t>
            </w:r>
            <w:r>
              <w:rPr>
                <w:rFonts w:hint="eastAsia" w:ascii="宋体" w:hAnsi="宋体" w:cs="宋体"/>
                <w:bCs/>
                <w:color w:val="auto"/>
                <w:kern w:val="2"/>
                <w:sz w:val="18"/>
                <w:szCs w:val="18"/>
                <w:highlight w:val="none"/>
                <w:lang w:val="en-US" w:eastAsia="zh-CN" w:bidi="ar-SA"/>
              </w:rPr>
              <w:t>3</w:t>
            </w:r>
            <w:r>
              <w:rPr>
                <w:rFonts w:hint="eastAsia" w:ascii="宋体" w:hAnsi="宋体" w:eastAsia="宋体" w:cs="宋体"/>
                <w:bCs/>
                <w:color w:val="auto"/>
                <w:kern w:val="2"/>
                <w:sz w:val="18"/>
                <w:szCs w:val="18"/>
                <w:highlight w:val="none"/>
                <w:lang w:val="zh-CN" w:eastAsia="zh-CN" w:bidi="ar-SA"/>
              </w:rPr>
              <w:t>分</w:t>
            </w:r>
            <w:r>
              <w:rPr>
                <w:rFonts w:hint="eastAsia" w:ascii="宋体" w:hAnsi="宋体" w:cs="宋体"/>
                <w:bCs/>
                <w:color w:val="auto"/>
                <w:kern w:val="2"/>
                <w:sz w:val="18"/>
                <w:szCs w:val="18"/>
                <w:highlight w:val="none"/>
                <w:lang w:val="zh-CN" w:eastAsia="zh-CN" w:bidi="ar-SA"/>
              </w:rPr>
              <w:t>；可</w:t>
            </w:r>
            <w:r>
              <w:rPr>
                <w:rFonts w:hint="eastAsia" w:ascii="宋体" w:hAnsi="宋体" w:eastAsia="宋体" w:cs="宋体"/>
                <w:bCs/>
                <w:color w:val="auto"/>
                <w:kern w:val="2"/>
                <w:sz w:val="18"/>
                <w:szCs w:val="18"/>
                <w:highlight w:val="none"/>
                <w:lang w:val="zh-CN" w:eastAsia="zh-CN" w:bidi="ar-SA"/>
              </w:rPr>
              <w:t>调配</w:t>
            </w:r>
            <w:r>
              <w:rPr>
                <w:rFonts w:hint="eastAsia" w:ascii="宋体" w:hAnsi="宋体" w:cs="宋体"/>
                <w:bCs/>
                <w:color w:val="auto"/>
                <w:kern w:val="2"/>
                <w:sz w:val="18"/>
                <w:szCs w:val="18"/>
                <w:highlight w:val="none"/>
                <w:lang w:val="en-US" w:eastAsia="zh-CN" w:bidi="ar-SA"/>
              </w:rPr>
              <w:t>10-14人</w:t>
            </w:r>
            <w:r>
              <w:rPr>
                <w:rFonts w:hint="eastAsia" w:ascii="宋体" w:hAnsi="宋体" w:eastAsia="宋体" w:cs="宋体"/>
                <w:bCs/>
                <w:color w:val="auto"/>
                <w:kern w:val="2"/>
                <w:sz w:val="18"/>
                <w:szCs w:val="18"/>
                <w:highlight w:val="none"/>
                <w:lang w:val="zh-CN" w:eastAsia="zh-CN" w:bidi="ar-SA"/>
              </w:rPr>
              <w:t>应急的计</w:t>
            </w:r>
            <w:r>
              <w:rPr>
                <w:rFonts w:hint="eastAsia" w:ascii="宋体" w:hAnsi="宋体" w:cs="宋体"/>
                <w:bCs/>
                <w:color w:val="auto"/>
                <w:kern w:val="2"/>
                <w:sz w:val="18"/>
                <w:szCs w:val="18"/>
                <w:highlight w:val="none"/>
                <w:lang w:val="en-US" w:eastAsia="zh-CN" w:bidi="ar-SA"/>
              </w:rPr>
              <w:t>1</w:t>
            </w:r>
            <w:r>
              <w:rPr>
                <w:rFonts w:hint="eastAsia" w:ascii="宋体" w:hAnsi="宋体" w:eastAsia="宋体" w:cs="宋体"/>
                <w:bCs/>
                <w:color w:val="auto"/>
                <w:kern w:val="2"/>
                <w:sz w:val="18"/>
                <w:szCs w:val="18"/>
                <w:highlight w:val="none"/>
                <w:lang w:val="zh-CN" w:eastAsia="zh-CN" w:bidi="ar-SA"/>
              </w:rPr>
              <w:t>分</w:t>
            </w:r>
            <w:r>
              <w:rPr>
                <w:rFonts w:hint="eastAsia" w:ascii="宋体" w:hAnsi="宋体" w:cs="宋体"/>
                <w:bCs/>
                <w:color w:val="auto"/>
                <w:kern w:val="2"/>
                <w:sz w:val="18"/>
                <w:szCs w:val="18"/>
                <w:highlight w:val="none"/>
                <w:lang w:val="zh-CN" w:eastAsia="zh-CN" w:bidi="ar-SA"/>
              </w:rPr>
              <w:t>；其它计</w:t>
            </w:r>
            <w:r>
              <w:rPr>
                <w:rFonts w:hint="eastAsia" w:ascii="宋体" w:hAnsi="宋体" w:cs="宋体"/>
                <w:bCs/>
                <w:color w:val="auto"/>
                <w:kern w:val="2"/>
                <w:sz w:val="18"/>
                <w:szCs w:val="18"/>
                <w:highlight w:val="none"/>
                <w:lang w:val="en-US" w:eastAsia="zh-CN" w:bidi="ar-SA"/>
              </w:rPr>
              <w:t>0分</w:t>
            </w:r>
            <w:r>
              <w:rPr>
                <w:rFonts w:hint="eastAsia" w:ascii="宋体" w:hAnsi="宋体" w:eastAsia="宋体" w:cs="宋体"/>
                <w:bCs/>
                <w:color w:val="auto"/>
                <w:kern w:val="2"/>
                <w:sz w:val="18"/>
                <w:szCs w:val="18"/>
                <w:highlight w:val="none"/>
                <w:lang w:val="zh-CN" w:eastAsia="zh-CN" w:bidi="ar-SA"/>
              </w:rPr>
              <w:t>。</w:t>
            </w:r>
          </w:p>
          <w:p w14:paraId="5F8233B9">
            <w:pPr>
              <w:pStyle w:val="44"/>
              <w:ind w:left="0" w:leftChars="0" w:firstLine="0" w:firstLineChars="0"/>
              <w:rPr>
                <w:rFonts w:hint="eastAsia"/>
                <w:color w:val="auto"/>
                <w:highlight w:val="none"/>
                <w:lang w:val="en-US" w:eastAsia="zh-CN"/>
              </w:rPr>
            </w:pPr>
            <w:r>
              <w:rPr>
                <w:rFonts w:hint="eastAsia" w:ascii="宋体" w:hAnsi="宋体" w:cs="宋体"/>
                <w:b/>
                <w:bCs w:val="0"/>
                <w:color w:val="auto"/>
                <w:kern w:val="2"/>
                <w:sz w:val="18"/>
                <w:szCs w:val="18"/>
                <w:highlight w:val="none"/>
                <w:lang w:val="zh-CN" w:eastAsia="zh-CN" w:bidi="ar-SA"/>
              </w:rPr>
              <w:t>（备注：投标文件内需提</w:t>
            </w:r>
            <w:r>
              <w:rPr>
                <w:rFonts w:hint="eastAsia" w:ascii="宋体" w:hAnsi="宋体" w:cs="宋体"/>
                <w:b/>
                <w:bCs w:val="0"/>
                <w:color w:val="auto"/>
                <w:kern w:val="2"/>
                <w:sz w:val="18"/>
                <w:szCs w:val="18"/>
                <w:highlight w:val="none"/>
                <w:lang w:val="en-US" w:eastAsia="zh-CN" w:bidi="ar-SA"/>
              </w:rPr>
              <w:t>供承诺书</w:t>
            </w:r>
            <w:r>
              <w:rPr>
                <w:rFonts w:hint="eastAsia" w:ascii="宋体" w:hAnsi="宋体" w:eastAsia="宋体" w:cs="宋体"/>
                <w:b/>
                <w:bCs w:val="0"/>
                <w:color w:val="auto"/>
                <w:kern w:val="2"/>
                <w:sz w:val="18"/>
                <w:szCs w:val="18"/>
                <w:highlight w:val="none"/>
                <w:lang w:val="en-US" w:eastAsia="zh-CN" w:bidi="ar-SA"/>
              </w:rPr>
              <w:t>并</w:t>
            </w:r>
            <w:r>
              <w:rPr>
                <w:rFonts w:hint="eastAsia" w:ascii="宋体" w:hAnsi="宋体" w:eastAsia="宋体" w:cs="宋体"/>
                <w:b/>
                <w:bCs w:val="0"/>
                <w:color w:val="auto"/>
                <w:kern w:val="2"/>
                <w:sz w:val="18"/>
                <w:szCs w:val="18"/>
                <w:highlight w:val="none"/>
                <w:lang w:val="ru-RU" w:eastAsia="zh-CN" w:bidi="ar-SA"/>
              </w:rPr>
              <w:t>加盖投标人</w:t>
            </w:r>
            <w:r>
              <w:rPr>
                <w:rFonts w:hint="eastAsia" w:ascii="宋体" w:hAnsi="宋体" w:cs="宋体"/>
                <w:b/>
                <w:bCs w:val="0"/>
                <w:color w:val="auto"/>
                <w:kern w:val="2"/>
                <w:sz w:val="18"/>
                <w:szCs w:val="18"/>
                <w:highlight w:val="none"/>
                <w:lang w:val="ru-RU" w:eastAsia="zh-CN" w:bidi="ar-SA"/>
              </w:rPr>
              <w:t>单位</w:t>
            </w:r>
            <w:r>
              <w:rPr>
                <w:rFonts w:hint="eastAsia" w:ascii="宋体" w:hAnsi="宋体" w:eastAsia="宋体" w:cs="宋体"/>
                <w:b/>
                <w:bCs w:val="0"/>
                <w:color w:val="auto"/>
                <w:kern w:val="2"/>
                <w:sz w:val="18"/>
                <w:szCs w:val="18"/>
                <w:highlight w:val="none"/>
                <w:lang w:val="ru-RU" w:eastAsia="zh-CN" w:bidi="ar-SA"/>
              </w:rPr>
              <w:t>公章</w:t>
            </w:r>
            <w:r>
              <w:rPr>
                <w:rFonts w:hint="eastAsia" w:ascii="宋体" w:hAnsi="宋体" w:eastAsia="宋体" w:cs="宋体"/>
                <w:b/>
                <w:bCs w:val="0"/>
                <w:color w:val="auto"/>
                <w:kern w:val="2"/>
                <w:sz w:val="18"/>
                <w:szCs w:val="18"/>
                <w:highlight w:val="none"/>
                <w:lang w:val="en-US" w:eastAsia="zh-CN" w:bidi="ar-SA"/>
              </w:rPr>
              <w:t>，否则不计分</w:t>
            </w:r>
            <w:r>
              <w:rPr>
                <w:rFonts w:hint="eastAsia" w:ascii="宋体" w:hAnsi="宋体" w:cs="宋体"/>
                <w:b/>
                <w:bCs w:val="0"/>
                <w:i w:val="0"/>
                <w:iCs w:val="0"/>
                <w:color w:val="auto"/>
                <w:kern w:val="2"/>
                <w:sz w:val="18"/>
                <w:szCs w:val="18"/>
                <w:highlight w:val="none"/>
                <w:lang w:val="en-US" w:eastAsia="zh-CN" w:bidi="ar-SA"/>
              </w:rPr>
              <w:t>，承诺函格式自拟</w:t>
            </w:r>
            <w:r>
              <w:rPr>
                <w:rFonts w:hint="eastAsia" w:ascii="宋体" w:hAnsi="宋体" w:eastAsia="宋体" w:cs="宋体"/>
                <w:b/>
                <w:bCs w:val="0"/>
                <w:i w:val="0"/>
                <w:iCs w:val="0"/>
                <w:color w:val="auto"/>
                <w:kern w:val="2"/>
                <w:sz w:val="18"/>
                <w:szCs w:val="18"/>
                <w:highlight w:val="none"/>
                <w:lang w:val="en-US" w:eastAsia="zh-CN" w:bidi="ar-SA"/>
              </w:rPr>
              <w:t>。</w:t>
            </w:r>
            <w:r>
              <w:rPr>
                <w:rFonts w:hint="eastAsia" w:ascii="宋体" w:hAnsi="宋体" w:cs="宋体"/>
                <w:b/>
                <w:bCs w:val="0"/>
                <w:i w:val="0"/>
                <w:iCs w:val="0"/>
                <w:color w:val="auto"/>
                <w:kern w:val="2"/>
                <w:sz w:val="18"/>
                <w:szCs w:val="18"/>
                <w:highlight w:val="none"/>
                <w:lang w:val="en-US" w:eastAsia="zh-CN" w:bidi="ar-SA"/>
              </w:rPr>
              <w:t>）</w:t>
            </w:r>
          </w:p>
        </w:tc>
      </w:tr>
      <w:tr w14:paraId="4717BD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3" w:type="dxa"/>
            <w:vMerge w:val="continue"/>
            <w:tcBorders>
              <w:tl2br w:val="nil"/>
              <w:tr2bl w:val="nil"/>
            </w:tcBorders>
            <w:vAlign w:val="center"/>
          </w:tcPr>
          <w:p w14:paraId="6FCCDDE5">
            <w:pPr>
              <w:jc w:val="center"/>
              <w:rPr>
                <w:rFonts w:ascii="宋体" w:hAnsi="宋体" w:cs="宋体"/>
                <w:color w:val="auto"/>
                <w:sz w:val="18"/>
                <w:szCs w:val="18"/>
                <w:highlight w:val="none"/>
              </w:rPr>
            </w:pPr>
          </w:p>
        </w:tc>
        <w:tc>
          <w:tcPr>
            <w:tcW w:w="1045" w:type="dxa"/>
            <w:vMerge w:val="continue"/>
            <w:tcBorders>
              <w:tl2br w:val="nil"/>
              <w:tr2bl w:val="nil"/>
            </w:tcBorders>
            <w:vAlign w:val="center"/>
          </w:tcPr>
          <w:p w14:paraId="48DBDB5A">
            <w:pPr>
              <w:jc w:val="center"/>
              <w:rPr>
                <w:rFonts w:ascii="宋体" w:hAnsi="宋体" w:cs="宋体"/>
                <w:color w:val="auto"/>
                <w:sz w:val="18"/>
                <w:szCs w:val="18"/>
                <w:highlight w:val="none"/>
              </w:rPr>
            </w:pPr>
          </w:p>
        </w:tc>
        <w:tc>
          <w:tcPr>
            <w:tcW w:w="1105" w:type="dxa"/>
            <w:tcBorders>
              <w:tl2br w:val="nil"/>
              <w:tr2bl w:val="nil"/>
            </w:tcBorders>
            <w:vAlign w:val="center"/>
          </w:tcPr>
          <w:p w14:paraId="25CA469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kern w:val="2"/>
                <w:sz w:val="18"/>
                <w:szCs w:val="18"/>
                <w:highlight w:val="none"/>
                <w:lang w:val="en-US" w:eastAsia="zh-CN" w:bidi="ar-SA"/>
              </w:rPr>
              <w:t>类似业绩</w:t>
            </w:r>
          </w:p>
          <w:p w14:paraId="5662523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kern w:val="2"/>
                <w:sz w:val="18"/>
                <w:szCs w:val="18"/>
                <w:highlight w:val="none"/>
                <w:lang w:val="en-US" w:eastAsia="zh-CN" w:bidi="ar-SA"/>
              </w:rPr>
              <w:t>（</w:t>
            </w:r>
            <w:r>
              <w:rPr>
                <w:rFonts w:hint="eastAsia" w:ascii="宋体" w:hAnsi="宋体" w:cs="宋体"/>
                <w:bCs/>
                <w:color w:val="auto"/>
                <w:kern w:val="2"/>
                <w:sz w:val="18"/>
                <w:szCs w:val="18"/>
                <w:highlight w:val="none"/>
                <w:lang w:val="en-US" w:eastAsia="zh-CN" w:bidi="ar-SA"/>
              </w:rPr>
              <w:t>20</w:t>
            </w:r>
            <w:r>
              <w:rPr>
                <w:rFonts w:hint="eastAsia" w:ascii="宋体" w:hAnsi="宋体" w:eastAsia="宋体" w:cs="宋体"/>
                <w:bCs/>
                <w:color w:val="auto"/>
                <w:kern w:val="2"/>
                <w:sz w:val="18"/>
                <w:szCs w:val="18"/>
                <w:highlight w:val="none"/>
                <w:lang w:val="en-US" w:eastAsia="zh-CN" w:bidi="ar-SA"/>
              </w:rPr>
              <w:t>分）</w:t>
            </w:r>
          </w:p>
        </w:tc>
        <w:tc>
          <w:tcPr>
            <w:tcW w:w="5569" w:type="dxa"/>
            <w:tcBorders>
              <w:tl2br w:val="nil"/>
              <w:tr2bl w:val="nil"/>
            </w:tcBorders>
            <w:vAlign w:val="center"/>
          </w:tcPr>
          <w:p w14:paraId="65E5F68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kern w:val="2"/>
                <w:sz w:val="18"/>
                <w:szCs w:val="18"/>
                <w:highlight w:val="none"/>
                <w:lang w:val="en-US" w:eastAsia="zh-CN" w:bidi="ar-SA"/>
              </w:rPr>
              <w:t>投标人近三年（</w:t>
            </w:r>
            <w:r>
              <w:rPr>
                <w:rFonts w:hint="eastAsia" w:ascii="宋体" w:hAnsi="宋体" w:cs="宋体"/>
                <w:b/>
                <w:bCs w:val="0"/>
                <w:color w:val="auto"/>
                <w:kern w:val="2"/>
                <w:sz w:val="18"/>
                <w:szCs w:val="18"/>
                <w:highlight w:val="none"/>
                <w:lang w:val="en-US" w:eastAsia="zh-CN" w:bidi="ar-SA"/>
              </w:rPr>
              <w:t>指</w:t>
            </w:r>
            <w:r>
              <w:rPr>
                <w:rFonts w:hint="eastAsia" w:ascii="宋体" w:hAnsi="宋体" w:eastAsia="宋体" w:cs="宋体"/>
                <w:bCs/>
                <w:color w:val="auto"/>
                <w:kern w:val="2"/>
                <w:sz w:val="18"/>
                <w:szCs w:val="18"/>
                <w:highlight w:val="none"/>
                <w:lang w:val="en-US" w:eastAsia="zh-CN" w:bidi="ar-SA"/>
              </w:rPr>
              <w:t>投标文件递交截止时间上推三年，具体以合同签订时间为准）具有</w:t>
            </w:r>
            <w:r>
              <w:rPr>
                <w:rFonts w:hint="eastAsia" w:ascii="宋体" w:hAnsi="宋体" w:cs="宋体"/>
                <w:bCs/>
                <w:color w:val="auto"/>
                <w:kern w:val="2"/>
                <w:sz w:val="18"/>
                <w:szCs w:val="18"/>
                <w:highlight w:val="none"/>
                <w:lang w:val="en-US" w:eastAsia="zh-CN" w:bidi="ar-SA"/>
              </w:rPr>
              <w:t>物业管理</w:t>
            </w:r>
            <w:r>
              <w:rPr>
                <w:rFonts w:hint="eastAsia" w:ascii="宋体" w:hAnsi="宋体" w:eastAsia="宋体" w:cs="宋体"/>
                <w:bCs/>
                <w:color w:val="auto"/>
                <w:kern w:val="2"/>
                <w:sz w:val="18"/>
                <w:szCs w:val="18"/>
                <w:highlight w:val="none"/>
                <w:lang w:val="en-US" w:eastAsia="zh-CN" w:bidi="ar-SA"/>
              </w:rPr>
              <w:t>业绩的，每提供一个业绩计</w:t>
            </w:r>
            <w:r>
              <w:rPr>
                <w:rFonts w:hint="eastAsia" w:ascii="宋体" w:hAnsi="宋体" w:cs="宋体"/>
                <w:bCs/>
                <w:color w:val="auto"/>
                <w:kern w:val="2"/>
                <w:sz w:val="18"/>
                <w:szCs w:val="18"/>
                <w:highlight w:val="none"/>
                <w:lang w:val="en-US" w:eastAsia="zh-CN" w:bidi="ar-SA"/>
              </w:rPr>
              <w:t>4</w:t>
            </w:r>
            <w:r>
              <w:rPr>
                <w:rFonts w:hint="eastAsia" w:ascii="宋体" w:hAnsi="宋体" w:eastAsia="宋体" w:cs="宋体"/>
                <w:bCs/>
                <w:color w:val="auto"/>
                <w:kern w:val="2"/>
                <w:sz w:val="18"/>
                <w:szCs w:val="18"/>
                <w:highlight w:val="none"/>
                <w:lang w:val="en-US" w:eastAsia="zh-CN" w:bidi="ar-SA"/>
              </w:rPr>
              <w:t>分，本项最高计</w:t>
            </w:r>
            <w:r>
              <w:rPr>
                <w:rFonts w:hint="eastAsia" w:ascii="宋体" w:hAnsi="宋体" w:cs="宋体"/>
                <w:bCs/>
                <w:color w:val="auto"/>
                <w:kern w:val="2"/>
                <w:sz w:val="18"/>
                <w:szCs w:val="18"/>
                <w:highlight w:val="none"/>
                <w:lang w:val="en-US" w:eastAsia="zh-CN" w:bidi="ar-SA"/>
              </w:rPr>
              <w:t>20</w:t>
            </w:r>
            <w:r>
              <w:rPr>
                <w:rFonts w:hint="eastAsia" w:ascii="宋体" w:hAnsi="宋体" w:eastAsia="宋体" w:cs="宋体"/>
                <w:bCs/>
                <w:color w:val="auto"/>
                <w:kern w:val="2"/>
                <w:sz w:val="18"/>
                <w:szCs w:val="18"/>
                <w:highlight w:val="none"/>
                <w:lang w:val="en-US" w:eastAsia="zh-CN" w:bidi="ar-SA"/>
              </w:rPr>
              <w:t>分。其中同一业主不同年度的合同业绩按一个业绩计算。</w:t>
            </w:r>
          </w:p>
          <w:p w14:paraId="438DC65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新宋体"/>
                <w:b/>
                <w:bCs/>
                <w:color w:val="auto"/>
                <w:kern w:val="0"/>
                <w:sz w:val="18"/>
                <w:szCs w:val="18"/>
                <w:highlight w:val="none"/>
                <w:lang w:val="en-US" w:eastAsia="zh-CN"/>
              </w:rPr>
              <w:t>（备注：投标文件中需提供合同复印件（至少包括合同首页</w:t>
            </w:r>
            <w:r>
              <w:rPr>
                <w:rFonts w:hint="eastAsia" w:ascii="宋体" w:hAnsi="宋体" w:cs="新宋体"/>
                <w:b/>
                <w:bCs/>
                <w:color w:val="auto"/>
                <w:kern w:val="0"/>
                <w:sz w:val="18"/>
                <w:szCs w:val="18"/>
                <w:highlight w:val="none"/>
                <w:lang w:val="en-US" w:eastAsia="zh-CN"/>
              </w:rPr>
              <w:t>、关键页</w:t>
            </w:r>
            <w:r>
              <w:rPr>
                <w:rFonts w:hint="eastAsia" w:ascii="宋体" w:hAnsi="宋体" w:eastAsia="宋体" w:cs="新宋体"/>
                <w:b/>
                <w:bCs/>
                <w:color w:val="auto"/>
                <w:kern w:val="0"/>
                <w:sz w:val="18"/>
                <w:szCs w:val="18"/>
                <w:highlight w:val="none"/>
                <w:lang w:val="en-US" w:eastAsia="zh-CN"/>
              </w:rPr>
              <w:t>及签章页）并加盖投标人单位公章</w:t>
            </w:r>
            <w:r>
              <w:rPr>
                <w:rFonts w:hint="eastAsia" w:ascii="宋体" w:hAnsi="宋体" w:eastAsia="宋体" w:cs="新宋体"/>
                <w:b/>
                <w:bCs/>
                <w:color w:val="auto"/>
                <w:kern w:val="0"/>
                <w:sz w:val="18"/>
                <w:szCs w:val="18"/>
                <w:highlight w:val="none"/>
                <w:lang w:val="zh-CN" w:eastAsia="zh-CN"/>
              </w:rPr>
              <w:t>，否则不计分</w:t>
            </w:r>
            <w:r>
              <w:rPr>
                <w:rFonts w:hint="eastAsia" w:ascii="宋体" w:hAnsi="宋体" w:eastAsia="宋体" w:cs="新宋体"/>
                <w:b/>
                <w:bCs/>
                <w:color w:val="auto"/>
                <w:kern w:val="0"/>
                <w:sz w:val="18"/>
                <w:szCs w:val="18"/>
                <w:highlight w:val="none"/>
                <w:lang w:val="en-US" w:eastAsia="zh-CN"/>
              </w:rPr>
              <w:t>。）</w:t>
            </w:r>
          </w:p>
        </w:tc>
      </w:tr>
    </w:tbl>
    <w:p w14:paraId="01FBCB60">
      <w:pPr>
        <w:rPr>
          <w:color w:val="auto"/>
          <w:highlight w:val="none"/>
        </w:rPr>
      </w:pPr>
      <w:r>
        <w:rPr>
          <w:rFonts w:hint="eastAsia"/>
          <w:color w:val="auto"/>
          <w:highlight w:val="none"/>
        </w:rPr>
        <w:br w:type="page"/>
      </w:r>
    </w:p>
    <w:p w14:paraId="5749DF89">
      <w:pPr>
        <w:pStyle w:val="4"/>
        <w:keepNext w:val="0"/>
        <w:adjustRightInd w:val="0"/>
        <w:snapToGrid w:val="0"/>
        <w:spacing w:beforeLines="50" w:line="360" w:lineRule="auto"/>
        <w:rPr>
          <w:rFonts w:ascii="宋体" w:hAnsi="宋体" w:cs="宋体"/>
          <w:color w:val="auto"/>
          <w:sz w:val="32"/>
          <w:szCs w:val="32"/>
          <w:highlight w:val="none"/>
        </w:rPr>
      </w:pPr>
      <w:bookmarkStart w:id="71" w:name="_Toc5005"/>
      <w:r>
        <w:rPr>
          <w:rFonts w:hint="eastAsia" w:ascii="宋体" w:hAnsi="宋体" w:cs="宋体"/>
          <w:color w:val="auto"/>
          <w:sz w:val="32"/>
          <w:szCs w:val="32"/>
          <w:highlight w:val="none"/>
        </w:rPr>
        <w:t>第五章 采购需求</w:t>
      </w:r>
      <w:bookmarkEnd w:id="71"/>
    </w:p>
    <w:p w14:paraId="62CCC3FC">
      <w:pPr>
        <w:pStyle w:val="138"/>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color w:val="auto"/>
          <w:sz w:val="21"/>
          <w:szCs w:val="21"/>
          <w:highlight w:val="none"/>
        </w:rPr>
      </w:pPr>
      <w:bookmarkStart w:id="72" w:name="_Toc23952"/>
      <w:r>
        <w:rPr>
          <w:rFonts w:hint="eastAsia" w:ascii="宋体" w:hAnsi="宋体" w:eastAsia="宋体" w:cs="宋体"/>
          <w:b/>
          <w:color w:val="auto"/>
          <w:sz w:val="21"/>
          <w:szCs w:val="21"/>
          <w:highlight w:val="none"/>
        </w:rPr>
        <w:t>一、项目概况</w:t>
      </w:r>
    </w:p>
    <w:p w14:paraId="5E8595F1">
      <w:pPr>
        <w:pStyle w:val="13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1、名称：</w:t>
      </w:r>
      <w:r>
        <w:rPr>
          <w:rFonts w:hint="eastAsia" w:ascii="宋体" w:hAnsi="宋体" w:cs="宋体"/>
          <w:color w:val="auto"/>
          <w:sz w:val="21"/>
          <w:szCs w:val="21"/>
          <w:highlight w:val="none"/>
          <w:lang w:eastAsia="zh-CN"/>
        </w:rPr>
        <w:t>2024年-2026年度物业服务采购项目</w:t>
      </w:r>
    </w:p>
    <w:p w14:paraId="233DAE4A">
      <w:pPr>
        <w:pStyle w:val="13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宋体" w:hAnsi="宋体" w:eastAsia="宋体" w:cs="宋体"/>
          <w:color w:val="auto"/>
          <w:sz w:val="21"/>
          <w:szCs w:val="21"/>
          <w:highlight w:val="none"/>
        </w:rPr>
        <w:t>2、项目</w:t>
      </w:r>
      <w:r>
        <w:rPr>
          <w:rFonts w:hint="eastAsia" w:ascii="宋体" w:hAnsi="宋体" w:cs="宋体"/>
          <w:color w:val="auto"/>
          <w:sz w:val="21"/>
          <w:szCs w:val="21"/>
          <w:highlight w:val="none"/>
          <w:lang w:eastAsia="zh-CN"/>
        </w:rPr>
        <w:t>概况</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本项目位于</w:t>
      </w:r>
      <w:r>
        <w:rPr>
          <w:rFonts w:hint="eastAsia" w:ascii="宋体" w:hAnsi="宋体" w:eastAsia="宋体" w:cs="宋体"/>
          <w:color w:val="auto"/>
          <w:sz w:val="21"/>
          <w:szCs w:val="21"/>
          <w:highlight w:val="none"/>
        </w:rPr>
        <w:t>湖南省株洲市石峰区职教大学城智慧路123号，有学生公寓6栋、教学楼、综合教学楼、图书馆、行政楼、实训楼7栋、体育馆、体育看台、学生活动中心、食堂等建筑合计21栋，占地面积约534亩，建筑面积约23万㎡。</w:t>
      </w:r>
    </w:p>
    <w:tbl>
      <w:tblPr>
        <w:tblStyle w:val="45"/>
        <w:tblW w:w="485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98"/>
        <w:gridCol w:w="3368"/>
        <w:gridCol w:w="2444"/>
        <w:gridCol w:w="1880"/>
      </w:tblGrid>
      <w:tr w14:paraId="31184E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4" w:hRule="atLeast"/>
          <w:jc w:val="center"/>
        </w:trPr>
        <w:tc>
          <w:tcPr>
            <w:tcW w:w="574" w:type="pct"/>
            <w:tcBorders>
              <w:tl2br w:val="nil"/>
              <w:tr2bl w:val="nil"/>
            </w:tcBorders>
            <w:vAlign w:val="center"/>
          </w:tcPr>
          <w:p w14:paraId="69F2F8FA">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序号</w:t>
            </w:r>
          </w:p>
        </w:tc>
        <w:tc>
          <w:tcPr>
            <w:tcW w:w="1937" w:type="pct"/>
            <w:tcBorders>
              <w:tl2br w:val="nil"/>
              <w:tr2bl w:val="nil"/>
            </w:tcBorders>
            <w:vAlign w:val="center"/>
          </w:tcPr>
          <w:p w14:paraId="540123D2">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项目名称</w:t>
            </w:r>
          </w:p>
        </w:tc>
        <w:tc>
          <w:tcPr>
            <w:tcW w:w="1406" w:type="pct"/>
            <w:tcBorders>
              <w:tl2br w:val="nil"/>
              <w:tr2bl w:val="nil"/>
            </w:tcBorders>
            <w:vAlign w:val="center"/>
          </w:tcPr>
          <w:p w14:paraId="70FA0076">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主要用途</w:t>
            </w:r>
          </w:p>
        </w:tc>
        <w:tc>
          <w:tcPr>
            <w:tcW w:w="1081" w:type="pct"/>
            <w:tcBorders>
              <w:tl2br w:val="nil"/>
              <w:tr2bl w:val="nil"/>
            </w:tcBorders>
            <w:vAlign w:val="center"/>
          </w:tcPr>
          <w:p w14:paraId="56C2FA0D">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建筑面积（m</w:t>
            </w:r>
            <w:r>
              <w:rPr>
                <w:rFonts w:hint="eastAsia" w:ascii="宋体" w:hAnsi="宋体" w:eastAsia="宋体" w:cs="宋体"/>
                <w:b/>
                <w:bCs/>
                <w:color w:val="auto"/>
                <w:kern w:val="0"/>
                <w:sz w:val="21"/>
                <w:szCs w:val="21"/>
                <w:highlight w:val="none"/>
                <w:vertAlign w:val="superscript"/>
              </w:rPr>
              <w:t>2</w:t>
            </w:r>
            <w:r>
              <w:rPr>
                <w:rFonts w:hint="eastAsia" w:ascii="宋体" w:hAnsi="宋体" w:eastAsia="宋体" w:cs="宋体"/>
                <w:b/>
                <w:bCs/>
                <w:color w:val="auto"/>
                <w:kern w:val="0"/>
                <w:sz w:val="21"/>
                <w:szCs w:val="21"/>
                <w:highlight w:val="none"/>
              </w:rPr>
              <w:t>）</w:t>
            </w:r>
          </w:p>
        </w:tc>
      </w:tr>
      <w:tr w14:paraId="06F2EA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54E5E3BA">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1937" w:type="pct"/>
            <w:tcBorders>
              <w:tl2br w:val="nil"/>
              <w:tr2bl w:val="nil"/>
            </w:tcBorders>
            <w:vAlign w:val="center"/>
          </w:tcPr>
          <w:p w14:paraId="10F9422E">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风雨操场</w:t>
            </w:r>
          </w:p>
        </w:tc>
        <w:tc>
          <w:tcPr>
            <w:tcW w:w="1406" w:type="pct"/>
            <w:tcBorders>
              <w:tl2br w:val="nil"/>
              <w:tr2bl w:val="nil"/>
            </w:tcBorders>
            <w:shd w:val="clear" w:color="auto" w:fill="FFFFFF"/>
            <w:vAlign w:val="center"/>
          </w:tcPr>
          <w:p w14:paraId="2DBD108C">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体育</w:t>
            </w:r>
          </w:p>
        </w:tc>
        <w:tc>
          <w:tcPr>
            <w:tcW w:w="1081" w:type="pct"/>
            <w:tcBorders>
              <w:tl2br w:val="nil"/>
              <w:tr2bl w:val="nil"/>
            </w:tcBorders>
            <w:shd w:val="clear" w:color="auto" w:fill="FFFFFF"/>
            <w:noWrap/>
            <w:vAlign w:val="center"/>
          </w:tcPr>
          <w:p w14:paraId="3BFD9748">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5419.92</w:t>
            </w:r>
          </w:p>
        </w:tc>
      </w:tr>
      <w:tr w14:paraId="31845E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23122465">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1937" w:type="pct"/>
            <w:tcBorders>
              <w:tl2br w:val="nil"/>
              <w:tr2bl w:val="nil"/>
            </w:tcBorders>
            <w:vAlign w:val="center"/>
          </w:tcPr>
          <w:p w14:paraId="51246C1B">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1号实训楼</w:t>
            </w:r>
          </w:p>
        </w:tc>
        <w:tc>
          <w:tcPr>
            <w:tcW w:w="1406" w:type="pct"/>
            <w:tcBorders>
              <w:tl2br w:val="nil"/>
              <w:tr2bl w:val="nil"/>
            </w:tcBorders>
            <w:shd w:val="clear" w:color="auto" w:fill="FFFFFF"/>
            <w:vAlign w:val="center"/>
          </w:tcPr>
          <w:p w14:paraId="4B85C6FE">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实训</w:t>
            </w:r>
          </w:p>
        </w:tc>
        <w:tc>
          <w:tcPr>
            <w:tcW w:w="1081" w:type="pct"/>
            <w:tcBorders>
              <w:tl2br w:val="nil"/>
              <w:tr2bl w:val="nil"/>
            </w:tcBorders>
            <w:shd w:val="clear" w:color="auto" w:fill="FFFFFF"/>
            <w:noWrap/>
            <w:vAlign w:val="center"/>
          </w:tcPr>
          <w:p w14:paraId="3BF0D1E5">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7475.83</w:t>
            </w:r>
          </w:p>
        </w:tc>
      </w:tr>
      <w:tr w14:paraId="7C6E13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01885B2F">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1937" w:type="pct"/>
            <w:tcBorders>
              <w:tl2br w:val="nil"/>
              <w:tr2bl w:val="nil"/>
            </w:tcBorders>
            <w:vAlign w:val="center"/>
          </w:tcPr>
          <w:p w14:paraId="5C6E9255">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2号实训楼</w:t>
            </w:r>
          </w:p>
        </w:tc>
        <w:tc>
          <w:tcPr>
            <w:tcW w:w="1406" w:type="pct"/>
            <w:tcBorders>
              <w:tl2br w:val="nil"/>
              <w:tr2bl w:val="nil"/>
            </w:tcBorders>
            <w:shd w:val="clear" w:color="auto" w:fill="FFFFFF"/>
            <w:vAlign w:val="center"/>
          </w:tcPr>
          <w:p w14:paraId="30CCFC38">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实训</w:t>
            </w:r>
          </w:p>
        </w:tc>
        <w:tc>
          <w:tcPr>
            <w:tcW w:w="1081" w:type="pct"/>
            <w:tcBorders>
              <w:tl2br w:val="nil"/>
              <w:tr2bl w:val="nil"/>
            </w:tcBorders>
            <w:shd w:val="clear" w:color="auto" w:fill="FFFFFF"/>
            <w:noWrap/>
            <w:vAlign w:val="center"/>
          </w:tcPr>
          <w:p w14:paraId="3A686FC1">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7560.69</w:t>
            </w:r>
          </w:p>
        </w:tc>
      </w:tr>
      <w:tr w14:paraId="44640D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02120BB7">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1937" w:type="pct"/>
            <w:tcBorders>
              <w:tl2br w:val="nil"/>
              <w:tr2bl w:val="nil"/>
            </w:tcBorders>
            <w:vAlign w:val="center"/>
          </w:tcPr>
          <w:p w14:paraId="7D1CE621">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3号实训楼</w:t>
            </w:r>
          </w:p>
        </w:tc>
        <w:tc>
          <w:tcPr>
            <w:tcW w:w="1406" w:type="pct"/>
            <w:tcBorders>
              <w:tl2br w:val="nil"/>
              <w:tr2bl w:val="nil"/>
            </w:tcBorders>
            <w:shd w:val="clear" w:color="auto" w:fill="FFFFFF"/>
            <w:vAlign w:val="center"/>
          </w:tcPr>
          <w:p w14:paraId="6FA4E689">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实训</w:t>
            </w:r>
          </w:p>
        </w:tc>
        <w:tc>
          <w:tcPr>
            <w:tcW w:w="1081" w:type="pct"/>
            <w:tcBorders>
              <w:tl2br w:val="nil"/>
              <w:tr2bl w:val="nil"/>
            </w:tcBorders>
            <w:shd w:val="clear" w:color="auto" w:fill="FFFFFF"/>
            <w:noWrap/>
            <w:vAlign w:val="center"/>
          </w:tcPr>
          <w:p w14:paraId="42E943C4">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9948.3</w:t>
            </w:r>
          </w:p>
        </w:tc>
      </w:tr>
      <w:tr w14:paraId="017D07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67DDE350">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1937" w:type="pct"/>
            <w:tcBorders>
              <w:tl2br w:val="nil"/>
              <w:tr2bl w:val="nil"/>
            </w:tcBorders>
            <w:vAlign w:val="center"/>
          </w:tcPr>
          <w:p w14:paraId="75FC2E39">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4号实训楼</w:t>
            </w:r>
          </w:p>
        </w:tc>
        <w:tc>
          <w:tcPr>
            <w:tcW w:w="1406" w:type="pct"/>
            <w:tcBorders>
              <w:tl2br w:val="nil"/>
              <w:tr2bl w:val="nil"/>
            </w:tcBorders>
            <w:shd w:val="clear" w:color="auto" w:fill="FFFFFF"/>
            <w:vAlign w:val="center"/>
          </w:tcPr>
          <w:p w14:paraId="4F6D0E3D">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实训</w:t>
            </w:r>
          </w:p>
        </w:tc>
        <w:tc>
          <w:tcPr>
            <w:tcW w:w="1081" w:type="pct"/>
            <w:tcBorders>
              <w:tl2br w:val="nil"/>
              <w:tr2bl w:val="nil"/>
            </w:tcBorders>
            <w:shd w:val="clear" w:color="auto" w:fill="FFFFFF"/>
            <w:noWrap/>
            <w:vAlign w:val="center"/>
          </w:tcPr>
          <w:p w14:paraId="6347191C">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6715.99</w:t>
            </w:r>
          </w:p>
        </w:tc>
      </w:tr>
      <w:tr w14:paraId="777C45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71955B9E">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p>
        </w:tc>
        <w:tc>
          <w:tcPr>
            <w:tcW w:w="1937" w:type="pct"/>
            <w:tcBorders>
              <w:tl2br w:val="nil"/>
              <w:tr2bl w:val="nil"/>
            </w:tcBorders>
            <w:vAlign w:val="center"/>
          </w:tcPr>
          <w:p w14:paraId="23B77171">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5号实训楼</w:t>
            </w:r>
          </w:p>
        </w:tc>
        <w:tc>
          <w:tcPr>
            <w:tcW w:w="1406" w:type="pct"/>
            <w:tcBorders>
              <w:tl2br w:val="nil"/>
              <w:tr2bl w:val="nil"/>
            </w:tcBorders>
            <w:shd w:val="clear" w:color="auto" w:fill="FFFFFF"/>
            <w:vAlign w:val="center"/>
          </w:tcPr>
          <w:p w14:paraId="5B6F8AD0">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实训</w:t>
            </w:r>
          </w:p>
        </w:tc>
        <w:tc>
          <w:tcPr>
            <w:tcW w:w="1081" w:type="pct"/>
            <w:tcBorders>
              <w:tl2br w:val="nil"/>
              <w:tr2bl w:val="nil"/>
            </w:tcBorders>
            <w:shd w:val="clear" w:color="auto" w:fill="FFFFFF"/>
            <w:noWrap/>
            <w:vAlign w:val="center"/>
          </w:tcPr>
          <w:p w14:paraId="0A25A5B6">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6716.41</w:t>
            </w:r>
          </w:p>
        </w:tc>
      </w:tr>
      <w:tr w14:paraId="442A0E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41FAAA03">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w:t>
            </w:r>
          </w:p>
        </w:tc>
        <w:tc>
          <w:tcPr>
            <w:tcW w:w="1937" w:type="pct"/>
            <w:tcBorders>
              <w:tl2br w:val="nil"/>
              <w:tr2bl w:val="nil"/>
            </w:tcBorders>
            <w:vAlign w:val="center"/>
          </w:tcPr>
          <w:p w14:paraId="23E230DF">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6号实训楼</w:t>
            </w:r>
          </w:p>
        </w:tc>
        <w:tc>
          <w:tcPr>
            <w:tcW w:w="1406" w:type="pct"/>
            <w:tcBorders>
              <w:tl2br w:val="nil"/>
              <w:tr2bl w:val="nil"/>
            </w:tcBorders>
            <w:shd w:val="clear" w:color="auto" w:fill="FFFFFF"/>
            <w:vAlign w:val="center"/>
          </w:tcPr>
          <w:p w14:paraId="7946627F">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实训</w:t>
            </w:r>
          </w:p>
        </w:tc>
        <w:tc>
          <w:tcPr>
            <w:tcW w:w="1081" w:type="pct"/>
            <w:tcBorders>
              <w:tl2br w:val="nil"/>
              <w:tr2bl w:val="nil"/>
            </w:tcBorders>
            <w:shd w:val="clear" w:color="auto" w:fill="FFFFFF"/>
            <w:noWrap/>
            <w:vAlign w:val="center"/>
          </w:tcPr>
          <w:p w14:paraId="68F7844C">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6716.97</w:t>
            </w:r>
          </w:p>
        </w:tc>
      </w:tr>
      <w:tr w14:paraId="5FEBE8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4AFC6CB5">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c>
          <w:tcPr>
            <w:tcW w:w="1937" w:type="pct"/>
            <w:tcBorders>
              <w:tl2br w:val="nil"/>
              <w:tr2bl w:val="nil"/>
            </w:tcBorders>
            <w:vAlign w:val="center"/>
          </w:tcPr>
          <w:p w14:paraId="03F19ECF">
            <w:pPr>
              <w:widowControl/>
              <w:spacing w:line="36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rPr>
              <w:t>7号实训楼（</w:t>
            </w:r>
            <w:r>
              <w:rPr>
                <w:rFonts w:hint="eastAsia" w:ascii="宋体" w:hAnsi="宋体" w:eastAsia="宋体" w:cs="宋体"/>
                <w:color w:val="auto"/>
                <w:kern w:val="0"/>
                <w:sz w:val="21"/>
                <w:szCs w:val="21"/>
                <w:highlight w:val="none"/>
              </w:rPr>
              <w:t>铁路站房</w:t>
            </w:r>
            <w:r>
              <w:rPr>
                <w:rFonts w:hint="eastAsia" w:ascii="宋体" w:hAnsi="宋体" w:cs="宋体"/>
                <w:color w:val="auto"/>
                <w:kern w:val="0"/>
                <w:sz w:val="21"/>
                <w:szCs w:val="21"/>
                <w:highlight w:val="none"/>
                <w:lang w:eastAsia="zh-CN"/>
              </w:rPr>
              <w:t>）</w:t>
            </w:r>
          </w:p>
        </w:tc>
        <w:tc>
          <w:tcPr>
            <w:tcW w:w="1406" w:type="pct"/>
            <w:tcBorders>
              <w:tl2br w:val="nil"/>
              <w:tr2bl w:val="nil"/>
            </w:tcBorders>
            <w:shd w:val="clear" w:color="auto" w:fill="FFFFFF"/>
            <w:vAlign w:val="center"/>
          </w:tcPr>
          <w:p w14:paraId="0EA387EA">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实训</w:t>
            </w:r>
          </w:p>
        </w:tc>
        <w:tc>
          <w:tcPr>
            <w:tcW w:w="1081" w:type="pct"/>
            <w:tcBorders>
              <w:tl2br w:val="nil"/>
              <w:tr2bl w:val="nil"/>
            </w:tcBorders>
            <w:shd w:val="clear" w:color="auto" w:fill="FFFFFF"/>
            <w:noWrap/>
            <w:vAlign w:val="center"/>
          </w:tcPr>
          <w:p w14:paraId="01941662">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3512.61</w:t>
            </w:r>
          </w:p>
        </w:tc>
      </w:tr>
      <w:tr w14:paraId="322EA0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6951D6FC">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w:t>
            </w:r>
          </w:p>
        </w:tc>
        <w:tc>
          <w:tcPr>
            <w:tcW w:w="1937" w:type="pct"/>
            <w:tcBorders>
              <w:tl2br w:val="nil"/>
              <w:tr2bl w:val="nil"/>
            </w:tcBorders>
            <w:vAlign w:val="center"/>
          </w:tcPr>
          <w:p w14:paraId="3DD46BA8">
            <w:pPr>
              <w:widowControl/>
              <w:spacing w:line="36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eastAsia="zh-CN"/>
              </w:rPr>
              <w:t>培训楼</w:t>
            </w:r>
          </w:p>
        </w:tc>
        <w:tc>
          <w:tcPr>
            <w:tcW w:w="1406" w:type="pct"/>
            <w:tcBorders>
              <w:tl2br w:val="nil"/>
              <w:tr2bl w:val="nil"/>
            </w:tcBorders>
            <w:shd w:val="clear" w:color="auto" w:fill="FFFFFF"/>
            <w:vAlign w:val="center"/>
          </w:tcPr>
          <w:p w14:paraId="4FBC1EEA">
            <w:pPr>
              <w:widowControl/>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住宿</w:t>
            </w:r>
            <w:r>
              <w:rPr>
                <w:rFonts w:hint="eastAsia" w:ascii="宋体" w:hAnsi="宋体" w:cs="宋体"/>
                <w:color w:val="auto"/>
                <w:kern w:val="0"/>
                <w:sz w:val="21"/>
                <w:szCs w:val="21"/>
                <w:highlight w:val="none"/>
                <w:lang w:val="en-US" w:eastAsia="zh-CN"/>
              </w:rPr>
              <w:t>/教学</w:t>
            </w:r>
          </w:p>
        </w:tc>
        <w:tc>
          <w:tcPr>
            <w:tcW w:w="1081" w:type="pct"/>
            <w:tcBorders>
              <w:tl2br w:val="nil"/>
              <w:tr2bl w:val="nil"/>
            </w:tcBorders>
            <w:shd w:val="clear" w:color="auto" w:fill="FFFFFF"/>
            <w:noWrap/>
            <w:vAlign w:val="center"/>
          </w:tcPr>
          <w:p w14:paraId="3298D529">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14089.77</w:t>
            </w:r>
          </w:p>
        </w:tc>
      </w:tr>
      <w:tr w14:paraId="05DA4A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65D8E6F2">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p>
        </w:tc>
        <w:tc>
          <w:tcPr>
            <w:tcW w:w="1937" w:type="pct"/>
            <w:tcBorders>
              <w:tl2br w:val="nil"/>
              <w:tr2bl w:val="nil"/>
            </w:tcBorders>
            <w:vAlign w:val="center"/>
          </w:tcPr>
          <w:p w14:paraId="701E7377">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教学楼</w:t>
            </w:r>
          </w:p>
        </w:tc>
        <w:tc>
          <w:tcPr>
            <w:tcW w:w="1406" w:type="pct"/>
            <w:tcBorders>
              <w:tl2br w:val="nil"/>
              <w:tr2bl w:val="nil"/>
            </w:tcBorders>
            <w:shd w:val="clear" w:color="auto" w:fill="FFFFFF"/>
            <w:vAlign w:val="center"/>
          </w:tcPr>
          <w:p w14:paraId="68106E48">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教学</w:t>
            </w:r>
          </w:p>
        </w:tc>
        <w:tc>
          <w:tcPr>
            <w:tcW w:w="1081" w:type="pct"/>
            <w:tcBorders>
              <w:tl2br w:val="nil"/>
              <w:tr2bl w:val="nil"/>
            </w:tcBorders>
            <w:shd w:val="clear" w:color="auto" w:fill="FFFFFF"/>
            <w:noWrap/>
            <w:vAlign w:val="center"/>
          </w:tcPr>
          <w:p w14:paraId="4B975E21">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23342.36</w:t>
            </w:r>
          </w:p>
        </w:tc>
      </w:tr>
      <w:tr w14:paraId="13A829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1C06D2AD">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w:t>
            </w:r>
          </w:p>
        </w:tc>
        <w:tc>
          <w:tcPr>
            <w:tcW w:w="1937" w:type="pct"/>
            <w:tcBorders>
              <w:tl2br w:val="nil"/>
              <w:tr2bl w:val="nil"/>
            </w:tcBorders>
            <w:vAlign w:val="center"/>
          </w:tcPr>
          <w:p w14:paraId="6D65D607">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图书馆</w:t>
            </w:r>
          </w:p>
        </w:tc>
        <w:tc>
          <w:tcPr>
            <w:tcW w:w="1406" w:type="pct"/>
            <w:tcBorders>
              <w:tl2br w:val="nil"/>
              <w:tr2bl w:val="nil"/>
            </w:tcBorders>
            <w:shd w:val="clear" w:color="auto" w:fill="FFFFFF"/>
            <w:vAlign w:val="center"/>
          </w:tcPr>
          <w:p w14:paraId="59960AD5">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教学辅助</w:t>
            </w:r>
          </w:p>
        </w:tc>
        <w:tc>
          <w:tcPr>
            <w:tcW w:w="1081" w:type="pct"/>
            <w:tcBorders>
              <w:tl2br w:val="nil"/>
              <w:tr2bl w:val="nil"/>
            </w:tcBorders>
            <w:shd w:val="clear" w:color="auto" w:fill="FFFFFF"/>
            <w:noWrap/>
            <w:vAlign w:val="center"/>
          </w:tcPr>
          <w:p w14:paraId="5B9B89FD">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13040.68</w:t>
            </w:r>
          </w:p>
        </w:tc>
      </w:tr>
      <w:tr w14:paraId="6E6EE2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6FECA1A2">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w:t>
            </w:r>
          </w:p>
        </w:tc>
        <w:tc>
          <w:tcPr>
            <w:tcW w:w="1937" w:type="pct"/>
            <w:tcBorders>
              <w:tl2br w:val="nil"/>
              <w:tr2bl w:val="nil"/>
            </w:tcBorders>
            <w:vAlign w:val="center"/>
          </w:tcPr>
          <w:p w14:paraId="2DAA964D">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体育场看台</w:t>
            </w:r>
          </w:p>
        </w:tc>
        <w:tc>
          <w:tcPr>
            <w:tcW w:w="1406" w:type="pct"/>
            <w:tcBorders>
              <w:tl2br w:val="nil"/>
              <w:tr2bl w:val="nil"/>
            </w:tcBorders>
            <w:shd w:val="clear" w:color="auto" w:fill="FFFFFF"/>
            <w:vAlign w:val="center"/>
          </w:tcPr>
          <w:p w14:paraId="5010E4B0">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体育</w:t>
            </w:r>
          </w:p>
        </w:tc>
        <w:tc>
          <w:tcPr>
            <w:tcW w:w="1081" w:type="pct"/>
            <w:tcBorders>
              <w:tl2br w:val="nil"/>
              <w:tr2bl w:val="nil"/>
            </w:tcBorders>
            <w:shd w:val="clear" w:color="auto" w:fill="FFFFFF"/>
            <w:noWrap/>
            <w:vAlign w:val="center"/>
          </w:tcPr>
          <w:p w14:paraId="292924B2">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4185.85</w:t>
            </w:r>
          </w:p>
        </w:tc>
      </w:tr>
      <w:tr w14:paraId="7F5F64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5C59787E">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w:t>
            </w:r>
          </w:p>
        </w:tc>
        <w:tc>
          <w:tcPr>
            <w:tcW w:w="1937" w:type="pct"/>
            <w:tcBorders>
              <w:tl2br w:val="nil"/>
              <w:tr2bl w:val="nil"/>
            </w:tcBorders>
            <w:vAlign w:val="center"/>
          </w:tcPr>
          <w:p w14:paraId="3C945015">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行政科研楼</w:t>
            </w:r>
          </w:p>
        </w:tc>
        <w:tc>
          <w:tcPr>
            <w:tcW w:w="1406" w:type="pct"/>
            <w:tcBorders>
              <w:tl2br w:val="nil"/>
              <w:tr2bl w:val="nil"/>
            </w:tcBorders>
            <w:shd w:val="clear" w:color="auto" w:fill="FFFFFF"/>
            <w:vAlign w:val="center"/>
          </w:tcPr>
          <w:p w14:paraId="29A017E2">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办公</w:t>
            </w:r>
          </w:p>
        </w:tc>
        <w:tc>
          <w:tcPr>
            <w:tcW w:w="1081" w:type="pct"/>
            <w:tcBorders>
              <w:tl2br w:val="nil"/>
              <w:tr2bl w:val="nil"/>
            </w:tcBorders>
            <w:shd w:val="clear" w:color="auto" w:fill="FFFFFF"/>
            <w:noWrap/>
            <w:vAlign w:val="center"/>
          </w:tcPr>
          <w:p w14:paraId="7084F795">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12964.07</w:t>
            </w:r>
          </w:p>
        </w:tc>
      </w:tr>
      <w:tr w14:paraId="3E3DCB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2060423D">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14</w:t>
            </w:r>
          </w:p>
        </w:tc>
        <w:tc>
          <w:tcPr>
            <w:tcW w:w="1937" w:type="pct"/>
            <w:tcBorders>
              <w:tl2br w:val="nil"/>
              <w:tr2bl w:val="nil"/>
            </w:tcBorders>
            <w:vAlign w:val="center"/>
          </w:tcPr>
          <w:p w14:paraId="43E07CDF">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学生活动中心</w:t>
            </w:r>
          </w:p>
        </w:tc>
        <w:tc>
          <w:tcPr>
            <w:tcW w:w="1406" w:type="pct"/>
            <w:tcBorders>
              <w:tl2br w:val="nil"/>
              <w:tr2bl w:val="nil"/>
            </w:tcBorders>
            <w:shd w:val="clear" w:color="auto" w:fill="FFFFFF"/>
            <w:vAlign w:val="center"/>
          </w:tcPr>
          <w:p w14:paraId="5EEE12C4">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学生活动</w:t>
            </w:r>
          </w:p>
        </w:tc>
        <w:tc>
          <w:tcPr>
            <w:tcW w:w="1081" w:type="pct"/>
            <w:tcBorders>
              <w:tl2br w:val="nil"/>
              <w:tr2bl w:val="nil"/>
            </w:tcBorders>
            <w:shd w:val="clear" w:color="auto" w:fill="FFFFFF"/>
            <w:noWrap/>
            <w:vAlign w:val="center"/>
          </w:tcPr>
          <w:p w14:paraId="3822B422">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3128.22</w:t>
            </w:r>
          </w:p>
        </w:tc>
      </w:tr>
      <w:tr w14:paraId="3AC48B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46A03C60">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w:t>
            </w:r>
          </w:p>
        </w:tc>
        <w:tc>
          <w:tcPr>
            <w:tcW w:w="1937" w:type="pct"/>
            <w:tcBorders>
              <w:tl2br w:val="nil"/>
              <w:tr2bl w:val="nil"/>
            </w:tcBorders>
            <w:vAlign w:val="center"/>
          </w:tcPr>
          <w:p w14:paraId="17BA5F9D">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1号学生宿舍</w:t>
            </w:r>
          </w:p>
        </w:tc>
        <w:tc>
          <w:tcPr>
            <w:tcW w:w="1406" w:type="pct"/>
            <w:tcBorders>
              <w:tl2br w:val="nil"/>
              <w:tr2bl w:val="nil"/>
            </w:tcBorders>
            <w:shd w:val="clear" w:color="auto" w:fill="FFFFFF"/>
            <w:vAlign w:val="center"/>
          </w:tcPr>
          <w:p w14:paraId="4EE90607">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住宿</w:t>
            </w:r>
          </w:p>
        </w:tc>
        <w:tc>
          <w:tcPr>
            <w:tcW w:w="1081" w:type="pct"/>
            <w:tcBorders>
              <w:tl2br w:val="nil"/>
              <w:tr2bl w:val="nil"/>
            </w:tcBorders>
            <w:shd w:val="clear" w:color="auto" w:fill="FFFFFF"/>
            <w:noWrap/>
            <w:vAlign w:val="center"/>
          </w:tcPr>
          <w:p w14:paraId="5544F0A9">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12141.39</w:t>
            </w:r>
          </w:p>
        </w:tc>
      </w:tr>
      <w:tr w14:paraId="1906C3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6AC56F24">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16</w:t>
            </w:r>
          </w:p>
        </w:tc>
        <w:tc>
          <w:tcPr>
            <w:tcW w:w="1937" w:type="pct"/>
            <w:tcBorders>
              <w:tl2br w:val="nil"/>
              <w:tr2bl w:val="nil"/>
            </w:tcBorders>
            <w:vAlign w:val="center"/>
          </w:tcPr>
          <w:p w14:paraId="1ED01542">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2号学生宿舍</w:t>
            </w:r>
          </w:p>
        </w:tc>
        <w:tc>
          <w:tcPr>
            <w:tcW w:w="1406" w:type="pct"/>
            <w:tcBorders>
              <w:tl2br w:val="nil"/>
              <w:tr2bl w:val="nil"/>
            </w:tcBorders>
            <w:shd w:val="clear" w:color="auto" w:fill="FFFFFF"/>
            <w:vAlign w:val="center"/>
          </w:tcPr>
          <w:p w14:paraId="4A0D5DCC">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住宿</w:t>
            </w:r>
          </w:p>
        </w:tc>
        <w:tc>
          <w:tcPr>
            <w:tcW w:w="1081" w:type="pct"/>
            <w:tcBorders>
              <w:tl2br w:val="nil"/>
              <w:tr2bl w:val="nil"/>
            </w:tcBorders>
            <w:shd w:val="clear" w:color="auto" w:fill="FFFFFF"/>
            <w:noWrap/>
            <w:vAlign w:val="center"/>
          </w:tcPr>
          <w:p w14:paraId="6F7AD9EF">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17446.44</w:t>
            </w:r>
          </w:p>
        </w:tc>
      </w:tr>
      <w:tr w14:paraId="7C0C8D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423554AC">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17</w:t>
            </w:r>
          </w:p>
        </w:tc>
        <w:tc>
          <w:tcPr>
            <w:tcW w:w="1937" w:type="pct"/>
            <w:tcBorders>
              <w:tl2br w:val="nil"/>
              <w:tr2bl w:val="nil"/>
            </w:tcBorders>
            <w:vAlign w:val="center"/>
          </w:tcPr>
          <w:p w14:paraId="234CD223">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3号学生宿舍</w:t>
            </w:r>
          </w:p>
        </w:tc>
        <w:tc>
          <w:tcPr>
            <w:tcW w:w="1406" w:type="pct"/>
            <w:tcBorders>
              <w:tl2br w:val="nil"/>
              <w:tr2bl w:val="nil"/>
            </w:tcBorders>
            <w:shd w:val="clear" w:color="auto" w:fill="FFFFFF"/>
            <w:vAlign w:val="center"/>
          </w:tcPr>
          <w:p w14:paraId="5E3F7C4E">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住宿</w:t>
            </w:r>
          </w:p>
        </w:tc>
        <w:tc>
          <w:tcPr>
            <w:tcW w:w="1081" w:type="pct"/>
            <w:tcBorders>
              <w:tl2br w:val="nil"/>
              <w:tr2bl w:val="nil"/>
            </w:tcBorders>
            <w:shd w:val="clear" w:color="auto" w:fill="FFFFFF"/>
            <w:noWrap/>
            <w:vAlign w:val="center"/>
          </w:tcPr>
          <w:p w14:paraId="12B8B16E">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12141.39</w:t>
            </w:r>
          </w:p>
        </w:tc>
      </w:tr>
      <w:tr w14:paraId="4DACB6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748E5773">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18</w:t>
            </w:r>
          </w:p>
        </w:tc>
        <w:tc>
          <w:tcPr>
            <w:tcW w:w="1937" w:type="pct"/>
            <w:tcBorders>
              <w:tl2br w:val="nil"/>
              <w:tr2bl w:val="nil"/>
            </w:tcBorders>
            <w:vAlign w:val="center"/>
          </w:tcPr>
          <w:p w14:paraId="1447CF97">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4号学生宿舍</w:t>
            </w:r>
          </w:p>
        </w:tc>
        <w:tc>
          <w:tcPr>
            <w:tcW w:w="1406" w:type="pct"/>
            <w:tcBorders>
              <w:tl2br w:val="nil"/>
              <w:tr2bl w:val="nil"/>
            </w:tcBorders>
            <w:shd w:val="clear" w:color="auto" w:fill="FFFFFF"/>
            <w:vAlign w:val="center"/>
          </w:tcPr>
          <w:p w14:paraId="07D72832">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住宿</w:t>
            </w:r>
          </w:p>
        </w:tc>
        <w:tc>
          <w:tcPr>
            <w:tcW w:w="1081" w:type="pct"/>
            <w:tcBorders>
              <w:tl2br w:val="nil"/>
              <w:tr2bl w:val="nil"/>
            </w:tcBorders>
            <w:shd w:val="clear" w:color="auto" w:fill="FFFFFF"/>
            <w:noWrap/>
            <w:vAlign w:val="center"/>
          </w:tcPr>
          <w:p w14:paraId="79040CFF">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12141.39</w:t>
            </w:r>
          </w:p>
        </w:tc>
      </w:tr>
      <w:tr w14:paraId="03B3D1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1171F673">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p>
        </w:tc>
        <w:tc>
          <w:tcPr>
            <w:tcW w:w="1937" w:type="pct"/>
            <w:tcBorders>
              <w:tl2br w:val="nil"/>
              <w:tr2bl w:val="nil"/>
            </w:tcBorders>
            <w:vAlign w:val="center"/>
          </w:tcPr>
          <w:p w14:paraId="678DA03F">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5号学生公寓</w:t>
            </w:r>
          </w:p>
        </w:tc>
        <w:tc>
          <w:tcPr>
            <w:tcW w:w="1406" w:type="pct"/>
            <w:tcBorders>
              <w:tl2br w:val="nil"/>
              <w:tr2bl w:val="nil"/>
            </w:tcBorders>
            <w:shd w:val="clear" w:color="auto" w:fill="FFFFFF"/>
            <w:vAlign w:val="center"/>
          </w:tcPr>
          <w:p w14:paraId="774F12A7">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住宿</w:t>
            </w:r>
          </w:p>
        </w:tc>
        <w:tc>
          <w:tcPr>
            <w:tcW w:w="1081" w:type="pct"/>
            <w:tcBorders>
              <w:tl2br w:val="nil"/>
              <w:tr2bl w:val="nil"/>
            </w:tcBorders>
            <w:shd w:val="clear" w:color="auto" w:fill="FFFFFF"/>
            <w:noWrap/>
            <w:vAlign w:val="center"/>
          </w:tcPr>
          <w:p w14:paraId="0C92EB13">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10878.75</w:t>
            </w:r>
          </w:p>
        </w:tc>
      </w:tr>
      <w:tr w14:paraId="7C34B4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6359B1AA">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w:t>
            </w:r>
          </w:p>
        </w:tc>
        <w:tc>
          <w:tcPr>
            <w:tcW w:w="1937" w:type="pct"/>
            <w:tcBorders>
              <w:tl2br w:val="nil"/>
              <w:tr2bl w:val="nil"/>
            </w:tcBorders>
            <w:vAlign w:val="center"/>
          </w:tcPr>
          <w:p w14:paraId="64C2CAB6">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6号学生公寓</w:t>
            </w:r>
          </w:p>
        </w:tc>
        <w:tc>
          <w:tcPr>
            <w:tcW w:w="1406" w:type="pct"/>
            <w:tcBorders>
              <w:tl2br w:val="nil"/>
              <w:tr2bl w:val="nil"/>
            </w:tcBorders>
            <w:shd w:val="clear" w:color="auto" w:fill="FFFFFF"/>
            <w:vAlign w:val="center"/>
          </w:tcPr>
          <w:p w14:paraId="3AA707AD">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住宿</w:t>
            </w:r>
          </w:p>
        </w:tc>
        <w:tc>
          <w:tcPr>
            <w:tcW w:w="1081" w:type="pct"/>
            <w:tcBorders>
              <w:tl2br w:val="nil"/>
              <w:tr2bl w:val="nil"/>
            </w:tcBorders>
            <w:shd w:val="clear" w:color="auto" w:fill="FFFFFF"/>
            <w:noWrap/>
            <w:vAlign w:val="center"/>
          </w:tcPr>
          <w:p w14:paraId="7A24601E">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16176.58</w:t>
            </w:r>
          </w:p>
        </w:tc>
      </w:tr>
      <w:tr w14:paraId="214B25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574" w:type="pct"/>
            <w:tcBorders>
              <w:tl2br w:val="nil"/>
              <w:tr2bl w:val="nil"/>
            </w:tcBorders>
            <w:vAlign w:val="center"/>
          </w:tcPr>
          <w:p w14:paraId="018D988A">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21</w:t>
            </w:r>
          </w:p>
        </w:tc>
        <w:tc>
          <w:tcPr>
            <w:tcW w:w="1937" w:type="pct"/>
            <w:tcBorders>
              <w:tl2br w:val="nil"/>
              <w:tr2bl w:val="nil"/>
            </w:tcBorders>
            <w:vAlign w:val="center"/>
          </w:tcPr>
          <w:p w14:paraId="1C6064DC">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学生食堂</w:t>
            </w:r>
          </w:p>
        </w:tc>
        <w:tc>
          <w:tcPr>
            <w:tcW w:w="1406" w:type="pct"/>
            <w:tcBorders>
              <w:tl2br w:val="nil"/>
              <w:tr2bl w:val="nil"/>
            </w:tcBorders>
            <w:shd w:val="clear" w:color="auto" w:fill="FFFFFF"/>
            <w:vAlign w:val="center"/>
          </w:tcPr>
          <w:p w14:paraId="5CA58F37">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生活服务</w:t>
            </w:r>
          </w:p>
        </w:tc>
        <w:tc>
          <w:tcPr>
            <w:tcW w:w="1081" w:type="pct"/>
            <w:tcBorders>
              <w:tl2br w:val="nil"/>
              <w:tr2bl w:val="nil"/>
            </w:tcBorders>
            <w:shd w:val="clear" w:color="auto" w:fill="FFFFFF"/>
            <w:noWrap/>
            <w:vAlign w:val="center"/>
          </w:tcPr>
          <w:p w14:paraId="64D1B6BB">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9995.67</w:t>
            </w:r>
          </w:p>
        </w:tc>
      </w:tr>
      <w:tr w14:paraId="63DA12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25376E99">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22</w:t>
            </w:r>
          </w:p>
        </w:tc>
        <w:tc>
          <w:tcPr>
            <w:tcW w:w="1937" w:type="pct"/>
            <w:tcBorders>
              <w:tl2br w:val="nil"/>
              <w:tr2bl w:val="nil"/>
            </w:tcBorders>
            <w:vAlign w:val="center"/>
          </w:tcPr>
          <w:p w14:paraId="017E9114">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行政科研楼地下车库</w:t>
            </w:r>
          </w:p>
        </w:tc>
        <w:tc>
          <w:tcPr>
            <w:tcW w:w="1406" w:type="pct"/>
            <w:tcBorders>
              <w:tl2br w:val="nil"/>
              <w:tr2bl w:val="nil"/>
            </w:tcBorders>
            <w:vAlign w:val="center"/>
          </w:tcPr>
          <w:p w14:paraId="643ABA42">
            <w:pPr>
              <w:spacing w:line="360" w:lineRule="auto"/>
              <w:jc w:val="center"/>
              <w:rPr>
                <w:rFonts w:hint="eastAsia" w:ascii="宋体" w:hAnsi="宋体" w:eastAsia="宋体" w:cs="宋体"/>
                <w:color w:val="auto"/>
                <w:sz w:val="21"/>
                <w:szCs w:val="21"/>
                <w:highlight w:val="none"/>
              </w:rPr>
            </w:pPr>
          </w:p>
        </w:tc>
        <w:tc>
          <w:tcPr>
            <w:tcW w:w="1081" w:type="pct"/>
            <w:tcBorders>
              <w:tl2br w:val="nil"/>
              <w:tr2bl w:val="nil"/>
            </w:tcBorders>
            <w:shd w:val="clear" w:color="auto" w:fill="FFFFFF"/>
            <w:noWrap/>
            <w:vAlign w:val="center"/>
          </w:tcPr>
          <w:p w14:paraId="59A08B31">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2057.54</w:t>
            </w:r>
          </w:p>
        </w:tc>
      </w:tr>
      <w:tr w14:paraId="6DA699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74" w:type="pct"/>
            <w:tcBorders>
              <w:tl2br w:val="nil"/>
              <w:tr2bl w:val="nil"/>
            </w:tcBorders>
            <w:vAlign w:val="center"/>
          </w:tcPr>
          <w:p w14:paraId="690EAF61">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23</w:t>
            </w:r>
          </w:p>
        </w:tc>
        <w:tc>
          <w:tcPr>
            <w:tcW w:w="1937" w:type="pct"/>
            <w:tcBorders>
              <w:tl2br w:val="nil"/>
              <w:tr2bl w:val="nil"/>
            </w:tcBorders>
            <w:vAlign w:val="center"/>
          </w:tcPr>
          <w:p w14:paraId="453BF2F8">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eastAsia="zh-CN"/>
              </w:rPr>
              <w:t>培训楼</w:t>
            </w:r>
            <w:r>
              <w:rPr>
                <w:rFonts w:hint="eastAsia" w:ascii="宋体" w:hAnsi="宋体" w:eastAsia="宋体" w:cs="宋体"/>
                <w:color w:val="auto"/>
                <w:kern w:val="0"/>
                <w:sz w:val="21"/>
                <w:szCs w:val="21"/>
                <w:highlight w:val="none"/>
              </w:rPr>
              <w:t>地下车库</w:t>
            </w:r>
          </w:p>
        </w:tc>
        <w:tc>
          <w:tcPr>
            <w:tcW w:w="1406" w:type="pct"/>
            <w:tcBorders>
              <w:tl2br w:val="nil"/>
              <w:tr2bl w:val="nil"/>
            </w:tcBorders>
            <w:vAlign w:val="center"/>
          </w:tcPr>
          <w:p w14:paraId="672E3FFA">
            <w:pPr>
              <w:spacing w:line="360" w:lineRule="auto"/>
              <w:jc w:val="center"/>
              <w:rPr>
                <w:rFonts w:hint="eastAsia" w:ascii="宋体" w:hAnsi="宋体" w:eastAsia="宋体" w:cs="宋体"/>
                <w:color w:val="auto"/>
                <w:sz w:val="21"/>
                <w:szCs w:val="21"/>
                <w:highlight w:val="none"/>
              </w:rPr>
            </w:pPr>
          </w:p>
        </w:tc>
        <w:tc>
          <w:tcPr>
            <w:tcW w:w="1081" w:type="pct"/>
            <w:tcBorders>
              <w:tl2br w:val="nil"/>
              <w:tr2bl w:val="nil"/>
            </w:tcBorders>
            <w:shd w:val="clear" w:color="auto" w:fill="FFFFFF"/>
            <w:noWrap/>
            <w:vAlign w:val="center"/>
          </w:tcPr>
          <w:p w14:paraId="0D255C9D">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4270.59</w:t>
            </w:r>
          </w:p>
        </w:tc>
      </w:tr>
      <w:tr w14:paraId="0F8679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4" w:hRule="atLeast"/>
          <w:jc w:val="center"/>
        </w:trPr>
        <w:tc>
          <w:tcPr>
            <w:tcW w:w="574" w:type="pct"/>
            <w:tcBorders>
              <w:tl2br w:val="nil"/>
              <w:tr2bl w:val="nil"/>
            </w:tcBorders>
            <w:vAlign w:val="center"/>
          </w:tcPr>
          <w:p w14:paraId="45CA544C">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24</w:t>
            </w:r>
          </w:p>
        </w:tc>
        <w:tc>
          <w:tcPr>
            <w:tcW w:w="1937" w:type="pct"/>
            <w:tcBorders>
              <w:tl2br w:val="nil"/>
              <w:tr2bl w:val="nil"/>
            </w:tcBorders>
            <w:vAlign w:val="center"/>
          </w:tcPr>
          <w:p w14:paraId="3F20DE75">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号实训楼地下车库</w:t>
            </w:r>
          </w:p>
        </w:tc>
        <w:tc>
          <w:tcPr>
            <w:tcW w:w="1406" w:type="pct"/>
            <w:tcBorders>
              <w:tl2br w:val="nil"/>
              <w:tr2bl w:val="nil"/>
            </w:tcBorders>
            <w:vAlign w:val="center"/>
          </w:tcPr>
          <w:p w14:paraId="7C50CC8C">
            <w:pPr>
              <w:spacing w:line="360" w:lineRule="auto"/>
              <w:jc w:val="center"/>
              <w:rPr>
                <w:rFonts w:hint="eastAsia" w:ascii="宋体" w:hAnsi="宋体" w:eastAsia="宋体" w:cs="宋体"/>
                <w:color w:val="auto"/>
                <w:sz w:val="21"/>
                <w:szCs w:val="21"/>
                <w:highlight w:val="none"/>
              </w:rPr>
            </w:pPr>
          </w:p>
        </w:tc>
        <w:tc>
          <w:tcPr>
            <w:tcW w:w="1081" w:type="pct"/>
            <w:tcBorders>
              <w:tl2br w:val="nil"/>
              <w:tr2bl w:val="nil"/>
            </w:tcBorders>
            <w:shd w:val="clear" w:color="auto" w:fill="FFFFFF"/>
            <w:noWrap/>
            <w:vAlign w:val="center"/>
          </w:tcPr>
          <w:p w14:paraId="63735D22">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6147.18</w:t>
            </w:r>
          </w:p>
        </w:tc>
      </w:tr>
    </w:tbl>
    <w:p w14:paraId="79D6DDDB">
      <w:pPr>
        <w:pStyle w:val="138"/>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二、服务范围</w:t>
      </w:r>
    </w:p>
    <w:p w14:paraId="7CEE45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cs="宋体"/>
          <w:color w:val="auto"/>
          <w:sz w:val="21"/>
          <w:szCs w:val="21"/>
          <w:highlight w:val="none"/>
          <w:lang w:eastAsia="zh-CN"/>
        </w:rPr>
        <w:t>本项目物业</w:t>
      </w:r>
      <w:r>
        <w:rPr>
          <w:rFonts w:hint="eastAsia" w:ascii="宋体" w:hAnsi="宋体" w:eastAsia="宋体" w:cs="宋体"/>
          <w:color w:val="auto"/>
          <w:sz w:val="21"/>
          <w:szCs w:val="21"/>
          <w:highlight w:val="none"/>
        </w:rPr>
        <w:t>管理服务</w:t>
      </w:r>
      <w:r>
        <w:rPr>
          <w:rFonts w:hint="eastAsia" w:ascii="宋体" w:hAnsi="宋体" w:cs="宋体"/>
          <w:color w:val="auto"/>
          <w:sz w:val="21"/>
          <w:szCs w:val="21"/>
          <w:highlight w:val="none"/>
          <w:lang w:eastAsia="zh-CN"/>
        </w:rPr>
        <w:t>主要</w:t>
      </w:r>
      <w:r>
        <w:rPr>
          <w:rFonts w:hint="eastAsia" w:ascii="宋体" w:hAnsi="宋体" w:eastAsia="宋体" w:cs="宋体"/>
          <w:color w:val="auto"/>
          <w:sz w:val="21"/>
          <w:szCs w:val="21"/>
          <w:highlight w:val="none"/>
        </w:rPr>
        <w:t>内容包括卫生清洁服务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安保服务（含楼栋值班）</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会务接待</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水、电、木日常维护维修</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电梯日常维护保养维修及中央空调日常维护保养运行等服务。</w:t>
      </w:r>
      <w:r>
        <w:rPr>
          <w:rFonts w:hint="eastAsia" w:ascii="宋体" w:hAnsi="宋体" w:cs="宋体"/>
          <w:color w:val="auto"/>
          <w:sz w:val="21"/>
          <w:szCs w:val="21"/>
          <w:highlight w:val="none"/>
          <w:lang w:eastAsia="zh-CN"/>
        </w:rPr>
        <w:t>内容如下：</w:t>
      </w:r>
    </w:p>
    <w:p w14:paraId="6B39C3A2">
      <w:pPr>
        <w:pStyle w:val="138"/>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（一）卫生保洁责任范围（以校园红线为界）</w:t>
      </w:r>
    </w:p>
    <w:p w14:paraId="6EC4D2CF">
      <w:pPr>
        <w:pStyle w:val="138"/>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1、</w:t>
      </w:r>
      <w:r>
        <w:rPr>
          <w:rFonts w:hint="eastAsia" w:ascii="宋体" w:hAnsi="宋体" w:eastAsia="宋体" w:cs="宋体"/>
          <w:color w:val="auto"/>
          <w:sz w:val="21"/>
          <w:szCs w:val="21"/>
          <w:highlight w:val="none"/>
        </w:rPr>
        <w:t>所有建筑物公共区（走廊、墙裙、天棚、楼道、厕所、休息平台、上人屋面、电梯间），教学楼，图书馆公共阅览室及公共空间、室内体育馆、看台，室外体育场看台，室</w:t>
      </w:r>
      <w:r>
        <w:rPr>
          <w:rFonts w:hint="eastAsia" w:ascii="宋体" w:hAnsi="宋体" w:eastAsia="宋体" w:cs="宋体"/>
          <w:color w:val="auto"/>
          <w:sz w:val="21"/>
          <w:szCs w:val="21"/>
          <w:highlight w:val="none"/>
          <w:lang w:eastAsia="zh-CN"/>
        </w:rPr>
        <w:t>外</w:t>
      </w:r>
      <w:r>
        <w:rPr>
          <w:rFonts w:hint="eastAsia" w:ascii="宋体" w:hAnsi="宋体" w:eastAsia="宋体" w:cs="宋体"/>
          <w:color w:val="auto"/>
          <w:sz w:val="21"/>
          <w:szCs w:val="21"/>
          <w:highlight w:val="none"/>
        </w:rPr>
        <w:t>停车场、</w:t>
      </w:r>
      <w:r>
        <w:rPr>
          <w:rFonts w:hint="eastAsia" w:ascii="宋体" w:hAnsi="宋体" w:eastAsia="宋体" w:cs="宋体"/>
          <w:color w:val="auto"/>
          <w:sz w:val="21"/>
          <w:szCs w:val="21"/>
          <w:highlight w:val="none"/>
          <w:lang w:eastAsia="zh-CN"/>
        </w:rPr>
        <w:t>地下停车场、</w:t>
      </w:r>
      <w:r>
        <w:rPr>
          <w:rFonts w:hint="eastAsia" w:ascii="宋体" w:hAnsi="宋体" w:eastAsia="宋体" w:cs="宋体"/>
          <w:color w:val="auto"/>
          <w:sz w:val="21"/>
          <w:szCs w:val="21"/>
          <w:highlight w:val="none"/>
        </w:rPr>
        <w:t>所有校门（传达室），所有公共厕所（学生进行劳动实践的时间和区域除外）。</w:t>
      </w:r>
    </w:p>
    <w:p w14:paraId="17D73F70">
      <w:pPr>
        <w:pStyle w:val="138"/>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2、</w:t>
      </w:r>
      <w:r>
        <w:rPr>
          <w:rFonts w:hint="eastAsia" w:ascii="宋体" w:hAnsi="宋体" w:eastAsia="宋体" w:cs="宋体"/>
          <w:color w:val="auto"/>
          <w:sz w:val="21"/>
          <w:szCs w:val="21"/>
          <w:highlight w:val="none"/>
        </w:rPr>
        <w:t>离地面高度六米以内的所有建筑物外墙保洁，包括此范围内的玻璃幕墙、门窗清洁，外墙无乱贴乱画（学生进行劳动实践的时间和区域除外）。</w:t>
      </w:r>
    </w:p>
    <w:p w14:paraId="304DD1AF">
      <w:pPr>
        <w:pStyle w:val="138"/>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3、</w:t>
      </w:r>
      <w:r>
        <w:rPr>
          <w:rFonts w:hint="eastAsia" w:ascii="宋体" w:hAnsi="宋体" w:eastAsia="宋体" w:cs="宋体"/>
          <w:color w:val="auto"/>
          <w:sz w:val="21"/>
          <w:szCs w:val="21"/>
          <w:highlight w:val="none"/>
        </w:rPr>
        <w:t>校区内所有公共区及建筑物内庭院，公共活动区包含但不限于</w:t>
      </w:r>
      <w:r>
        <w:rPr>
          <w:rFonts w:hint="eastAsia" w:ascii="宋体" w:hAnsi="宋体" w:cs="宋体"/>
          <w:color w:val="auto"/>
          <w:sz w:val="21"/>
          <w:szCs w:val="21"/>
          <w:highlight w:val="none"/>
          <w:lang w:eastAsia="zh-CN"/>
        </w:rPr>
        <w:t>以</w:t>
      </w:r>
      <w:r>
        <w:rPr>
          <w:rFonts w:hint="eastAsia" w:ascii="宋体" w:hAnsi="宋体" w:eastAsia="宋体" w:cs="宋体"/>
          <w:color w:val="auto"/>
          <w:sz w:val="21"/>
          <w:szCs w:val="21"/>
          <w:highlight w:val="none"/>
        </w:rPr>
        <w:t>下地点：室外铁路轨道交通实训基地、建筑物周边及排水沟、室外运动场地、道路广场（含校前广场）、停车场、园林绿化区、水体等（学生进行卫生劳动实践的时间和区域除外）。</w:t>
      </w:r>
    </w:p>
    <w:p w14:paraId="0D8F1470">
      <w:pPr>
        <w:pStyle w:val="138"/>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4、</w:t>
      </w:r>
      <w:r>
        <w:rPr>
          <w:rFonts w:hint="eastAsia" w:ascii="宋体" w:hAnsi="宋体" w:eastAsia="宋体" w:cs="宋体"/>
          <w:color w:val="auto"/>
          <w:sz w:val="21"/>
          <w:szCs w:val="21"/>
          <w:highlight w:val="none"/>
        </w:rPr>
        <w:t>所有建筑物地下排污管道、井、化粪池清掏，学生宿舍每年不少于二次，化粪池出口第一个检查井为责任划分点，由于管道下沉引发的堵塞由业主单位负责疏通、修复。</w:t>
      </w:r>
    </w:p>
    <w:p w14:paraId="04494268">
      <w:pPr>
        <w:pStyle w:val="138"/>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5、</w:t>
      </w:r>
      <w:r>
        <w:rPr>
          <w:rFonts w:hint="eastAsia" w:ascii="宋体" w:hAnsi="宋体" w:eastAsia="宋体" w:cs="宋体"/>
          <w:color w:val="auto"/>
          <w:sz w:val="21"/>
          <w:szCs w:val="21"/>
          <w:highlight w:val="none"/>
        </w:rPr>
        <w:t>对校园内所有垃圾（不含基建废渣）按照《株洲市城市生活垃圾分类工作实施方案》（株政办发〔2020〕13号）文件要求进行分类归集，并及时清运至城市垃圾处理站。</w:t>
      </w:r>
    </w:p>
    <w:p w14:paraId="44CE976E">
      <w:pPr>
        <w:pStyle w:val="138"/>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6、</w:t>
      </w:r>
      <w:r>
        <w:rPr>
          <w:rFonts w:hint="eastAsia" w:ascii="宋体" w:hAnsi="宋体" w:eastAsia="宋体" w:cs="宋体"/>
          <w:color w:val="auto"/>
          <w:sz w:val="21"/>
          <w:szCs w:val="21"/>
          <w:highlight w:val="none"/>
        </w:rPr>
        <w:t>每年校园环境消毒工作不少于两次。</w:t>
      </w:r>
    </w:p>
    <w:p w14:paraId="01564E15">
      <w:pPr>
        <w:pStyle w:val="138"/>
        <w:numPr>
          <w:ilvl w:val="0"/>
          <w:numId w:val="0"/>
        </w:numPr>
        <w:spacing w:line="360" w:lineRule="auto"/>
        <w:ind w:left="0" w:leftChars="0" w:firstLine="420" w:firstLineChars="200"/>
        <w:rPr>
          <w:rFonts w:hint="eastAsia" w:ascii="宋体" w:hAnsi="宋体" w:eastAsia="宋体" w:cs="宋体"/>
          <w:color w:val="auto"/>
          <w:sz w:val="21"/>
          <w:szCs w:val="21"/>
          <w:highlight w:val="none"/>
          <w:lang w:eastAsia="zh-CN"/>
        </w:rPr>
      </w:pPr>
      <w:r>
        <w:rPr>
          <w:rFonts w:hint="default" w:ascii="Times New Roman" w:hAnsi="Times New Roman" w:eastAsia="宋体" w:cs="Times New Roman"/>
          <w:color w:val="auto"/>
          <w:kern w:val="2"/>
          <w:sz w:val="21"/>
          <w:szCs w:val="21"/>
          <w:highlight w:val="none"/>
          <w:lang w:val="en-US" w:eastAsia="zh-CN" w:bidi="ar-SA"/>
        </w:rPr>
        <w:t>7、</w:t>
      </w:r>
      <w:r>
        <w:rPr>
          <w:rFonts w:hint="eastAsia" w:ascii="Times New Roman" w:hAnsi="Times New Roman" w:cs="Times New Roman"/>
          <w:color w:val="auto"/>
          <w:kern w:val="2"/>
          <w:sz w:val="21"/>
          <w:szCs w:val="21"/>
          <w:highlight w:val="none"/>
          <w:lang w:val="en-US" w:eastAsia="zh-CN" w:bidi="ar-SA"/>
        </w:rPr>
        <w:t>每年</w:t>
      </w:r>
      <w:r>
        <w:rPr>
          <w:rFonts w:hint="eastAsia" w:ascii="宋体" w:hAnsi="宋体" w:eastAsia="宋体" w:cs="宋体"/>
          <w:color w:val="auto"/>
          <w:sz w:val="21"/>
          <w:szCs w:val="21"/>
          <w:highlight w:val="none"/>
        </w:rPr>
        <w:t>毕业生宿舍（寝室）卫生清扫，数量约700间</w:t>
      </w:r>
      <w:r>
        <w:rPr>
          <w:rFonts w:hint="eastAsia" w:ascii="宋体" w:hAnsi="宋体" w:cs="宋体"/>
          <w:color w:val="auto"/>
          <w:sz w:val="21"/>
          <w:szCs w:val="21"/>
          <w:highlight w:val="none"/>
          <w:lang w:eastAsia="zh-CN"/>
        </w:rPr>
        <w:t>。</w:t>
      </w:r>
    </w:p>
    <w:p w14:paraId="787ED50F">
      <w:pPr>
        <w:pStyle w:val="138"/>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8、</w:t>
      </w:r>
      <w:r>
        <w:rPr>
          <w:rFonts w:hint="eastAsia" w:ascii="宋体" w:hAnsi="宋体" w:eastAsia="宋体" w:cs="宋体"/>
          <w:color w:val="auto"/>
          <w:sz w:val="21"/>
          <w:szCs w:val="21"/>
          <w:highlight w:val="none"/>
          <w:lang w:eastAsia="zh-CN"/>
        </w:rPr>
        <w:t>节假日物业公司无条件接管学生劳动周劳动区域保洁。</w:t>
      </w:r>
    </w:p>
    <w:p w14:paraId="2189A7BC">
      <w:pPr>
        <w:pStyle w:val="138"/>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（二）安保服务责任范围（以校园红线为界）</w:t>
      </w:r>
    </w:p>
    <w:p w14:paraId="307EC9B0">
      <w:pPr>
        <w:pStyle w:val="138"/>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校门值守（北、南校门）；</w:t>
      </w:r>
    </w:p>
    <w:p w14:paraId="1AD603A5">
      <w:pPr>
        <w:pStyle w:val="138"/>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学生宿舍值守（1、2、3、4、5、6号学生宿舍）；</w:t>
      </w:r>
    </w:p>
    <w:p w14:paraId="181E773F">
      <w:pPr>
        <w:pStyle w:val="138"/>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图书馆及配套的消防控制室值守；</w:t>
      </w:r>
    </w:p>
    <w:p w14:paraId="03DC1072">
      <w:pPr>
        <w:pStyle w:val="138"/>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行政楼及配套的治安监控室、消防控制室值守；</w:t>
      </w:r>
    </w:p>
    <w:p w14:paraId="4D5E79FA">
      <w:pPr>
        <w:pStyle w:val="138"/>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校园日常巡查，交通管制；</w:t>
      </w:r>
    </w:p>
    <w:p w14:paraId="18C4DC59">
      <w:pPr>
        <w:pStyle w:val="138"/>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在学院保卫部门的领导下，负责校园内一切活动的安全保卫工作；</w:t>
      </w:r>
    </w:p>
    <w:p w14:paraId="1CFFFFE6">
      <w:pPr>
        <w:pStyle w:val="138"/>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消防设施检查、登记、报修；</w:t>
      </w:r>
    </w:p>
    <w:p w14:paraId="417A5AF3">
      <w:pPr>
        <w:pStyle w:val="138"/>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维护校园正常生活、工作、教学秩序和安全稳定。</w:t>
      </w:r>
    </w:p>
    <w:p w14:paraId="6B930BAD">
      <w:pPr>
        <w:pStyle w:val="138"/>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（三）会务接待责任范围：</w:t>
      </w:r>
    </w:p>
    <w:p w14:paraId="0A1841F0">
      <w:pPr>
        <w:pStyle w:val="138"/>
        <w:numPr>
          <w:ilvl w:val="0"/>
          <w:numId w:val="5"/>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协助学院有关部门做好会场布置、茶水供应，会后清场；</w:t>
      </w:r>
    </w:p>
    <w:p w14:paraId="04428A7A">
      <w:pPr>
        <w:pStyle w:val="138"/>
        <w:numPr>
          <w:ilvl w:val="0"/>
          <w:numId w:val="5"/>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会议场所的保洁；</w:t>
      </w:r>
    </w:p>
    <w:p w14:paraId="1FE6FB5A">
      <w:pPr>
        <w:pStyle w:val="138"/>
        <w:numPr>
          <w:ilvl w:val="0"/>
          <w:numId w:val="5"/>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会场内办公设备的操作及日常保养。</w:t>
      </w:r>
    </w:p>
    <w:p w14:paraId="4055168C">
      <w:pPr>
        <w:pStyle w:val="138"/>
        <w:numPr>
          <w:ilvl w:val="0"/>
          <w:numId w:val="6"/>
        </w:num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水、电、木日常维护、电梯日常维护保养维修及中央空调维护保养运行范围</w:t>
      </w:r>
    </w:p>
    <w:p w14:paraId="1566B7D1">
      <w:pPr>
        <w:pStyle w:val="1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1、房屋：学生公寓6栋、教学楼、图书馆、行政楼、实训楼7栋、体育馆、体育看台、学生活动中心、食堂等建筑合计21栋，总建筑面积228214.6平方米。</w:t>
      </w:r>
    </w:p>
    <w:p w14:paraId="6D803657">
      <w:pPr>
        <w:pStyle w:val="1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2、供电设施：学院主供电网为1万伏高压双回路供电，有室内变配电房及控制室5处，室外变电箱</w:t>
      </w:r>
      <w:r>
        <w:rPr>
          <w:rFonts w:hint="eastAsia" w:ascii="宋体" w:hAnsi="宋体" w:eastAsia="宋体" w:cs="宋体"/>
          <w:color w:val="auto"/>
          <w:sz w:val="21"/>
          <w:szCs w:val="21"/>
          <w:highlight w:val="none"/>
          <w:lang w:val="en-US" w:eastAsia="zh-CN"/>
        </w:rPr>
        <w:t>2处</w:t>
      </w:r>
      <w:r>
        <w:rPr>
          <w:rFonts w:hint="eastAsia" w:ascii="宋体" w:hAnsi="宋体" w:eastAsia="宋体" w:cs="宋体"/>
          <w:color w:val="auto"/>
          <w:sz w:val="21"/>
          <w:szCs w:val="21"/>
          <w:highlight w:val="none"/>
        </w:rPr>
        <w:t>，总配电容量12660KVA。</w:t>
      </w:r>
    </w:p>
    <w:p w14:paraId="1571ABC8">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变、配电设施统计表</w:t>
      </w:r>
    </w:p>
    <w:tbl>
      <w:tblPr>
        <w:tblStyle w:val="45"/>
        <w:tblW w:w="8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786"/>
        <w:gridCol w:w="1413"/>
        <w:gridCol w:w="875"/>
        <w:gridCol w:w="1131"/>
        <w:gridCol w:w="1316"/>
        <w:gridCol w:w="1327"/>
      </w:tblGrid>
      <w:tr w14:paraId="3CC3E5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l2br w:val="nil"/>
              <w:tr2bl w:val="nil"/>
            </w:tcBorders>
            <w:vAlign w:val="center"/>
          </w:tcPr>
          <w:p w14:paraId="634F6B0D">
            <w:pPr>
              <w:pStyle w:val="138"/>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786" w:type="dxa"/>
            <w:tcBorders>
              <w:tl2br w:val="nil"/>
              <w:tr2bl w:val="nil"/>
            </w:tcBorders>
            <w:vAlign w:val="center"/>
          </w:tcPr>
          <w:p w14:paraId="6516396D">
            <w:pPr>
              <w:pStyle w:val="138"/>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位置</w:t>
            </w:r>
          </w:p>
        </w:tc>
        <w:tc>
          <w:tcPr>
            <w:tcW w:w="1413" w:type="dxa"/>
            <w:tcBorders>
              <w:tl2br w:val="nil"/>
              <w:tr2bl w:val="nil"/>
            </w:tcBorders>
            <w:vAlign w:val="center"/>
          </w:tcPr>
          <w:p w14:paraId="77A1B688">
            <w:pPr>
              <w:pStyle w:val="138"/>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变压器KVA</w:t>
            </w:r>
          </w:p>
        </w:tc>
        <w:tc>
          <w:tcPr>
            <w:tcW w:w="875" w:type="dxa"/>
            <w:tcBorders>
              <w:tl2br w:val="nil"/>
              <w:tr2bl w:val="nil"/>
            </w:tcBorders>
            <w:vAlign w:val="center"/>
          </w:tcPr>
          <w:p w14:paraId="15BFB456">
            <w:pPr>
              <w:pStyle w:val="138"/>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131" w:type="dxa"/>
            <w:tcBorders>
              <w:tl2br w:val="nil"/>
              <w:tr2bl w:val="nil"/>
            </w:tcBorders>
            <w:vAlign w:val="center"/>
          </w:tcPr>
          <w:p w14:paraId="60930C96">
            <w:pPr>
              <w:pStyle w:val="138"/>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回路</w:t>
            </w:r>
          </w:p>
        </w:tc>
        <w:tc>
          <w:tcPr>
            <w:tcW w:w="1316" w:type="dxa"/>
            <w:tcBorders>
              <w:tl2br w:val="nil"/>
              <w:tr2bl w:val="nil"/>
            </w:tcBorders>
            <w:vAlign w:val="center"/>
          </w:tcPr>
          <w:p w14:paraId="76492D67">
            <w:pPr>
              <w:pStyle w:val="138"/>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是否室内</w:t>
            </w:r>
          </w:p>
        </w:tc>
        <w:tc>
          <w:tcPr>
            <w:tcW w:w="1327" w:type="dxa"/>
            <w:tcBorders>
              <w:tl2br w:val="nil"/>
              <w:tr2bl w:val="nil"/>
            </w:tcBorders>
            <w:vAlign w:val="center"/>
          </w:tcPr>
          <w:p w14:paraId="1255FDBD">
            <w:pPr>
              <w:pStyle w:val="138"/>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41E108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l2br w:val="nil"/>
              <w:tr2bl w:val="nil"/>
            </w:tcBorders>
            <w:vAlign w:val="center"/>
          </w:tcPr>
          <w:p w14:paraId="7BE9F864">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86" w:type="dxa"/>
            <w:tcBorders>
              <w:tl2br w:val="nil"/>
              <w:tr2bl w:val="nil"/>
            </w:tcBorders>
            <w:vAlign w:val="center"/>
          </w:tcPr>
          <w:p w14:paraId="24598E9C">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教学楼</w:t>
            </w:r>
          </w:p>
        </w:tc>
        <w:tc>
          <w:tcPr>
            <w:tcW w:w="1413" w:type="dxa"/>
            <w:tcBorders>
              <w:tl2br w:val="nil"/>
              <w:tr2bl w:val="nil"/>
            </w:tcBorders>
            <w:vAlign w:val="center"/>
          </w:tcPr>
          <w:p w14:paraId="47562FF2">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w:t>
            </w:r>
          </w:p>
        </w:tc>
        <w:tc>
          <w:tcPr>
            <w:tcW w:w="875" w:type="dxa"/>
            <w:tcBorders>
              <w:tl2br w:val="nil"/>
              <w:tr2bl w:val="nil"/>
            </w:tcBorders>
            <w:vAlign w:val="center"/>
          </w:tcPr>
          <w:p w14:paraId="2331BED2">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31" w:type="dxa"/>
            <w:tcBorders>
              <w:tl2br w:val="nil"/>
              <w:tr2bl w:val="nil"/>
            </w:tcBorders>
            <w:vAlign w:val="center"/>
          </w:tcPr>
          <w:p w14:paraId="1B439A6A">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双回路</w:t>
            </w:r>
          </w:p>
        </w:tc>
        <w:tc>
          <w:tcPr>
            <w:tcW w:w="1316" w:type="dxa"/>
            <w:tcBorders>
              <w:tl2br w:val="nil"/>
              <w:tr2bl w:val="nil"/>
            </w:tcBorders>
            <w:vAlign w:val="center"/>
          </w:tcPr>
          <w:p w14:paraId="599878E9">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室内</w:t>
            </w:r>
          </w:p>
        </w:tc>
        <w:tc>
          <w:tcPr>
            <w:tcW w:w="1327" w:type="dxa"/>
            <w:tcBorders>
              <w:tl2br w:val="nil"/>
              <w:tr2bl w:val="nil"/>
            </w:tcBorders>
            <w:vAlign w:val="center"/>
          </w:tcPr>
          <w:p w14:paraId="45F91327">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配电房</w:t>
            </w:r>
          </w:p>
        </w:tc>
      </w:tr>
      <w:tr w14:paraId="666DD4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l2br w:val="nil"/>
              <w:tr2bl w:val="nil"/>
            </w:tcBorders>
            <w:vAlign w:val="center"/>
          </w:tcPr>
          <w:p w14:paraId="7DA3CE38">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86" w:type="dxa"/>
            <w:tcBorders>
              <w:tl2br w:val="nil"/>
              <w:tr2bl w:val="nil"/>
            </w:tcBorders>
            <w:vAlign w:val="center"/>
          </w:tcPr>
          <w:p w14:paraId="7D534631">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行政楼</w:t>
            </w:r>
          </w:p>
        </w:tc>
        <w:tc>
          <w:tcPr>
            <w:tcW w:w="1413" w:type="dxa"/>
            <w:tcBorders>
              <w:tl2br w:val="nil"/>
              <w:tr2bl w:val="nil"/>
            </w:tcBorders>
            <w:vAlign w:val="center"/>
          </w:tcPr>
          <w:p w14:paraId="21B78EA6">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1250</w:t>
            </w:r>
          </w:p>
        </w:tc>
        <w:tc>
          <w:tcPr>
            <w:tcW w:w="875" w:type="dxa"/>
            <w:tcBorders>
              <w:tl2br w:val="nil"/>
              <w:tr2bl w:val="nil"/>
            </w:tcBorders>
            <w:vAlign w:val="center"/>
          </w:tcPr>
          <w:p w14:paraId="12F04EEF">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31" w:type="dxa"/>
            <w:tcBorders>
              <w:tl2br w:val="nil"/>
              <w:tr2bl w:val="nil"/>
            </w:tcBorders>
            <w:vAlign w:val="center"/>
          </w:tcPr>
          <w:p w14:paraId="0D1F1153">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双回路</w:t>
            </w:r>
          </w:p>
        </w:tc>
        <w:tc>
          <w:tcPr>
            <w:tcW w:w="1316" w:type="dxa"/>
            <w:tcBorders>
              <w:tl2br w:val="nil"/>
              <w:tr2bl w:val="nil"/>
            </w:tcBorders>
            <w:vAlign w:val="center"/>
          </w:tcPr>
          <w:p w14:paraId="63D1C99B">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室内</w:t>
            </w:r>
          </w:p>
        </w:tc>
        <w:tc>
          <w:tcPr>
            <w:tcW w:w="1327" w:type="dxa"/>
            <w:tcBorders>
              <w:tl2br w:val="nil"/>
              <w:tr2bl w:val="nil"/>
            </w:tcBorders>
            <w:vAlign w:val="center"/>
          </w:tcPr>
          <w:p w14:paraId="37895E7D">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配电房</w:t>
            </w:r>
          </w:p>
        </w:tc>
      </w:tr>
      <w:tr w14:paraId="48E36F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l2br w:val="nil"/>
              <w:tr2bl w:val="nil"/>
            </w:tcBorders>
            <w:vAlign w:val="center"/>
          </w:tcPr>
          <w:p w14:paraId="18F95180">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86" w:type="dxa"/>
            <w:tcBorders>
              <w:tl2br w:val="nil"/>
              <w:tr2bl w:val="nil"/>
            </w:tcBorders>
            <w:vAlign w:val="center"/>
          </w:tcPr>
          <w:p w14:paraId="7BEC16B7">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图书馆</w:t>
            </w:r>
          </w:p>
        </w:tc>
        <w:tc>
          <w:tcPr>
            <w:tcW w:w="1413" w:type="dxa"/>
            <w:tcBorders>
              <w:tl2br w:val="nil"/>
              <w:tr2bl w:val="nil"/>
            </w:tcBorders>
            <w:vAlign w:val="center"/>
          </w:tcPr>
          <w:p w14:paraId="17F63107">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w:t>
            </w:r>
          </w:p>
        </w:tc>
        <w:tc>
          <w:tcPr>
            <w:tcW w:w="875" w:type="dxa"/>
            <w:tcBorders>
              <w:tl2br w:val="nil"/>
              <w:tr2bl w:val="nil"/>
            </w:tcBorders>
            <w:vAlign w:val="center"/>
          </w:tcPr>
          <w:p w14:paraId="4ED3D1BA">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31" w:type="dxa"/>
            <w:tcBorders>
              <w:tl2br w:val="nil"/>
              <w:tr2bl w:val="nil"/>
            </w:tcBorders>
            <w:vAlign w:val="center"/>
          </w:tcPr>
          <w:p w14:paraId="4D0D412B">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双回路</w:t>
            </w:r>
          </w:p>
        </w:tc>
        <w:tc>
          <w:tcPr>
            <w:tcW w:w="1316" w:type="dxa"/>
            <w:tcBorders>
              <w:tl2br w:val="nil"/>
              <w:tr2bl w:val="nil"/>
            </w:tcBorders>
            <w:vAlign w:val="center"/>
          </w:tcPr>
          <w:p w14:paraId="3DEB426B">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室内</w:t>
            </w:r>
          </w:p>
        </w:tc>
        <w:tc>
          <w:tcPr>
            <w:tcW w:w="1327" w:type="dxa"/>
            <w:tcBorders>
              <w:tl2br w:val="nil"/>
              <w:tr2bl w:val="nil"/>
            </w:tcBorders>
            <w:vAlign w:val="center"/>
          </w:tcPr>
          <w:p w14:paraId="3B60D0DF">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配电房</w:t>
            </w:r>
          </w:p>
        </w:tc>
      </w:tr>
      <w:tr w14:paraId="49F583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l2br w:val="nil"/>
              <w:tr2bl w:val="nil"/>
            </w:tcBorders>
            <w:vAlign w:val="center"/>
          </w:tcPr>
          <w:p w14:paraId="6EF38915">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86" w:type="dxa"/>
            <w:tcBorders>
              <w:tl2br w:val="nil"/>
              <w:tr2bl w:val="nil"/>
            </w:tcBorders>
            <w:vAlign w:val="center"/>
          </w:tcPr>
          <w:p w14:paraId="463ADC98">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学生公寓配电间</w:t>
            </w:r>
          </w:p>
        </w:tc>
        <w:tc>
          <w:tcPr>
            <w:tcW w:w="1413" w:type="dxa"/>
            <w:tcBorders>
              <w:tl2br w:val="nil"/>
              <w:tr2bl w:val="nil"/>
            </w:tcBorders>
            <w:vAlign w:val="center"/>
          </w:tcPr>
          <w:p w14:paraId="2FA603A0">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1600</w:t>
            </w:r>
          </w:p>
        </w:tc>
        <w:tc>
          <w:tcPr>
            <w:tcW w:w="875" w:type="dxa"/>
            <w:tcBorders>
              <w:tl2br w:val="nil"/>
              <w:tr2bl w:val="nil"/>
            </w:tcBorders>
            <w:vAlign w:val="center"/>
          </w:tcPr>
          <w:p w14:paraId="29B14831">
            <w:pPr>
              <w:pStyle w:val="138"/>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131" w:type="dxa"/>
            <w:tcBorders>
              <w:tl2br w:val="nil"/>
              <w:tr2bl w:val="nil"/>
            </w:tcBorders>
            <w:vAlign w:val="center"/>
          </w:tcPr>
          <w:p w14:paraId="3AF31451">
            <w:pPr>
              <w:pStyle w:val="138"/>
              <w:spacing w:line="360" w:lineRule="auto"/>
              <w:jc w:val="center"/>
              <w:rPr>
                <w:rFonts w:hint="eastAsia" w:ascii="宋体" w:hAnsi="宋体" w:eastAsia="宋体" w:cs="宋体"/>
                <w:color w:val="auto"/>
                <w:sz w:val="21"/>
                <w:szCs w:val="21"/>
                <w:highlight w:val="none"/>
              </w:rPr>
            </w:pPr>
          </w:p>
        </w:tc>
        <w:tc>
          <w:tcPr>
            <w:tcW w:w="1316" w:type="dxa"/>
            <w:tcBorders>
              <w:tl2br w:val="nil"/>
              <w:tr2bl w:val="nil"/>
            </w:tcBorders>
            <w:vAlign w:val="center"/>
          </w:tcPr>
          <w:p w14:paraId="02CDECF3">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室内</w:t>
            </w:r>
          </w:p>
        </w:tc>
        <w:tc>
          <w:tcPr>
            <w:tcW w:w="1327" w:type="dxa"/>
            <w:tcBorders>
              <w:tl2br w:val="nil"/>
              <w:tr2bl w:val="nil"/>
            </w:tcBorders>
            <w:vAlign w:val="center"/>
          </w:tcPr>
          <w:p w14:paraId="4511D222">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配电房</w:t>
            </w:r>
          </w:p>
        </w:tc>
      </w:tr>
      <w:tr w14:paraId="08C05F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l2br w:val="nil"/>
              <w:tr2bl w:val="nil"/>
            </w:tcBorders>
            <w:vAlign w:val="center"/>
          </w:tcPr>
          <w:p w14:paraId="28631467">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786" w:type="dxa"/>
            <w:tcBorders>
              <w:tl2br w:val="nil"/>
              <w:tr2bl w:val="nil"/>
            </w:tcBorders>
            <w:vAlign w:val="center"/>
          </w:tcPr>
          <w:p w14:paraId="20B7FDF3">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3号实训楼</w:t>
            </w:r>
          </w:p>
        </w:tc>
        <w:tc>
          <w:tcPr>
            <w:tcW w:w="1413" w:type="dxa"/>
            <w:tcBorders>
              <w:tl2br w:val="nil"/>
              <w:tr2bl w:val="nil"/>
            </w:tcBorders>
            <w:vAlign w:val="center"/>
          </w:tcPr>
          <w:p w14:paraId="661EAADE">
            <w:pPr>
              <w:pStyle w:val="138"/>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1600+1000</w:t>
            </w:r>
          </w:p>
        </w:tc>
        <w:tc>
          <w:tcPr>
            <w:tcW w:w="875" w:type="dxa"/>
            <w:tcBorders>
              <w:tl2br w:val="nil"/>
              <w:tr2bl w:val="nil"/>
            </w:tcBorders>
            <w:vAlign w:val="center"/>
          </w:tcPr>
          <w:p w14:paraId="2AC69C84">
            <w:pPr>
              <w:pStyle w:val="138"/>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131" w:type="dxa"/>
            <w:tcBorders>
              <w:tl2br w:val="nil"/>
              <w:tr2bl w:val="nil"/>
            </w:tcBorders>
            <w:vAlign w:val="center"/>
          </w:tcPr>
          <w:p w14:paraId="4FCFD8EC">
            <w:pPr>
              <w:pStyle w:val="138"/>
              <w:spacing w:line="360" w:lineRule="auto"/>
              <w:jc w:val="center"/>
              <w:rPr>
                <w:rFonts w:hint="eastAsia" w:ascii="宋体" w:hAnsi="宋体" w:eastAsia="宋体" w:cs="宋体"/>
                <w:color w:val="auto"/>
                <w:sz w:val="21"/>
                <w:szCs w:val="21"/>
                <w:highlight w:val="none"/>
              </w:rPr>
            </w:pPr>
          </w:p>
        </w:tc>
        <w:tc>
          <w:tcPr>
            <w:tcW w:w="1316" w:type="dxa"/>
            <w:tcBorders>
              <w:tl2br w:val="nil"/>
              <w:tr2bl w:val="nil"/>
            </w:tcBorders>
            <w:vAlign w:val="center"/>
          </w:tcPr>
          <w:p w14:paraId="1020A8F4">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室内</w:t>
            </w:r>
          </w:p>
        </w:tc>
        <w:tc>
          <w:tcPr>
            <w:tcW w:w="1327" w:type="dxa"/>
            <w:tcBorders>
              <w:tl2br w:val="nil"/>
              <w:tr2bl w:val="nil"/>
            </w:tcBorders>
            <w:vAlign w:val="center"/>
          </w:tcPr>
          <w:p w14:paraId="5FF72455">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配电房</w:t>
            </w:r>
          </w:p>
        </w:tc>
      </w:tr>
      <w:tr w14:paraId="43DE53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l2br w:val="nil"/>
              <w:tr2bl w:val="nil"/>
            </w:tcBorders>
            <w:vAlign w:val="center"/>
          </w:tcPr>
          <w:p w14:paraId="5DC250D7">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786" w:type="dxa"/>
            <w:tcBorders>
              <w:tl2br w:val="nil"/>
              <w:tr2bl w:val="nil"/>
            </w:tcBorders>
            <w:vAlign w:val="center"/>
          </w:tcPr>
          <w:p w14:paraId="71F06F11">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南门</w:t>
            </w:r>
          </w:p>
        </w:tc>
        <w:tc>
          <w:tcPr>
            <w:tcW w:w="1413" w:type="dxa"/>
            <w:tcBorders>
              <w:tl2br w:val="nil"/>
              <w:tr2bl w:val="nil"/>
            </w:tcBorders>
            <w:vAlign w:val="center"/>
          </w:tcPr>
          <w:p w14:paraId="241109A1">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630</w:t>
            </w:r>
          </w:p>
        </w:tc>
        <w:tc>
          <w:tcPr>
            <w:tcW w:w="875" w:type="dxa"/>
            <w:tcBorders>
              <w:tl2br w:val="nil"/>
              <w:tr2bl w:val="nil"/>
            </w:tcBorders>
            <w:vAlign w:val="center"/>
          </w:tcPr>
          <w:p w14:paraId="6C1C70B3">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31" w:type="dxa"/>
            <w:tcBorders>
              <w:tl2br w:val="nil"/>
              <w:tr2bl w:val="nil"/>
            </w:tcBorders>
            <w:vAlign w:val="center"/>
          </w:tcPr>
          <w:p w14:paraId="104C3472">
            <w:pPr>
              <w:pStyle w:val="138"/>
              <w:spacing w:line="360" w:lineRule="auto"/>
              <w:jc w:val="center"/>
              <w:rPr>
                <w:rFonts w:hint="eastAsia" w:ascii="宋体" w:hAnsi="宋体" w:eastAsia="宋体" w:cs="宋体"/>
                <w:color w:val="auto"/>
                <w:sz w:val="21"/>
                <w:szCs w:val="21"/>
                <w:highlight w:val="none"/>
              </w:rPr>
            </w:pPr>
          </w:p>
        </w:tc>
        <w:tc>
          <w:tcPr>
            <w:tcW w:w="1316" w:type="dxa"/>
            <w:tcBorders>
              <w:tl2br w:val="nil"/>
              <w:tr2bl w:val="nil"/>
            </w:tcBorders>
            <w:vAlign w:val="center"/>
          </w:tcPr>
          <w:p w14:paraId="4B1FD07B">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室外</w:t>
            </w:r>
          </w:p>
        </w:tc>
        <w:tc>
          <w:tcPr>
            <w:tcW w:w="1327" w:type="dxa"/>
            <w:tcBorders>
              <w:tl2br w:val="nil"/>
              <w:tr2bl w:val="nil"/>
            </w:tcBorders>
            <w:vAlign w:val="center"/>
          </w:tcPr>
          <w:p w14:paraId="31C828D2">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箱变</w:t>
            </w:r>
          </w:p>
        </w:tc>
      </w:tr>
      <w:tr w14:paraId="1F48D3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l2br w:val="nil"/>
              <w:tr2bl w:val="nil"/>
            </w:tcBorders>
            <w:vAlign w:val="center"/>
          </w:tcPr>
          <w:p w14:paraId="04044B76">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786" w:type="dxa"/>
            <w:tcBorders>
              <w:tl2br w:val="nil"/>
              <w:tr2bl w:val="nil"/>
            </w:tcBorders>
            <w:vAlign w:val="center"/>
          </w:tcPr>
          <w:p w14:paraId="6BB0B926">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活动中心</w:t>
            </w:r>
          </w:p>
        </w:tc>
        <w:tc>
          <w:tcPr>
            <w:tcW w:w="1413" w:type="dxa"/>
            <w:tcBorders>
              <w:tl2br w:val="nil"/>
              <w:tr2bl w:val="nil"/>
            </w:tcBorders>
            <w:vAlign w:val="center"/>
          </w:tcPr>
          <w:p w14:paraId="54326E09">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w:t>
            </w:r>
          </w:p>
        </w:tc>
        <w:tc>
          <w:tcPr>
            <w:tcW w:w="875" w:type="dxa"/>
            <w:tcBorders>
              <w:tl2br w:val="nil"/>
              <w:tr2bl w:val="nil"/>
            </w:tcBorders>
            <w:vAlign w:val="center"/>
          </w:tcPr>
          <w:p w14:paraId="72AC0DB7">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31" w:type="dxa"/>
            <w:tcBorders>
              <w:tl2br w:val="nil"/>
              <w:tr2bl w:val="nil"/>
            </w:tcBorders>
            <w:vAlign w:val="center"/>
          </w:tcPr>
          <w:p w14:paraId="2D3390FD">
            <w:pPr>
              <w:pStyle w:val="138"/>
              <w:spacing w:line="360" w:lineRule="auto"/>
              <w:jc w:val="center"/>
              <w:rPr>
                <w:rFonts w:hint="eastAsia" w:ascii="宋体" w:hAnsi="宋体" w:eastAsia="宋体" w:cs="宋体"/>
                <w:color w:val="auto"/>
                <w:sz w:val="21"/>
                <w:szCs w:val="21"/>
                <w:highlight w:val="none"/>
              </w:rPr>
            </w:pPr>
          </w:p>
        </w:tc>
        <w:tc>
          <w:tcPr>
            <w:tcW w:w="1316" w:type="dxa"/>
            <w:tcBorders>
              <w:tl2br w:val="nil"/>
              <w:tr2bl w:val="nil"/>
            </w:tcBorders>
            <w:vAlign w:val="center"/>
          </w:tcPr>
          <w:p w14:paraId="4AF2C059">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室外</w:t>
            </w:r>
          </w:p>
        </w:tc>
        <w:tc>
          <w:tcPr>
            <w:tcW w:w="1327" w:type="dxa"/>
            <w:tcBorders>
              <w:tl2br w:val="nil"/>
              <w:tr2bl w:val="nil"/>
            </w:tcBorders>
            <w:vAlign w:val="center"/>
          </w:tcPr>
          <w:p w14:paraId="0AD0081D">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箱变</w:t>
            </w:r>
          </w:p>
        </w:tc>
      </w:tr>
      <w:tr w14:paraId="2E0DFA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90" w:type="dxa"/>
            <w:tcBorders>
              <w:tl2br w:val="nil"/>
              <w:tr2bl w:val="nil"/>
            </w:tcBorders>
            <w:vAlign w:val="center"/>
          </w:tcPr>
          <w:p w14:paraId="5CE06106">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786" w:type="dxa"/>
            <w:tcBorders>
              <w:tl2br w:val="nil"/>
              <w:tr2bl w:val="nil"/>
            </w:tcBorders>
            <w:vAlign w:val="center"/>
          </w:tcPr>
          <w:p w14:paraId="19F70C0C">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总容量</w:t>
            </w:r>
          </w:p>
        </w:tc>
        <w:tc>
          <w:tcPr>
            <w:tcW w:w="2288" w:type="dxa"/>
            <w:gridSpan w:val="2"/>
            <w:tcBorders>
              <w:tl2br w:val="nil"/>
              <w:tr2bl w:val="nil"/>
            </w:tcBorders>
            <w:vAlign w:val="center"/>
          </w:tcPr>
          <w:p w14:paraId="70D4D0F9">
            <w:pPr>
              <w:pStyle w:val="138"/>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12660</w:t>
            </w:r>
          </w:p>
        </w:tc>
        <w:tc>
          <w:tcPr>
            <w:tcW w:w="1131" w:type="dxa"/>
            <w:tcBorders>
              <w:tl2br w:val="nil"/>
              <w:tr2bl w:val="nil"/>
            </w:tcBorders>
            <w:vAlign w:val="center"/>
          </w:tcPr>
          <w:p w14:paraId="68DE146D">
            <w:pPr>
              <w:pStyle w:val="138"/>
              <w:spacing w:line="360" w:lineRule="auto"/>
              <w:jc w:val="center"/>
              <w:rPr>
                <w:rFonts w:hint="eastAsia" w:ascii="宋体" w:hAnsi="宋体" w:eastAsia="宋体" w:cs="宋体"/>
                <w:color w:val="auto"/>
                <w:sz w:val="21"/>
                <w:szCs w:val="21"/>
                <w:highlight w:val="none"/>
              </w:rPr>
            </w:pPr>
          </w:p>
        </w:tc>
        <w:tc>
          <w:tcPr>
            <w:tcW w:w="1316" w:type="dxa"/>
            <w:tcBorders>
              <w:tl2br w:val="nil"/>
              <w:tr2bl w:val="nil"/>
            </w:tcBorders>
            <w:vAlign w:val="center"/>
          </w:tcPr>
          <w:p w14:paraId="7A18E29E">
            <w:pPr>
              <w:pStyle w:val="138"/>
              <w:spacing w:line="360" w:lineRule="auto"/>
              <w:jc w:val="center"/>
              <w:rPr>
                <w:rFonts w:hint="eastAsia" w:ascii="宋体" w:hAnsi="宋体" w:eastAsia="宋体" w:cs="宋体"/>
                <w:color w:val="auto"/>
                <w:sz w:val="21"/>
                <w:szCs w:val="21"/>
                <w:highlight w:val="none"/>
              </w:rPr>
            </w:pPr>
          </w:p>
        </w:tc>
        <w:tc>
          <w:tcPr>
            <w:tcW w:w="1327" w:type="dxa"/>
            <w:tcBorders>
              <w:tl2br w:val="nil"/>
              <w:tr2bl w:val="nil"/>
            </w:tcBorders>
            <w:vAlign w:val="center"/>
          </w:tcPr>
          <w:p w14:paraId="21677A31">
            <w:pPr>
              <w:pStyle w:val="138"/>
              <w:spacing w:line="360" w:lineRule="auto"/>
              <w:jc w:val="center"/>
              <w:rPr>
                <w:rFonts w:hint="eastAsia" w:ascii="宋体" w:hAnsi="宋体" w:eastAsia="宋体" w:cs="宋体"/>
                <w:color w:val="auto"/>
                <w:sz w:val="21"/>
                <w:szCs w:val="21"/>
                <w:highlight w:val="none"/>
              </w:rPr>
            </w:pPr>
          </w:p>
        </w:tc>
      </w:tr>
    </w:tbl>
    <w:p w14:paraId="140209F9">
      <w:pPr>
        <w:pStyle w:val="1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3、供水设施：学院采用高、中、低三区供水，低区由自来水公司常压保证，高、中区由水泵房加压保证，有加压泵房一处，补水箱及高压水箱各一处，容量300立方米。</w:t>
      </w:r>
    </w:p>
    <w:p w14:paraId="1603E896">
      <w:pPr>
        <w:pStyle w:val="138"/>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、电梯：行政楼3台，图书馆2台，食堂</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台，2号实训楼1台（货梯），1号实训楼1台（观光梯）</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号实训楼1台（</w:t>
      </w:r>
      <w:r>
        <w:rPr>
          <w:rFonts w:hint="eastAsia" w:ascii="宋体" w:hAnsi="宋体" w:cs="宋体"/>
          <w:color w:val="auto"/>
          <w:sz w:val="21"/>
          <w:szCs w:val="21"/>
          <w:highlight w:val="none"/>
          <w:lang w:eastAsia="zh-CN"/>
        </w:rPr>
        <w:t>观光梯</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w:t>
      </w:r>
    </w:p>
    <w:p w14:paraId="787C9486">
      <w:pPr>
        <w:pStyle w:val="138"/>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、中央空调系统：行政楼及图书馆空调为中央空调，一年运营时间约8个月，供能时间为白天，有主机3台，机房一处。</w:t>
      </w:r>
    </w:p>
    <w:p w14:paraId="08ABEEC3">
      <w:pPr>
        <w:pStyle w:val="138"/>
        <w:spacing w:line="360" w:lineRule="auto"/>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三、服务要求</w:t>
      </w:r>
    </w:p>
    <w:p w14:paraId="06FC797A">
      <w:pPr>
        <w:pStyle w:val="1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总体要求：在服务期限内，</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必须遵守国家《劳动法》及有关法律、法规，在授权管理范围内进行物业管理服务。参照国家及省、市对物业管理的质量指标的有关规定，具体按全国物业管理示范小区标准及评分细则，结合</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自身的管理服务准则，</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要具体承诺物业管理各项目服务要达到的指标，包括但不限于清洁保洁率；雨水井、污水井、排水管、明暗沟通畅完好率；用户投诉率；投诉处理率；</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对物业管理的满意率等。</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须接受</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指定的监督机构检查监督，包括但不限于服务工作量、质量、安全等日常检查、监督或评比工作。除</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指定的监督机构外，</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也可自行组织对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的服务质量、水平、安全等情况进行检查监督。</w:t>
      </w:r>
    </w:p>
    <w:p w14:paraId="1F587F00">
      <w:pPr>
        <w:pStyle w:val="1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为完成承诺指标采取的措施。指标如下：</w:t>
      </w:r>
    </w:p>
    <w:p w14:paraId="2782C60F">
      <w:pPr>
        <w:pStyle w:val="1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1、综合满意率：</w:t>
      </w:r>
    </w:p>
    <w:p w14:paraId="3E9FE691">
      <w:pPr>
        <w:pStyle w:val="1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行政部门 ：95%</w:t>
      </w:r>
    </w:p>
    <w:p w14:paraId="32C7ED3F">
      <w:pPr>
        <w:pStyle w:val="1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学生宿舍 ：90%</w:t>
      </w:r>
    </w:p>
    <w:p w14:paraId="672CED22">
      <w:pPr>
        <w:pStyle w:val="1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2、投诉处理及时率：100%</w:t>
      </w:r>
    </w:p>
    <w:p w14:paraId="0673C280">
      <w:pPr>
        <w:pStyle w:val="1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投诉处理满意率：98%</w:t>
      </w:r>
    </w:p>
    <w:p w14:paraId="3ED7A903">
      <w:pPr>
        <w:pStyle w:val="138"/>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3、各类人员全日制在岗率：﹥90%（全日制在岗率=实际出勤人员工作小时数/全体在岗人员工作小时数）</w:t>
      </w:r>
      <w:r>
        <w:rPr>
          <w:rFonts w:hint="eastAsia" w:ascii="宋体" w:hAnsi="宋体" w:cs="宋体"/>
          <w:color w:val="auto"/>
          <w:sz w:val="21"/>
          <w:szCs w:val="21"/>
          <w:highlight w:val="none"/>
          <w:lang w:eastAsia="zh-CN"/>
        </w:rPr>
        <w:t>。</w:t>
      </w:r>
    </w:p>
    <w:p w14:paraId="7A24EF0D">
      <w:pPr>
        <w:pStyle w:val="138"/>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（一）具体要求</w:t>
      </w:r>
    </w:p>
    <w:p w14:paraId="683276A9">
      <w:pPr>
        <w:pStyle w:val="112"/>
        <w:numPr>
          <w:ilvl w:val="0"/>
          <w:numId w:val="7"/>
        </w:numPr>
        <w:spacing w:line="360" w:lineRule="auto"/>
        <w:ind w:left="0"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物业单位人员管理及责任</w:t>
      </w:r>
    </w:p>
    <w:p w14:paraId="417D362A">
      <w:pPr>
        <w:pStyle w:val="112"/>
        <w:numPr>
          <w:ilvl w:val="1"/>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(1)</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对岗位设置、人员选用与日常管理具有监督权。</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必须保证派驻学院工作人员的稳定性，如有主要工作人员调离，需书面通知学院相关负责人。</w:t>
      </w:r>
    </w:p>
    <w:p w14:paraId="0FE26199">
      <w:pPr>
        <w:pStyle w:val="112"/>
        <w:numPr>
          <w:ilvl w:val="1"/>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(2)</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的工作人员须符合政府用工标准要求，</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对所录用人员要严格审查，保证录用人员没有劳动教养和刑事犯罪记录、健康状况良好、无精神病史，需要持证上岗的工种（如消防监控员）须全部持证上岗。</w:t>
      </w:r>
    </w:p>
    <w:p w14:paraId="1970EE4E">
      <w:pPr>
        <w:pStyle w:val="112"/>
        <w:numPr>
          <w:ilvl w:val="1"/>
          <w:numId w:val="0"/>
        </w:numPr>
        <w:spacing w:line="360" w:lineRule="auto"/>
        <w:ind w:left="0" w:leftChars="0" w:firstLine="420" w:firstLineChars="200"/>
        <w:rPr>
          <w:rFonts w:hint="eastAsia" w:ascii="宋体" w:hAnsi="宋体" w:eastAsia="宋体" w:cs="宋体"/>
          <w:color w:val="auto"/>
          <w:kern w:val="28"/>
          <w:sz w:val="21"/>
          <w:szCs w:val="21"/>
          <w:highlight w:val="none"/>
        </w:rPr>
      </w:pPr>
      <w:r>
        <w:rPr>
          <w:rFonts w:hint="eastAsia" w:ascii="宋体" w:hAnsi="宋体" w:eastAsia="宋体" w:cs="Times New Roman"/>
          <w:color w:val="auto"/>
          <w:kern w:val="28"/>
          <w:sz w:val="21"/>
          <w:szCs w:val="21"/>
          <w:highlight w:val="none"/>
          <w:lang w:val="en-US" w:eastAsia="zh-CN" w:bidi="ar-SA"/>
        </w:rPr>
        <w:t>(3)</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应配备物业管理专业人员以及工程、管理、经济等相关专业类的专职管理和技术人员。</w:t>
      </w:r>
    </w:p>
    <w:p w14:paraId="62E72CBA">
      <w:pPr>
        <w:pStyle w:val="112"/>
        <w:numPr>
          <w:ilvl w:val="1"/>
          <w:numId w:val="0"/>
        </w:numPr>
        <w:spacing w:line="360" w:lineRule="auto"/>
        <w:ind w:left="0" w:leftChars="0" w:firstLine="420" w:firstLineChars="200"/>
        <w:rPr>
          <w:rFonts w:hint="eastAsia" w:ascii="宋体" w:hAnsi="宋体" w:eastAsia="宋体" w:cs="宋体"/>
          <w:color w:val="auto"/>
          <w:kern w:val="28"/>
          <w:sz w:val="21"/>
          <w:szCs w:val="21"/>
          <w:highlight w:val="none"/>
        </w:rPr>
      </w:pPr>
      <w:r>
        <w:rPr>
          <w:rFonts w:hint="eastAsia" w:ascii="宋体" w:hAnsi="宋体" w:eastAsia="宋体" w:cs="Times New Roman"/>
          <w:color w:val="auto"/>
          <w:kern w:val="28"/>
          <w:sz w:val="21"/>
          <w:szCs w:val="21"/>
          <w:highlight w:val="none"/>
          <w:lang w:val="en-US" w:eastAsia="zh-CN" w:bidi="ar-SA"/>
        </w:rPr>
        <w:t>(4)</w:t>
      </w:r>
      <w:r>
        <w:rPr>
          <w:rFonts w:hint="eastAsia" w:ascii="宋体" w:hAnsi="宋体" w:cs="宋体"/>
          <w:color w:val="auto"/>
          <w:sz w:val="21"/>
          <w:szCs w:val="21"/>
          <w:highlight w:val="none"/>
          <w:lang w:eastAsia="zh-CN"/>
        </w:rPr>
        <w:t>物业单位</w:t>
      </w:r>
      <w:r>
        <w:rPr>
          <w:rFonts w:hint="eastAsia" w:ascii="宋体" w:hAnsi="宋体" w:eastAsia="宋体" w:cs="宋体"/>
          <w:color w:val="auto"/>
          <w:kern w:val="28"/>
          <w:sz w:val="21"/>
          <w:szCs w:val="21"/>
          <w:highlight w:val="none"/>
        </w:rPr>
        <w:t>负责属下员工的职业道德教育、业务知识培训工作；定期接受学院对服务工作满意度的测评，若测评不满意，学院保留提出更换服务人员的权力。</w:t>
      </w:r>
    </w:p>
    <w:p w14:paraId="4A8ED260">
      <w:pPr>
        <w:pStyle w:val="112"/>
        <w:numPr>
          <w:ilvl w:val="1"/>
          <w:numId w:val="0"/>
        </w:numPr>
        <w:spacing w:line="360" w:lineRule="auto"/>
        <w:ind w:left="0" w:leftChars="0" w:firstLine="420" w:firstLineChars="200"/>
        <w:rPr>
          <w:rFonts w:hint="eastAsia" w:ascii="宋体" w:hAnsi="宋体" w:eastAsia="宋体" w:cs="宋体"/>
          <w:color w:val="auto"/>
          <w:kern w:val="28"/>
          <w:sz w:val="21"/>
          <w:szCs w:val="21"/>
          <w:highlight w:val="none"/>
        </w:rPr>
      </w:pPr>
      <w:r>
        <w:rPr>
          <w:rFonts w:hint="eastAsia" w:ascii="宋体" w:hAnsi="宋体" w:eastAsia="宋体" w:cs="Times New Roman"/>
          <w:color w:val="auto"/>
          <w:kern w:val="28"/>
          <w:sz w:val="21"/>
          <w:szCs w:val="21"/>
          <w:highlight w:val="none"/>
          <w:lang w:val="en-US" w:eastAsia="zh-CN" w:bidi="ar-SA"/>
        </w:rPr>
        <w:t>(5)</w:t>
      </w:r>
      <w:r>
        <w:rPr>
          <w:rFonts w:hint="eastAsia" w:ascii="宋体" w:hAnsi="宋体" w:cs="宋体"/>
          <w:color w:val="auto"/>
          <w:sz w:val="21"/>
          <w:szCs w:val="21"/>
          <w:highlight w:val="none"/>
          <w:lang w:eastAsia="zh-CN"/>
        </w:rPr>
        <w:t>物业单位</w:t>
      </w:r>
      <w:r>
        <w:rPr>
          <w:rFonts w:hint="eastAsia" w:ascii="宋体" w:hAnsi="宋体" w:eastAsia="宋体" w:cs="宋体"/>
          <w:color w:val="auto"/>
          <w:kern w:val="28"/>
          <w:sz w:val="21"/>
          <w:szCs w:val="21"/>
          <w:highlight w:val="none"/>
        </w:rPr>
        <w:t>各类工作人员按岗位要求统一着装，接待及窗口岗位录用人员相貌、形体、身高应注重仪容、仪貌。</w:t>
      </w:r>
    </w:p>
    <w:p w14:paraId="0607C428">
      <w:pPr>
        <w:pStyle w:val="112"/>
        <w:numPr>
          <w:ilvl w:val="1"/>
          <w:numId w:val="0"/>
        </w:numPr>
        <w:spacing w:line="360" w:lineRule="auto"/>
        <w:ind w:left="0" w:leftChars="0" w:firstLine="420" w:firstLineChars="200"/>
        <w:rPr>
          <w:rFonts w:hint="eastAsia" w:ascii="宋体" w:hAnsi="宋体" w:eastAsia="宋体" w:cs="宋体"/>
          <w:color w:val="auto"/>
          <w:kern w:val="28"/>
          <w:sz w:val="21"/>
          <w:szCs w:val="21"/>
          <w:highlight w:val="none"/>
        </w:rPr>
      </w:pPr>
      <w:r>
        <w:rPr>
          <w:rFonts w:hint="eastAsia" w:ascii="宋体" w:hAnsi="宋体" w:eastAsia="宋体" w:cs="Times New Roman"/>
          <w:color w:val="auto"/>
          <w:kern w:val="28"/>
          <w:sz w:val="21"/>
          <w:szCs w:val="21"/>
          <w:highlight w:val="none"/>
          <w:lang w:val="en-US" w:eastAsia="zh-CN" w:bidi="ar-SA"/>
        </w:rPr>
        <w:t>(6)</w:t>
      </w:r>
      <w:r>
        <w:rPr>
          <w:rFonts w:hint="eastAsia" w:ascii="宋体" w:hAnsi="宋体" w:cs="宋体"/>
          <w:color w:val="auto"/>
          <w:sz w:val="21"/>
          <w:szCs w:val="21"/>
          <w:highlight w:val="none"/>
          <w:lang w:eastAsia="zh-CN"/>
        </w:rPr>
        <w:t>物业单位</w:t>
      </w:r>
      <w:r>
        <w:rPr>
          <w:rFonts w:hint="eastAsia" w:ascii="宋体" w:hAnsi="宋体" w:eastAsia="宋体" w:cs="宋体"/>
          <w:color w:val="auto"/>
          <w:kern w:val="28"/>
          <w:sz w:val="21"/>
          <w:szCs w:val="21"/>
          <w:highlight w:val="none"/>
        </w:rPr>
        <w:t>工作人员须遵守学院相关规章制度和有关规定，如有违反或损害学院利益的，</w:t>
      </w:r>
      <w:r>
        <w:rPr>
          <w:rFonts w:hint="eastAsia" w:ascii="宋体" w:hAnsi="宋体" w:eastAsia="宋体" w:cs="宋体"/>
          <w:color w:val="auto"/>
          <w:kern w:val="28"/>
          <w:sz w:val="21"/>
          <w:szCs w:val="21"/>
          <w:highlight w:val="none"/>
          <w:lang w:eastAsia="zh-CN"/>
        </w:rPr>
        <w:t>采购人</w:t>
      </w:r>
      <w:r>
        <w:rPr>
          <w:rFonts w:hint="eastAsia" w:ascii="宋体" w:hAnsi="宋体" w:eastAsia="宋体" w:cs="宋体"/>
          <w:color w:val="auto"/>
          <w:kern w:val="28"/>
          <w:sz w:val="21"/>
          <w:szCs w:val="21"/>
          <w:highlight w:val="none"/>
        </w:rPr>
        <w:t>有拒绝</w:t>
      </w:r>
      <w:r>
        <w:rPr>
          <w:rFonts w:hint="eastAsia" w:ascii="宋体" w:hAnsi="宋体" w:cs="宋体"/>
          <w:color w:val="auto"/>
          <w:sz w:val="21"/>
          <w:szCs w:val="21"/>
          <w:highlight w:val="none"/>
          <w:lang w:eastAsia="zh-CN"/>
        </w:rPr>
        <w:t>物业单位</w:t>
      </w:r>
      <w:r>
        <w:rPr>
          <w:rFonts w:hint="eastAsia" w:ascii="宋体" w:hAnsi="宋体" w:eastAsia="宋体" w:cs="宋体"/>
          <w:color w:val="auto"/>
          <w:kern w:val="28"/>
          <w:sz w:val="21"/>
          <w:szCs w:val="21"/>
          <w:highlight w:val="none"/>
        </w:rPr>
        <w:t>违规工作人员在</w:t>
      </w:r>
      <w:r>
        <w:rPr>
          <w:rFonts w:hint="eastAsia" w:ascii="宋体" w:hAnsi="宋体" w:cs="宋体"/>
          <w:color w:val="auto"/>
          <w:kern w:val="28"/>
          <w:sz w:val="21"/>
          <w:szCs w:val="21"/>
          <w:highlight w:val="none"/>
          <w:lang w:eastAsia="zh-CN"/>
        </w:rPr>
        <w:t>采购人</w:t>
      </w:r>
      <w:r>
        <w:rPr>
          <w:rFonts w:hint="eastAsia" w:ascii="宋体" w:hAnsi="宋体" w:eastAsia="宋体" w:cs="宋体"/>
          <w:color w:val="auto"/>
          <w:kern w:val="28"/>
          <w:sz w:val="21"/>
          <w:szCs w:val="21"/>
          <w:highlight w:val="none"/>
        </w:rPr>
        <w:t>单位工作的权利。</w:t>
      </w:r>
    </w:p>
    <w:p w14:paraId="7258087D">
      <w:pPr>
        <w:pStyle w:val="112"/>
        <w:numPr>
          <w:ilvl w:val="1"/>
          <w:numId w:val="0"/>
        </w:numPr>
        <w:spacing w:line="360" w:lineRule="auto"/>
        <w:ind w:left="0" w:leftChars="0" w:firstLine="420" w:firstLineChars="200"/>
        <w:rPr>
          <w:rFonts w:hint="eastAsia" w:ascii="宋体" w:hAnsi="宋体" w:eastAsia="宋体" w:cs="宋体"/>
          <w:color w:val="auto"/>
          <w:kern w:val="28"/>
          <w:sz w:val="21"/>
          <w:szCs w:val="21"/>
          <w:highlight w:val="none"/>
        </w:rPr>
      </w:pPr>
      <w:r>
        <w:rPr>
          <w:rFonts w:hint="eastAsia" w:ascii="宋体" w:hAnsi="宋体" w:eastAsia="宋体" w:cs="Times New Roman"/>
          <w:color w:val="auto"/>
          <w:kern w:val="28"/>
          <w:sz w:val="21"/>
          <w:szCs w:val="21"/>
          <w:highlight w:val="none"/>
          <w:lang w:val="en-US" w:eastAsia="zh-CN" w:bidi="ar-SA"/>
        </w:rPr>
        <w:t>(7)</w:t>
      </w:r>
      <w:r>
        <w:rPr>
          <w:rFonts w:hint="eastAsia" w:ascii="宋体" w:hAnsi="宋体" w:cs="宋体"/>
          <w:color w:val="auto"/>
          <w:sz w:val="21"/>
          <w:szCs w:val="21"/>
          <w:highlight w:val="none"/>
          <w:lang w:eastAsia="zh-CN"/>
        </w:rPr>
        <w:t>物业单位</w:t>
      </w:r>
      <w:r>
        <w:rPr>
          <w:rFonts w:hint="eastAsia" w:ascii="宋体" w:hAnsi="宋体" w:eastAsia="宋体" w:cs="宋体"/>
          <w:color w:val="auto"/>
          <w:kern w:val="28"/>
          <w:sz w:val="21"/>
          <w:szCs w:val="21"/>
          <w:highlight w:val="none"/>
        </w:rPr>
        <w:t>需负责购买和配置各工作人员的制服、劳动工具等，费用由</w:t>
      </w:r>
      <w:r>
        <w:rPr>
          <w:rFonts w:hint="eastAsia" w:ascii="宋体" w:hAnsi="宋体" w:cs="宋体"/>
          <w:color w:val="auto"/>
          <w:sz w:val="21"/>
          <w:szCs w:val="21"/>
          <w:highlight w:val="none"/>
          <w:lang w:eastAsia="zh-CN"/>
        </w:rPr>
        <w:t>物业单位</w:t>
      </w:r>
      <w:r>
        <w:rPr>
          <w:rFonts w:hint="eastAsia" w:ascii="宋体" w:hAnsi="宋体" w:eastAsia="宋体" w:cs="宋体"/>
          <w:color w:val="auto"/>
          <w:kern w:val="28"/>
          <w:sz w:val="21"/>
          <w:szCs w:val="21"/>
          <w:highlight w:val="none"/>
        </w:rPr>
        <w:t>负责。</w:t>
      </w:r>
    </w:p>
    <w:p w14:paraId="4446AF0E">
      <w:pPr>
        <w:pStyle w:val="112"/>
        <w:numPr>
          <w:ilvl w:val="1"/>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(8)</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在管理服务期内，由于</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责任造成</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、学生、教师人身伤亡和财产损失的，由</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负全责。</w:t>
      </w:r>
    </w:p>
    <w:p w14:paraId="5576F024">
      <w:pPr>
        <w:pStyle w:val="112"/>
        <w:numPr>
          <w:ilvl w:val="1"/>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(9)</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的工作人员在校内发生违法、违规行为的，所造成一切后果及损失，由</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负全部责任。</w:t>
      </w:r>
    </w:p>
    <w:p w14:paraId="22AFD43D">
      <w:pPr>
        <w:pStyle w:val="112"/>
        <w:numPr>
          <w:ilvl w:val="1"/>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(10)</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未经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书面同意不得转包或分包本项目。</w:t>
      </w:r>
    </w:p>
    <w:p w14:paraId="63272BB3">
      <w:pPr>
        <w:pStyle w:val="112"/>
        <w:numPr>
          <w:ilvl w:val="1"/>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(11)</w:t>
      </w:r>
      <w:r>
        <w:rPr>
          <w:rFonts w:hint="eastAsia" w:ascii="宋体" w:hAnsi="宋体" w:eastAsia="宋体" w:cs="宋体"/>
          <w:color w:val="auto"/>
          <w:sz w:val="21"/>
          <w:szCs w:val="21"/>
          <w:highlight w:val="none"/>
        </w:rPr>
        <w:t>现场服务管理的组织机构必须完整，服务总人数必须满足</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需求。</w:t>
      </w:r>
    </w:p>
    <w:p w14:paraId="57198894">
      <w:pPr>
        <w:pStyle w:val="112"/>
        <w:numPr>
          <w:ilvl w:val="1"/>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(12)</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派驻学院的工作人员不尽职守的，必须在接到</w:t>
      </w:r>
      <w:r>
        <w:rPr>
          <w:rFonts w:hint="eastAsia" w:ascii="宋体" w:hAnsi="宋体" w:eastAsia="宋体" w:cs="宋体"/>
          <w:color w:val="auto"/>
          <w:kern w:val="28"/>
          <w:sz w:val="21"/>
          <w:szCs w:val="21"/>
          <w:highlight w:val="none"/>
          <w:lang w:eastAsia="zh-CN"/>
        </w:rPr>
        <w:t>采购人</w:t>
      </w:r>
      <w:r>
        <w:rPr>
          <w:rFonts w:hint="eastAsia" w:ascii="宋体" w:hAnsi="宋体" w:eastAsia="宋体" w:cs="宋体"/>
          <w:color w:val="auto"/>
          <w:sz w:val="21"/>
          <w:szCs w:val="21"/>
          <w:highlight w:val="none"/>
        </w:rPr>
        <w:t>书面通知后2天内更换人员。</w:t>
      </w:r>
    </w:p>
    <w:p w14:paraId="559B3BBA">
      <w:pPr>
        <w:pStyle w:val="112"/>
        <w:numPr>
          <w:ilvl w:val="1"/>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(13)</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要建立资料的收集、分类整理、归档管理制度。在日常管理中要建立交接班等登记制度。</w:t>
      </w:r>
    </w:p>
    <w:p w14:paraId="17156817">
      <w:pPr>
        <w:pStyle w:val="112"/>
        <w:numPr>
          <w:ilvl w:val="1"/>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(14)</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必须接受</w:t>
      </w:r>
      <w:r>
        <w:rPr>
          <w:rFonts w:hint="eastAsia" w:ascii="宋体" w:hAnsi="宋体" w:eastAsia="宋体" w:cs="宋体"/>
          <w:color w:val="auto"/>
          <w:kern w:val="28"/>
          <w:sz w:val="21"/>
          <w:szCs w:val="21"/>
          <w:highlight w:val="none"/>
          <w:lang w:eastAsia="zh-CN"/>
        </w:rPr>
        <w:t>采购人</w:t>
      </w:r>
      <w:r>
        <w:rPr>
          <w:rFonts w:hint="eastAsia" w:ascii="宋体" w:hAnsi="宋体" w:eastAsia="宋体" w:cs="宋体"/>
          <w:color w:val="auto"/>
          <w:sz w:val="21"/>
          <w:szCs w:val="21"/>
          <w:highlight w:val="none"/>
        </w:rPr>
        <w:t>检查，并提供所有值班巡查记录。</w:t>
      </w:r>
    </w:p>
    <w:p w14:paraId="3ABCC31A">
      <w:pPr>
        <w:pStyle w:val="112"/>
        <w:numPr>
          <w:ilvl w:val="0"/>
          <w:numId w:val="7"/>
        </w:numPr>
        <w:spacing w:line="360" w:lineRule="auto"/>
        <w:ind w:left="0" w:firstLine="422"/>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物业单位</w:t>
      </w:r>
      <w:r>
        <w:rPr>
          <w:rFonts w:hint="eastAsia" w:ascii="宋体" w:hAnsi="宋体" w:eastAsia="宋体" w:cs="宋体"/>
          <w:b/>
          <w:bCs/>
          <w:color w:val="auto"/>
          <w:sz w:val="21"/>
          <w:szCs w:val="21"/>
          <w:highlight w:val="none"/>
        </w:rPr>
        <w:t>其他工作任务</w:t>
      </w:r>
    </w:p>
    <w:p w14:paraId="7DE0C53B">
      <w:pPr>
        <w:pStyle w:val="112"/>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(1)</w:t>
      </w:r>
      <w:r>
        <w:rPr>
          <w:rFonts w:hint="eastAsia" w:ascii="宋体" w:hAnsi="宋体" w:eastAsia="宋体" w:cs="宋体"/>
          <w:color w:val="auto"/>
          <w:sz w:val="21"/>
          <w:szCs w:val="21"/>
          <w:highlight w:val="none"/>
        </w:rPr>
        <w:t>负责学院内停车场等的管理；</w:t>
      </w:r>
    </w:p>
    <w:p w14:paraId="07937690">
      <w:pPr>
        <w:pStyle w:val="112"/>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(2)</w:t>
      </w:r>
      <w:r>
        <w:rPr>
          <w:rFonts w:hint="eastAsia" w:ascii="宋体" w:hAnsi="宋体" w:eastAsia="宋体" w:cs="宋体"/>
          <w:color w:val="auto"/>
          <w:sz w:val="21"/>
          <w:szCs w:val="21"/>
          <w:highlight w:val="none"/>
        </w:rPr>
        <w:t>根据</w:t>
      </w:r>
      <w:r>
        <w:rPr>
          <w:rFonts w:hint="eastAsia" w:ascii="宋体" w:hAnsi="宋体" w:eastAsia="宋体" w:cs="宋体"/>
          <w:color w:val="auto"/>
          <w:kern w:val="28"/>
          <w:sz w:val="21"/>
          <w:szCs w:val="21"/>
          <w:highlight w:val="none"/>
          <w:lang w:eastAsia="zh-CN"/>
        </w:rPr>
        <w:t>采购人</w:t>
      </w:r>
      <w:r>
        <w:rPr>
          <w:rFonts w:hint="eastAsia" w:ascii="宋体" w:hAnsi="宋体" w:eastAsia="宋体" w:cs="宋体"/>
          <w:color w:val="auto"/>
          <w:sz w:val="21"/>
          <w:szCs w:val="21"/>
          <w:highlight w:val="none"/>
        </w:rPr>
        <w:t>需要负责校内物品的搬移，费用由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负责；</w:t>
      </w:r>
    </w:p>
    <w:p w14:paraId="193E85F4">
      <w:pPr>
        <w:pStyle w:val="112"/>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(3)</w:t>
      </w:r>
      <w:r>
        <w:rPr>
          <w:rFonts w:hint="eastAsia" w:ascii="宋体" w:hAnsi="宋体" w:eastAsia="宋体" w:cs="宋体"/>
          <w:color w:val="auto"/>
          <w:sz w:val="21"/>
          <w:szCs w:val="21"/>
          <w:highlight w:val="none"/>
        </w:rPr>
        <w:t>如</w:t>
      </w:r>
      <w:r>
        <w:rPr>
          <w:rFonts w:hint="eastAsia" w:ascii="宋体" w:hAnsi="宋体" w:eastAsia="宋体" w:cs="宋体"/>
          <w:color w:val="auto"/>
          <w:kern w:val="28"/>
          <w:sz w:val="21"/>
          <w:szCs w:val="21"/>
          <w:highlight w:val="none"/>
          <w:lang w:eastAsia="zh-CN"/>
        </w:rPr>
        <w:t>采购人</w:t>
      </w:r>
      <w:r>
        <w:rPr>
          <w:rFonts w:hint="eastAsia" w:ascii="宋体" w:hAnsi="宋体" w:eastAsia="宋体" w:cs="宋体"/>
          <w:color w:val="auto"/>
          <w:sz w:val="21"/>
          <w:szCs w:val="21"/>
          <w:highlight w:val="none"/>
        </w:rPr>
        <w:t>在校区内举办大型活动或会议时，应根据</w:t>
      </w:r>
      <w:r>
        <w:rPr>
          <w:rFonts w:hint="eastAsia" w:ascii="宋体" w:hAnsi="宋体" w:eastAsia="宋体" w:cs="宋体"/>
          <w:color w:val="auto"/>
          <w:kern w:val="28"/>
          <w:sz w:val="21"/>
          <w:szCs w:val="21"/>
          <w:highlight w:val="none"/>
          <w:lang w:eastAsia="zh-CN"/>
        </w:rPr>
        <w:t>采购人</w:t>
      </w:r>
      <w:r>
        <w:rPr>
          <w:rFonts w:hint="eastAsia" w:ascii="宋体" w:hAnsi="宋体" w:eastAsia="宋体" w:cs="宋体"/>
          <w:color w:val="auto"/>
          <w:sz w:val="21"/>
          <w:szCs w:val="21"/>
          <w:highlight w:val="none"/>
        </w:rPr>
        <w:t>的具体要求，派人协助活动场地和会议场所的布置，以及会后的清场工作；</w:t>
      </w:r>
    </w:p>
    <w:p w14:paraId="58EBAB26">
      <w:pPr>
        <w:pStyle w:val="112"/>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(4)</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须派人参加学院有关的综合协调会议，根据工作职责范围，执行会议的有关决定；</w:t>
      </w:r>
    </w:p>
    <w:p w14:paraId="31117547">
      <w:pPr>
        <w:pStyle w:val="112"/>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(5)</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须经常与学院沟通，相互反馈有关信息、情况；召开有关工作会议，研究分析校区情况，制定工作方案；</w:t>
      </w:r>
    </w:p>
    <w:p w14:paraId="483C7379">
      <w:pPr>
        <w:pStyle w:val="112"/>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(6)</w:t>
      </w:r>
      <w:r>
        <w:rPr>
          <w:rFonts w:hint="eastAsia" w:ascii="宋体" w:hAnsi="宋体" w:eastAsia="宋体" w:cs="宋体"/>
          <w:color w:val="auto"/>
          <w:sz w:val="21"/>
          <w:szCs w:val="21"/>
          <w:highlight w:val="none"/>
        </w:rPr>
        <w:t>认真协助、参与校园的管理，确保校园的安全稳定；</w:t>
      </w:r>
    </w:p>
    <w:p w14:paraId="0A51F051">
      <w:pPr>
        <w:pStyle w:val="112"/>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(7)</w:t>
      </w:r>
      <w:r>
        <w:rPr>
          <w:rFonts w:hint="eastAsia" w:ascii="宋体" w:hAnsi="宋体" w:eastAsia="宋体" w:cs="宋体"/>
          <w:color w:val="auto"/>
          <w:sz w:val="21"/>
          <w:szCs w:val="21"/>
          <w:highlight w:val="none"/>
        </w:rPr>
        <w:t>遇特殊情况（加班、接待等）</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工作人员有义务协助</w:t>
      </w:r>
      <w:r>
        <w:rPr>
          <w:rFonts w:hint="eastAsia" w:ascii="宋体" w:hAnsi="宋体" w:eastAsia="宋体" w:cs="宋体"/>
          <w:color w:val="auto"/>
          <w:kern w:val="28"/>
          <w:sz w:val="21"/>
          <w:szCs w:val="21"/>
          <w:highlight w:val="none"/>
          <w:lang w:eastAsia="zh-CN"/>
        </w:rPr>
        <w:t>采购人</w:t>
      </w:r>
      <w:r>
        <w:rPr>
          <w:rFonts w:hint="eastAsia" w:ascii="宋体" w:hAnsi="宋体" w:eastAsia="宋体" w:cs="宋体"/>
          <w:color w:val="auto"/>
          <w:sz w:val="21"/>
          <w:szCs w:val="21"/>
          <w:highlight w:val="none"/>
        </w:rPr>
        <w:t>进行各项工作；</w:t>
      </w:r>
    </w:p>
    <w:p w14:paraId="6A3F3C26">
      <w:pPr>
        <w:pStyle w:val="112"/>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(8)</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在做好本职工作的同时，有责任向学院提供合理化建议，以提高管理效率和管理质量。</w:t>
      </w:r>
    </w:p>
    <w:p w14:paraId="2143A829">
      <w:pPr>
        <w:pStyle w:val="138"/>
        <w:spacing w:line="360" w:lineRule="auto"/>
        <w:ind w:left="420" w:left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（二）日常管理与服务</w:t>
      </w:r>
    </w:p>
    <w:p w14:paraId="1F92D4FC">
      <w:pPr>
        <w:pStyle w:val="112"/>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服务规章应符合法律、法规的要求。</w:t>
      </w:r>
    </w:p>
    <w:p w14:paraId="29104371">
      <w:pPr>
        <w:pStyle w:val="112"/>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各项服务要做到及时准点。</w:t>
      </w:r>
    </w:p>
    <w:p w14:paraId="233E9456">
      <w:pPr>
        <w:pStyle w:val="112"/>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建立完善的档案管理制度，建立齐全的管理服务档案（包括设备管理档案、日常管理档案等）。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随时抽查档案管理情况，以便日常监督。</w:t>
      </w:r>
    </w:p>
    <w:p w14:paraId="34936433">
      <w:pPr>
        <w:pStyle w:val="112"/>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每月初编写物业管理服务工作总结，并书面向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后勤处汇报。</w:t>
      </w:r>
    </w:p>
    <w:p w14:paraId="79EC9B77">
      <w:pPr>
        <w:pStyle w:val="112"/>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每月度由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进行一次书面的服务满意调查，并分析提出改进措施。</w:t>
      </w:r>
    </w:p>
    <w:p w14:paraId="78F8196F">
      <w:pPr>
        <w:pStyle w:val="112"/>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制定管理处内部管理制度和考核制度，并报送</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备案。</w:t>
      </w:r>
    </w:p>
    <w:p w14:paraId="1FDBE325">
      <w:pPr>
        <w:pStyle w:val="112"/>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rPr>
        <w:t>在日常管理中不断提升智能化、信息化管理水平。</w:t>
      </w:r>
    </w:p>
    <w:p w14:paraId="17FC3776">
      <w:pPr>
        <w:pStyle w:val="138"/>
        <w:spacing w:line="360" w:lineRule="auto"/>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四、岗位服务要求</w:t>
      </w:r>
    </w:p>
    <w:p w14:paraId="61B5C8D9">
      <w:pPr>
        <w:pStyle w:val="138"/>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（一）保安服务</w:t>
      </w:r>
    </w:p>
    <w:p w14:paraId="3D3D9DBB">
      <w:pPr>
        <w:pStyle w:val="139"/>
        <w:numPr>
          <w:ilvl w:val="1"/>
          <w:numId w:val="8"/>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人员素质要求</w:t>
      </w:r>
    </w:p>
    <w:p w14:paraId="27D834B0">
      <w:pPr>
        <w:pStyle w:val="139"/>
        <w:numPr>
          <w:ilvl w:val="2"/>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(1)</w:t>
      </w:r>
      <w:r>
        <w:rPr>
          <w:rFonts w:hint="eastAsia" w:ascii="宋体" w:hAnsi="宋体" w:eastAsia="宋体" w:cs="宋体"/>
          <w:color w:val="auto"/>
          <w:sz w:val="21"/>
          <w:szCs w:val="21"/>
          <w:highlight w:val="none"/>
        </w:rPr>
        <w:t>保安从业人员应知法、懂法、守法，依法办事，必须严格遵守保安从业规范，模范遵守安全管理规定。</w:t>
      </w:r>
    </w:p>
    <w:p w14:paraId="4D89AC96">
      <w:pPr>
        <w:pStyle w:val="139"/>
        <w:numPr>
          <w:ilvl w:val="2"/>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(2)</w:t>
      </w:r>
      <w:r>
        <w:rPr>
          <w:rFonts w:hint="eastAsia" w:ascii="宋体" w:hAnsi="宋体" w:eastAsia="宋体" w:cs="宋体"/>
          <w:color w:val="auto"/>
          <w:sz w:val="21"/>
          <w:szCs w:val="21"/>
          <w:highlight w:val="none"/>
        </w:rPr>
        <w:t>保安队长要求有较高的政治思想素养和业务水平，有较强的组织协调能力，受过专门的保安业务培训。</w:t>
      </w:r>
    </w:p>
    <w:p w14:paraId="16A6C3FE">
      <w:pPr>
        <w:pStyle w:val="139"/>
        <w:numPr>
          <w:ilvl w:val="2"/>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(3)</w:t>
      </w:r>
      <w:r>
        <w:rPr>
          <w:rFonts w:hint="eastAsia" w:ascii="宋体" w:hAnsi="宋体" w:eastAsia="宋体" w:cs="宋体"/>
          <w:color w:val="auto"/>
          <w:sz w:val="21"/>
          <w:szCs w:val="21"/>
          <w:highlight w:val="none"/>
        </w:rPr>
        <w:t>保安人员个人素质条件：以高中文化程度(含职高)为主体，学校保安年龄限50岁以下（其中：45周岁以下保安员不少于50%，并持有保安证）,退伍军人为佳，身体健康，没有传染病及精神病、癫痫等不能控制自己行为能力的疾病病史，体貌端正。</w:t>
      </w:r>
    </w:p>
    <w:p w14:paraId="151B15A9">
      <w:pPr>
        <w:pStyle w:val="139"/>
        <w:numPr>
          <w:ilvl w:val="2"/>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(4)</w:t>
      </w:r>
      <w:r>
        <w:rPr>
          <w:rFonts w:hint="eastAsia" w:ascii="宋体" w:hAnsi="宋体" w:eastAsia="宋体" w:cs="宋体"/>
          <w:color w:val="auto"/>
          <w:sz w:val="21"/>
          <w:szCs w:val="21"/>
          <w:highlight w:val="none"/>
        </w:rPr>
        <w:t>保安人员无犯罪记录。</w:t>
      </w:r>
    </w:p>
    <w:p w14:paraId="5142FE33">
      <w:pPr>
        <w:pStyle w:val="139"/>
        <w:numPr>
          <w:ilvl w:val="2"/>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(5)</w:t>
      </w:r>
      <w:r>
        <w:rPr>
          <w:rFonts w:hint="eastAsia" w:ascii="宋体" w:hAnsi="宋体" w:eastAsia="宋体" w:cs="宋体"/>
          <w:color w:val="auto"/>
          <w:sz w:val="21"/>
          <w:szCs w:val="21"/>
          <w:highlight w:val="none"/>
        </w:rPr>
        <w:t>所聘用的保安人员有吃苦耐劳的精神和高度的责任感，受过专业的岗前培训，能严格履行岗位职责，善于发现各类问题，具备一定的处理突发事件能力。</w:t>
      </w:r>
    </w:p>
    <w:p w14:paraId="1BA719B5">
      <w:pPr>
        <w:pStyle w:val="139"/>
        <w:numPr>
          <w:ilvl w:val="2"/>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(6)</w:t>
      </w:r>
      <w:r>
        <w:rPr>
          <w:rFonts w:hint="eastAsia" w:ascii="宋体" w:hAnsi="宋体" w:eastAsia="宋体" w:cs="宋体"/>
          <w:color w:val="auto"/>
          <w:sz w:val="21"/>
          <w:szCs w:val="21"/>
          <w:highlight w:val="none"/>
          <w:lang w:eastAsia="zh-CN"/>
        </w:rPr>
        <w:t>物业单位</w:t>
      </w:r>
      <w:r>
        <w:rPr>
          <w:rFonts w:hint="eastAsia" w:ascii="宋体" w:hAnsi="宋体" w:eastAsia="宋体" w:cs="宋体"/>
          <w:color w:val="auto"/>
          <w:sz w:val="21"/>
          <w:szCs w:val="21"/>
          <w:highlight w:val="none"/>
        </w:rPr>
        <w:t>要加强对安保业务的管理和业务培训，确保整个物业管理范围的安全、有序。</w:t>
      </w:r>
    </w:p>
    <w:p w14:paraId="197BFB94">
      <w:pPr>
        <w:pStyle w:val="139"/>
        <w:numPr>
          <w:ilvl w:val="1"/>
          <w:numId w:val="8"/>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工作要求：</w:t>
      </w:r>
    </w:p>
    <w:p w14:paraId="4737C07E">
      <w:pPr>
        <w:pStyle w:val="139"/>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(1)</w:t>
      </w:r>
      <w:r>
        <w:rPr>
          <w:rFonts w:hint="eastAsia" w:ascii="宋体" w:hAnsi="宋体" w:eastAsia="宋体" w:cs="宋体"/>
          <w:color w:val="auto"/>
          <w:sz w:val="21"/>
          <w:szCs w:val="21"/>
          <w:highlight w:val="none"/>
        </w:rPr>
        <w:t>服务范围包括日常门岗值勤、学生宿舍、行政楼、图书馆门卫值守，校园安全防范、巡查，消防、监控管理，车辆停放管理等工作，包括广场、通道、停车场、建筑物等。</w:t>
      </w:r>
    </w:p>
    <w:p w14:paraId="4FA8D15F">
      <w:pPr>
        <w:pStyle w:val="139"/>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(2)</w:t>
      </w:r>
      <w:r>
        <w:rPr>
          <w:rFonts w:hint="eastAsia" w:ascii="宋体" w:hAnsi="宋体" w:eastAsia="宋体" w:cs="宋体"/>
          <w:color w:val="auto"/>
          <w:sz w:val="21"/>
          <w:szCs w:val="21"/>
          <w:highlight w:val="none"/>
        </w:rPr>
        <w:t>组织一支素质高、业务能力强的保安队伍，执行严格的岗位纪律和岗位责任制,以确保整个物业管理范围的安全、有序。</w:t>
      </w:r>
    </w:p>
    <w:p w14:paraId="7F63000B">
      <w:pPr>
        <w:pStyle w:val="139"/>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(3)</w:t>
      </w:r>
      <w:r>
        <w:rPr>
          <w:rFonts w:hint="eastAsia" w:ascii="宋体" w:hAnsi="宋体" w:eastAsia="宋体" w:cs="宋体"/>
          <w:color w:val="auto"/>
          <w:sz w:val="21"/>
          <w:szCs w:val="21"/>
          <w:highlight w:val="none"/>
        </w:rPr>
        <w:t>对一般外来的访问、办事人员，建立询问登记制度，外来人员进入学生宿舍须登记并征得被访人同意，方能进入。</w:t>
      </w:r>
    </w:p>
    <w:p w14:paraId="17839908">
      <w:pPr>
        <w:pStyle w:val="139"/>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(4)</w:t>
      </w:r>
      <w:r>
        <w:rPr>
          <w:rFonts w:hint="eastAsia" w:ascii="宋体" w:hAnsi="宋体" w:eastAsia="宋体" w:cs="宋体"/>
          <w:color w:val="auto"/>
          <w:sz w:val="21"/>
          <w:szCs w:val="21"/>
          <w:highlight w:val="none"/>
        </w:rPr>
        <w:t>及时制止在办公及公共场所喧哗嘈闹，校园内无闲杂人员随意游走。做好进出人员的询问登记。</w:t>
      </w:r>
    </w:p>
    <w:p w14:paraId="230ACF44">
      <w:pPr>
        <w:pStyle w:val="139"/>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(5)</w:t>
      </w:r>
      <w:r>
        <w:rPr>
          <w:rFonts w:hint="eastAsia" w:ascii="宋体" w:hAnsi="宋体" w:eastAsia="宋体" w:cs="宋体"/>
          <w:color w:val="auto"/>
          <w:sz w:val="21"/>
          <w:szCs w:val="21"/>
          <w:highlight w:val="none"/>
        </w:rPr>
        <w:t>重要出入口24小时设人值班、实时监控。</w:t>
      </w:r>
    </w:p>
    <w:p w14:paraId="761B8D7D">
      <w:pPr>
        <w:pStyle w:val="139"/>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(6)</w:t>
      </w:r>
      <w:r>
        <w:rPr>
          <w:rFonts w:hint="eastAsia" w:ascii="宋体" w:hAnsi="宋体" w:eastAsia="宋体" w:cs="宋体"/>
          <w:color w:val="auto"/>
          <w:sz w:val="21"/>
          <w:szCs w:val="21"/>
          <w:highlight w:val="none"/>
        </w:rPr>
        <w:t>校园内做到24小时有安全护卫人员巡查。</w:t>
      </w:r>
    </w:p>
    <w:p w14:paraId="3AF684E5">
      <w:pPr>
        <w:pStyle w:val="139"/>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(7)</w:t>
      </w:r>
      <w:r>
        <w:rPr>
          <w:rFonts w:hint="eastAsia" w:ascii="宋体" w:hAnsi="宋体" w:eastAsia="宋体" w:cs="宋体"/>
          <w:color w:val="auto"/>
          <w:sz w:val="21"/>
          <w:szCs w:val="21"/>
          <w:highlight w:val="none"/>
        </w:rPr>
        <w:t>加强管理，预防重大火灾、刑事和交通事故的发生。对突发事件有应急处理程序和措施，一旦发现事件苗头必须立即报告</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，防止事态进一步恶化，协助保护现场。</w:t>
      </w:r>
    </w:p>
    <w:p w14:paraId="4EB91337">
      <w:pPr>
        <w:pStyle w:val="139"/>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(8)</w:t>
      </w:r>
      <w:r>
        <w:rPr>
          <w:rFonts w:hint="eastAsia" w:ascii="宋体" w:hAnsi="宋体" w:eastAsia="宋体" w:cs="宋体"/>
          <w:color w:val="auto"/>
          <w:sz w:val="21"/>
          <w:szCs w:val="21"/>
          <w:highlight w:val="none"/>
        </w:rPr>
        <w:t>建立稳定的保安队伍（保安人员上岗须经</w:t>
      </w:r>
      <w:r>
        <w:rPr>
          <w:rFonts w:hint="eastAsia" w:hAnsi="宋体" w:cs="宋体"/>
          <w:color w:val="auto"/>
          <w:sz w:val="21"/>
          <w:szCs w:val="21"/>
          <w:highlight w:val="none"/>
          <w:lang w:eastAsia="zh-CN"/>
        </w:rPr>
        <w:t>学</w:t>
      </w:r>
      <w:r>
        <w:rPr>
          <w:rFonts w:hint="eastAsia" w:ascii="宋体" w:hAnsi="宋体" w:eastAsia="宋体" w:cs="宋体"/>
          <w:color w:val="auto"/>
          <w:sz w:val="21"/>
          <w:szCs w:val="21"/>
          <w:highlight w:val="none"/>
        </w:rPr>
        <w:t>院后勤保卫处审核批准），24小时值班巡逻，确保日常固定岗和流动岗的值班巡逻人数；</w:t>
      </w:r>
    </w:p>
    <w:p w14:paraId="704F55CC">
      <w:pPr>
        <w:pStyle w:val="139"/>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(9)</w:t>
      </w:r>
      <w:r>
        <w:rPr>
          <w:rFonts w:hint="eastAsia" w:ascii="宋体" w:hAnsi="宋体" w:eastAsia="宋体" w:cs="宋体"/>
          <w:color w:val="auto"/>
          <w:sz w:val="21"/>
          <w:szCs w:val="21"/>
          <w:highlight w:val="none"/>
        </w:rPr>
        <w:t>流动岗的机动巡逻人员须按学院要求按时巡逻和登记；</w:t>
      </w:r>
    </w:p>
    <w:p w14:paraId="7EC93E78">
      <w:pPr>
        <w:pStyle w:val="139"/>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(10)</w:t>
      </w:r>
      <w:r>
        <w:rPr>
          <w:rFonts w:hint="eastAsia" w:ascii="宋体" w:hAnsi="宋体" w:eastAsia="宋体" w:cs="宋体"/>
          <w:color w:val="auto"/>
          <w:sz w:val="21"/>
          <w:szCs w:val="21"/>
          <w:highlight w:val="none"/>
        </w:rPr>
        <w:t>教学楼的每层楼须每2小时巡逻一次，确保人员和财产的安全；</w:t>
      </w:r>
    </w:p>
    <w:p w14:paraId="12114CBB">
      <w:pPr>
        <w:pStyle w:val="139"/>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(11)</w:t>
      </w:r>
      <w:r>
        <w:rPr>
          <w:rFonts w:hint="eastAsia" w:ascii="宋体" w:hAnsi="宋体" w:eastAsia="宋体" w:cs="宋体"/>
          <w:color w:val="auto"/>
          <w:sz w:val="21"/>
          <w:szCs w:val="21"/>
          <w:highlight w:val="none"/>
        </w:rPr>
        <w:t>劝解不按学院作息时间在校园逗留的学生回宿舍休息。</w:t>
      </w:r>
    </w:p>
    <w:p w14:paraId="6E8A55BE">
      <w:pPr>
        <w:pStyle w:val="139"/>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(12)</w:t>
      </w:r>
      <w:r>
        <w:rPr>
          <w:rFonts w:hint="eastAsia" w:ascii="宋体" w:hAnsi="宋体" w:eastAsia="宋体" w:cs="宋体"/>
          <w:color w:val="auto"/>
          <w:sz w:val="21"/>
          <w:szCs w:val="21"/>
          <w:highlight w:val="none"/>
        </w:rPr>
        <w:t>及时发现并制止破坏校区内各种设施的行为，保障各种设施及人员的生命财产安全，如因</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原因造成事故，</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承担全部责任；</w:t>
      </w:r>
    </w:p>
    <w:p w14:paraId="701206C0">
      <w:pPr>
        <w:pStyle w:val="139"/>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(13)</w:t>
      </w:r>
      <w:r>
        <w:rPr>
          <w:rFonts w:hint="eastAsia" w:ascii="宋体" w:hAnsi="宋体" w:eastAsia="宋体" w:cs="宋体"/>
          <w:color w:val="auto"/>
          <w:sz w:val="21"/>
          <w:szCs w:val="21"/>
          <w:highlight w:val="none"/>
        </w:rPr>
        <w:t>坚决制止违法犯罪行为和违反校园管理规定的不良行为，妥善处理治安问题，维护校园良好的治安秩序；</w:t>
      </w:r>
    </w:p>
    <w:p w14:paraId="49CB9EDD">
      <w:pPr>
        <w:pStyle w:val="139"/>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(14)</w:t>
      </w:r>
      <w:r>
        <w:rPr>
          <w:rFonts w:hint="eastAsia" w:ascii="宋体" w:hAnsi="宋体" w:eastAsia="宋体" w:cs="宋体"/>
          <w:color w:val="auto"/>
          <w:sz w:val="21"/>
          <w:szCs w:val="21"/>
          <w:highlight w:val="none"/>
        </w:rPr>
        <w:t>严格执行“四防”制度（防火、防盗、防破坏、防事故），对存在的不安全隐患要及时排除，难于排除的，应及时向学院后勤保卫处汇报，同时采取有效措施确保安全；</w:t>
      </w:r>
    </w:p>
    <w:p w14:paraId="6FCC3CDF">
      <w:pPr>
        <w:pStyle w:val="139"/>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(15)</w:t>
      </w:r>
      <w:r>
        <w:rPr>
          <w:rFonts w:hint="eastAsia" w:ascii="宋体" w:hAnsi="宋体" w:eastAsia="宋体" w:cs="宋体"/>
          <w:color w:val="auto"/>
          <w:sz w:val="21"/>
          <w:szCs w:val="21"/>
          <w:highlight w:val="none"/>
        </w:rPr>
        <w:t>对已发生的刑事、治安案件，及时向后勤保卫处及公安部门报告并保护案发现场，协助公安、保卫部门查处案件；</w:t>
      </w:r>
    </w:p>
    <w:p w14:paraId="51EC000C">
      <w:pPr>
        <w:pStyle w:val="139"/>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(16)</w:t>
      </w:r>
      <w:r>
        <w:rPr>
          <w:rFonts w:hint="eastAsia" w:ascii="宋体" w:hAnsi="宋体" w:eastAsia="宋体" w:cs="宋体"/>
          <w:color w:val="auto"/>
          <w:sz w:val="21"/>
          <w:szCs w:val="21"/>
          <w:highlight w:val="none"/>
        </w:rPr>
        <w:t>接受群众报案，凡涉及师生员工涉嫌违法，需送公安机关处理的，必须事先报告学院后勤保卫处。</w:t>
      </w:r>
    </w:p>
    <w:p w14:paraId="20FC78C9">
      <w:pPr>
        <w:pStyle w:val="139"/>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(17)</w:t>
      </w:r>
      <w:r>
        <w:rPr>
          <w:rFonts w:hint="eastAsia" w:ascii="宋体" w:hAnsi="宋体" w:eastAsia="宋体" w:cs="宋体"/>
          <w:color w:val="auto"/>
          <w:sz w:val="21"/>
          <w:szCs w:val="21"/>
          <w:highlight w:val="none"/>
        </w:rPr>
        <w:t>其它与安全保卫有关事项。</w:t>
      </w:r>
    </w:p>
    <w:p w14:paraId="1F4D1FCE">
      <w:pPr>
        <w:pStyle w:val="139"/>
        <w:numPr>
          <w:ilvl w:val="1"/>
          <w:numId w:val="8"/>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消防管理</w:t>
      </w:r>
    </w:p>
    <w:p w14:paraId="50215AE4">
      <w:pPr>
        <w:pStyle w:val="139"/>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(1)</w:t>
      </w:r>
      <w:r>
        <w:rPr>
          <w:rFonts w:hint="eastAsia" w:ascii="宋体" w:hAnsi="宋体" w:eastAsia="宋体" w:cs="宋体"/>
          <w:color w:val="auto"/>
          <w:sz w:val="21"/>
          <w:szCs w:val="21"/>
          <w:highlight w:val="none"/>
        </w:rPr>
        <w:t>负责</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的全部消防设施、设备的使用、管理及火灾的报警和救助工作，并制定较为完善的消防应急方案。</w:t>
      </w:r>
    </w:p>
    <w:p w14:paraId="39FCDA5A">
      <w:pPr>
        <w:pStyle w:val="139"/>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(2)</w:t>
      </w:r>
      <w:r>
        <w:rPr>
          <w:rFonts w:hint="eastAsia" w:ascii="宋体" w:hAnsi="宋体" w:eastAsia="宋体" w:cs="宋体"/>
          <w:color w:val="auto"/>
          <w:sz w:val="21"/>
          <w:szCs w:val="21"/>
          <w:highlight w:val="none"/>
        </w:rPr>
        <w:t>认真贯彻“安全第一，预防为主”的方针，设立消防组织机构、职责、规章制度和工作程序，落实各级消防责任人。全面熟练掌握消防报警、干式灭火（气体）、湿式灭火（喷淋）、防排烟及消防栓五个系统的作用、位置和操作方法。</w:t>
      </w:r>
    </w:p>
    <w:p w14:paraId="3C78B932">
      <w:pPr>
        <w:pStyle w:val="139"/>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(3)</w:t>
      </w:r>
      <w:r>
        <w:rPr>
          <w:rFonts w:hint="eastAsia" w:ascii="宋体" w:hAnsi="宋体" w:eastAsia="宋体" w:cs="宋体"/>
          <w:color w:val="auto"/>
          <w:sz w:val="21"/>
          <w:szCs w:val="21"/>
          <w:highlight w:val="none"/>
        </w:rPr>
        <w:t>按公共建筑消防管理规定，定期和不定期进行全面检查，确保消防设备和设施随时处于正常工作状态。</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须负责消防系统的各项巡检工作，做好消防巡检工作记录，并将记录资料提供给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备案。办公区域和公共区域配装的各种灭火器材、防毒面具、烟感、喷淋设施以及楼梯、走道和出口的安全疏散指示、应急照明、通风设施等由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负责日常检查，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负责维修、补充。</w:t>
      </w:r>
    </w:p>
    <w:p w14:paraId="74C8C73A">
      <w:pPr>
        <w:pStyle w:val="139"/>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(4)</w:t>
      </w:r>
      <w:r>
        <w:rPr>
          <w:rFonts w:hint="eastAsia" w:ascii="宋体" w:hAnsi="宋体" w:eastAsia="宋体" w:cs="宋体"/>
          <w:color w:val="auto"/>
          <w:sz w:val="21"/>
          <w:szCs w:val="21"/>
          <w:highlight w:val="none"/>
        </w:rPr>
        <w:t>全天24小时消防中心设人值班，24小时消防主机监管。出现消防报警时1分钟辨别消防报警的信息，5分钟后到达报警点。</w:t>
      </w:r>
    </w:p>
    <w:p w14:paraId="38777229">
      <w:pPr>
        <w:pStyle w:val="139"/>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(5)</w:t>
      </w:r>
      <w:r>
        <w:rPr>
          <w:rFonts w:hint="eastAsia" w:ascii="宋体" w:hAnsi="宋体" w:eastAsia="宋体" w:cs="宋体"/>
          <w:color w:val="auto"/>
          <w:sz w:val="21"/>
          <w:szCs w:val="21"/>
          <w:highlight w:val="none"/>
        </w:rPr>
        <w:t>建立义务消防队伍，出现消防事故5分钟内应有5人以上到达现场，进行必要的扑救。</w:t>
      </w:r>
    </w:p>
    <w:p w14:paraId="56EA5A81">
      <w:pPr>
        <w:pStyle w:val="139"/>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(6)</w:t>
      </w:r>
      <w:r>
        <w:rPr>
          <w:rFonts w:hint="eastAsia" w:ascii="宋体" w:hAnsi="宋体" w:eastAsia="宋体" w:cs="宋体"/>
          <w:color w:val="auto"/>
          <w:sz w:val="21"/>
          <w:szCs w:val="21"/>
          <w:highlight w:val="none"/>
        </w:rPr>
        <w:t>每周进行一次全部消防设备、设施巡视检查工作，并做好记录，及时整改火险隐患，监控动火和易燃易爆用品存放情况，保持消防区及楼梯走道和出口畅通。重大节日或活动前配合</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进行节日消防安全大检查，并按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要求及时进行整改。</w:t>
      </w:r>
    </w:p>
    <w:p w14:paraId="6D9F83C6">
      <w:pPr>
        <w:pStyle w:val="139"/>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(7)</w:t>
      </w:r>
      <w:r>
        <w:rPr>
          <w:rFonts w:hint="eastAsia" w:ascii="宋体" w:hAnsi="宋体" w:eastAsia="宋体" w:cs="宋体"/>
          <w:color w:val="auto"/>
          <w:sz w:val="21"/>
          <w:szCs w:val="21"/>
          <w:highlight w:val="none"/>
        </w:rPr>
        <w:t>做好其它防火灭火工作及消防配套设施的维护。</w:t>
      </w:r>
    </w:p>
    <w:p w14:paraId="46656A2E">
      <w:pPr>
        <w:pStyle w:val="139"/>
        <w:numPr>
          <w:ilvl w:val="1"/>
          <w:numId w:val="8"/>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校园秩序管理</w:t>
      </w:r>
    </w:p>
    <w:p w14:paraId="1AE2427A">
      <w:pPr>
        <w:pStyle w:val="139"/>
        <w:numPr>
          <w:ilvl w:val="0"/>
          <w:numId w:val="9"/>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及时制止送外卖、乱摆卖、乱张贴、乱涂画、乱丢乱扔、乱拉乱接、攀树摘果、践踏草坪，以及在湖泊捉鱼捕鱼、戏水等现象；</w:t>
      </w:r>
    </w:p>
    <w:p w14:paraId="0B7104F6">
      <w:pPr>
        <w:pStyle w:val="139"/>
        <w:numPr>
          <w:ilvl w:val="0"/>
          <w:numId w:val="9"/>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发现非法活动应及时报告后勤保卫处，并协助取证、收缴违法宣传品；</w:t>
      </w:r>
    </w:p>
    <w:p w14:paraId="32A884DE">
      <w:pPr>
        <w:pStyle w:val="139"/>
        <w:numPr>
          <w:ilvl w:val="0"/>
          <w:numId w:val="9"/>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做好学校大型校事、外事活动的安全保卫工作（治安防范、交通安全、防火安全），完成学校职能部门交办的各项安全防范工作；</w:t>
      </w:r>
    </w:p>
    <w:p w14:paraId="3796BE85">
      <w:pPr>
        <w:pStyle w:val="139"/>
        <w:numPr>
          <w:ilvl w:val="0"/>
          <w:numId w:val="9"/>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协助做好校区维稳、防范突发事件等方面的专项工作。出现事故或突发事件应在接报后5分钟内到达现场处理，并及时报告后勤保卫处；</w:t>
      </w:r>
    </w:p>
    <w:p w14:paraId="141BC60A">
      <w:pPr>
        <w:pStyle w:val="139"/>
        <w:numPr>
          <w:ilvl w:val="0"/>
          <w:numId w:val="9"/>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协助学院开展治安防范、交通、消防安全等方面宣传、教育工作；</w:t>
      </w:r>
    </w:p>
    <w:p w14:paraId="0064FD43">
      <w:pPr>
        <w:pStyle w:val="139"/>
        <w:numPr>
          <w:ilvl w:val="0"/>
          <w:numId w:val="9"/>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接受公安机关、政府有关管理部门的业务检查、监督和指导，接受保卫处的业务指导与监督，每月向保卫处报告校区的安全保卫情况。</w:t>
      </w:r>
    </w:p>
    <w:p w14:paraId="242BE7C7">
      <w:pPr>
        <w:pStyle w:val="139"/>
        <w:numPr>
          <w:ilvl w:val="1"/>
          <w:numId w:val="8"/>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门卫、交通管理</w:t>
      </w:r>
    </w:p>
    <w:p w14:paraId="4268D201">
      <w:pPr>
        <w:pStyle w:val="139"/>
        <w:numPr>
          <w:ilvl w:val="0"/>
          <w:numId w:val="10"/>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值班保安必须穿戴保安制服佩戴执勤标志；</w:t>
      </w:r>
    </w:p>
    <w:p w14:paraId="4BE6D244">
      <w:pPr>
        <w:pStyle w:val="139"/>
        <w:numPr>
          <w:ilvl w:val="0"/>
          <w:numId w:val="10"/>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严格执行学院门卫、交通管理规定。做好进出校区人员及车辆的检查、登记、管理工作（包括进出物品、外来人员、施工人员等）；</w:t>
      </w:r>
    </w:p>
    <w:p w14:paraId="3163784A">
      <w:pPr>
        <w:pStyle w:val="139"/>
        <w:numPr>
          <w:ilvl w:val="0"/>
          <w:numId w:val="10"/>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管理机动车、非机动车，杜绝乱停乱放等现象，确保整齐有序；</w:t>
      </w:r>
    </w:p>
    <w:p w14:paraId="01387244">
      <w:pPr>
        <w:pStyle w:val="139"/>
        <w:numPr>
          <w:ilvl w:val="0"/>
          <w:numId w:val="10"/>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对违反门卫、交通管理规定的车辆，需送交警部门处理的应事先报告学院后勤保卫处；</w:t>
      </w:r>
    </w:p>
    <w:p w14:paraId="3FEA3593">
      <w:pPr>
        <w:pStyle w:val="139"/>
        <w:numPr>
          <w:ilvl w:val="0"/>
          <w:numId w:val="10"/>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保护交通事故现场，报告并协助交警部门处理交通事故；</w:t>
      </w:r>
    </w:p>
    <w:p w14:paraId="542D925F">
      <w:pPr>
        <w:pStyle w:val="139"/>
        <w:numPr>
          <w:ilvl w:val="0"/>
          <w:numId w:val="10"/>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负责校区的交通指挥，在校区重要活动期间加强交通疏导；</w:t>
      </w:r>
    </w:p>
    <w:p w14:paraId="31AC66BD">
      <w:pPr>
        <w:pStyle w:val="139"/>
        <w:numPr>
          <w:ilvl w:val="0"/>
          <w:numId w:val="10"/>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维护校园内良好的交通秩序，确保师生员工交通安全；</w:t>
      </w:r>
    </w:p>
    <w:p w14:paraId="3113C0C0">
      <w:pPr>
        <w:pStyle w:val="139"/>
        <w:numPr>
          <w:ilvl w:val="0"/>
          <w:numId w:val="10"/>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发现校园周边涉及师生员工的交通事故，要及时报警并报学院后勤保卫处。</w:t>
      </w:r>
    </w:p>
    <w:p w14:paraId="31939CC2">
      <w:pPr>
        <w:pStyle w:val="139"/>
        <w:numPr>
          <w:ilvl w:val="0"/>
          <w:numId w:val="10"/>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负责校园门禁系统的日常维护和管理，以及报修。</w:t>
      </w:r>
    </w:p>
    <w:p w14:paraId="5CDA7D63">
      <w:pPr>
        <w:pStyle w:val="139"/>
        <w:numPr>
          <w:ilvl w:val="1"/>
          <w:numId w:val="8"/>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安保岗位设置</w:t>
      </w:r>
    </w:p>
    <w:tbl>
      <w:tblPr>
        <w:tblStyle w:val="45"/>
        <w:tblW w:w="84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442"/>
        <w:gridCol w:w="6310"/>
      </w:tblGrid>
      <w:tr w14:paraId="78CD5D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96" w:type="dxa"/>
            <w:tcBorders>
              <w:tl2br w:val="nil"/>
              <w:tr2bl w:val="nil"/>
            </w:tcBorders>
          </w:tcPr>
          <w:p w14:paraId="54756D01">
            <w:pPr>
              <w:pStyle w:val="13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42" w:type="dxa"/>
            <w:tcBorders>
              <w:tl2br w:val="nil"/>
              <w:tr2bl w:val="nil"/>
            </w:tcBorders>
          </w:tcPr>
          <w:p w14:paraId="7E54EBC6">
            <w:pPr>
              <w:pStyle w:val="13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岗位设置</w:t>
            </w:r>
          </w:p>
        </w:tc>
        <w:tc>
          <w:tcPr>
            <w:tcW w:w="6310" w:type="dxa"/>
            <w:tcBorders>
              <w:tl2br w:val="nil"/>
              <w:tr2bl w:val="nil"/>
            </w:tcBorders>
          </w:tcPr>
          <w:p w14:paraId="54D72E90">
            <w:pPr>
              <w:pStyle w:val="13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主要职责要求</w:t>
            </w:r>
          </w:p>
        </w:tc>
      </w:tr>
      <w:tr w14:paraId="6E719F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l2br w:val="nil"/>
              <w:tr2bl w:val="nil"/>
            </w:tcBorders>
            <w:vAlign w:val="center"/>
          </w:tcPr>
          <w:p w14:paraId="02C494DF">
            <w:pPr>
              <w:pStyle w:val="13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42" w:type="dxa"/>
            <w:tcBorders>
              <w:tl2br w:val="nil"/>
              <w:tr2bl w:val="nil"/>
            </w:tcBorders>
            <w:vAlign w:val="center"/>
          </w:tcPr>
          <w:p w14:paraId="6F34217C">
            <w:pPr>
              <w:pStyle w:val="13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北门</w:t>
            </w:r>
            <w:r>
              <w:rPr>
                <w:rFonts w:hint="eastAsia" w:ascii="宋体" w:hAnsi="宋体" w:eastAsia="宋体" w:cs="宋体"/>
                <w:color w:val="auto"/>
                <w:sz w:val="21"/>
                <w:szCs w:val="21"/>
                <w:highlight w:val="none"/>
              </w:rPr>
              <w:t>门岗</w:t>
            </w:r>
          </w:p>
        </w:tc>
        <w:tc>
          <w:tcPr>
            <w:tcW w:w="6310" w:type="dxa"/>
            <w:vMerge w:val="restart"/>
            <w:tcBorders>
              <w:tl2br w:val="nil"/>
              <w:tr2bl w:val="nil"/>
            </w:tcBorders>
            <w:vAlign w:val="center"/>
          </w:tcPr>
          <w:p w14:paraId="6A829CF6">
            <w:pPr>
              <w:pStyle w:val="138"/>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1.严格对进出学校人员、物品检查验证登记及放行手续；</w:t>
            </w:r>
          </w:p>
          <w:p w14:paraId="1B6F8B3C">
            <w:pPr>
              <w:pStyle w:val="138"/>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2.控制外来闲杂人员进入校区；</w:t>
            </w:r>
          </w:p>
          <w:p w14:paraId="5B109094">
            <w:pPr>
              <w:pStyle w:val="138"/>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3.做好教职工上下班、学生上下课高峰期人员交通安全疏导工作；</w:t>
            </w:r>
          </w:p>
          <w:p w14:paraId="47770267">
            <w:pPr>
              <w:pStyle w:val="138"/>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4.值班点视线范围内安全管理。</w:t>
            </w:r>
          </w:p>
        </w:tc>
      </w:tr>
      <w:tr w14:paraId="4915B2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l2br w:val="nil"/>
              <w:tr2bl w:val="nil"/>
            </w:tcBorders>
            <w:vAlign w:val="center"/>
          </w:tcPr>
          <w:p w14:paraId="3164B83E">
            <w:pPr>
              <w:pStyle w:val="13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42" w:type="dxa"/>
            <w:tcBorders>
              <w:tl2br w:val="nil"/>
              <w:tr2bl w:val="nil"/>
            </w:tcBorders>
            <w:vAlign w:val="center"/>
          </w:tcPr>
          <w:p w14:paraId="60E2B312">
            <w:pPr>
              <w:pStyle w:val="13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南门</w:t>
            </w:r>
            <w:r>
              <w:rPr>
                <w:rFonts w:hint="eastAsia" w:ascii="宋体" w:hAnsi="宋体" w:eastAsia="宋体" w:cs="宋体"/>
                <w:color w:val="auto"/>
                <w:sz w:val="21"/>
                <w:szCs w:val="21"/>
                <w:highlight w:val="none"/>
              </w:rPr>
              <w:t>门岗</w:t>
            </w:r>
          </w:p>
        </w:tc>
        <w:tc>
          <w:tcPr>
            <w:tcW w:w="6310" w:type="dxa"/>
            <w:vMerge w:val="continue"/>
            <w:tcBorders>
              <w:tl2br w:val="nil"/>
              <w:tr2bl w:val="nil"/>
            </w:tcBorders>
            <w:vAlign w:val="center"/>
          </w:tcPr>
          <w:p w14:paraId="47D2F190">
            <w:pPr>
              <w:widowControl/>
              <w:spacing w:line="240" w:lineRule="auto"/>
              <w:jc w:val="left"/>
              <w:rPr>
                <w:rFonts w:hint="eastAsia" w:ascii="宋体" w:hAnsi="宋体" w:eastAsia="宋体" w:cs="宋体"/>
                <w:color w:val="auto"/>
                <w:sz w:val="21"/>
                <w:szCs w:val="21"/>
                <w:highlight w:val="none"/>
              </w:rPr>
            </w:pPr>
          </w:p>
        </w:tc>
      </w:tr>
      <w:tr w14:paraId="25B59B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l2br w:val="nil"/>
              <w:tr2bl w:val="nil"/>
            </w:tcBorders>
            <w:vAlign w:val="center"/>
          </w:tcPr>
          <w:p w14:paraId="74602E00">
            <w:pPr>
              <w:pStyle w:val="13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42" w:type="dxa"/>
            <w:tcBorders>
              <w:tl2br w:val="nil"/>
              <w:tr2bl w:val="nil"/>
            </w:tcBorders>
            <w:vAlign w:val="center"/>
          </w:tcPr>
          <w:p w14:paraId="08647FEF">
            <w:pPr>
              <w:pStyle w:val="13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巡逻岗</w:t>
            </w:r>
          </w:p>
        </w:tc>
        <w:tc>
          <w:tcPr>
            <w:tcW w:w="6310" w:type="dxa"/>
            <w:tcBorders>
              <w:tl2br w:val="nil"/>
              <w:tr2bl w:val="nil"/>
            </w:tcBorders>
            <w:vAlign w:val="center"/>
          </w:tcPr>
          <w:p w14:paraId="7EACE5A1">
            <w:pPr>
              <w:pStyle w:val="138"/>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1.负责巡查清理校园闲杂人员和维护校园内的治安秩序；特别是对学生食堂就餐高峰期要加强安全巡查。做好预防学生被盗被骗等不安全隐患措施。</w:t>
            </w:r>
          </w:p>
          <w:p w14:paraId="7E4C538B">
            <w:pPr>
              <w:pStyle w:val="138"/>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2.负责清理“六乱”，主要是送外卖、乱摆卖、乱张贴、车辆乱停放；</w:t>
            </w:r>
          </w:p>
          <w:p w14:paraId="65AD1F0A">
            <w:pPr>
              <w:pStyle w:val="138"/>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3.按消防法有关规定，每天落实对校园所属消防器材设施巡查登记；对学生宿舍每二小时巡查一次；及时发现火灾隐患和清理消除占用消防通道等各种不安全隐患。</w:t>
            </w:r>
          </w:p>
          <w:p w14:paraId="3681B1DF">
            <w:pPr>
              <w:pStyle w:val="138"/>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4.负责随时处理校园突发事件。</w:t>
            </w:r>
          </w:p>
        </w:tc>
      </w:tr>
      <w:tr w14:paraId="19D6A1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l2br w:val="nil"/>
              <w:tr2bl w:val="nil"/>
            </w:tcBorders>
            <w:vAlign w:val="center"/>
          </w:tcPr>
          <w:p w14:paraId="10442F46">
            <w:pPr>
              <w:pStyle w:val="13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442" w:type="dxa"/>
            <w:tcBorders>
              <w:tl2br w:val="nil"/>
              <w:tr2bl w:val="nil"/>
            </w:tcBorders>
            <w:vAlign w:val="center"/>
          </w:tcPr>
          <w:p w14:paraId="41709D0D">
            <w:pPr>
              <w:pStyle w:val="13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监控岗</w:t>
            </w:r>
          </w:p>
        </w:tc>
        <w:tc>
          <w:tcPr>
            <w:tcW w:w="6310" w:type="dxa"/>
            <w:tcBorders>
              <w:tl2br w:val="nil"/>
              <w:tr2bl w:val="nil"/>
            </w:tcBorders>
            <w:vAlign w:val="center"/>
          </w:tcPr>
          <w:p w14:paraId="278110B0">
            <w:pPr>
              <w:pStyle w:val="138"/>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1.接警或发现不安全隐患后，要马上通报有关值班员并及时向有关领导报告处理；</w:t>
            </w:r>
          </w:p>
          <w:p w14:paraId="0943694C">
            <w:pPr>
              <w:pStyle w:val="138"/>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2.平时密切观察校园视频范围内动态，对重点部位，重点布防做好设备技术处理并详细做好记录。</w:t>
            </w:r>
          </w:p>
          <w:p w14:paraId="772806EB">
            <w:pPr>
              <w:pStyle w:val="138"/>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对监控系统设备出现故障要及时通报维保单位，保持监控系统设备处于完好状态。</w:t>
            </w:r>
          </w:p>
        </w:tc>
      </w:tr>
      <w:tr w14:paraId="18D4CE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l2br w:val="nil"/>
              <w:tr2bl w:val="nil"/>
            </w:tcBorders>
            <w:vAlign w:val="center"/>
          </w:tcPr>
          <w:p w14:paraId="01FCBAC3">
            <w:pPr>
              <w:pStyle w:val="13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442" w:type="dxa"/>
            <w:tcBorders>
              <w:tl2br w:val="nil"/>
              <w:tr2bl w:val="nil"/>
            </w:tcBorders>
            <w:vAlign w:val="center"/>
          </w:tcPr>
          <w:p w14:paraId="62E66754">
            <w:pPr>
              <w:pStyle w:val="13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行政楼岗</w:t>
            </w:r>
          </w:p>
        </w:tc>
        <w:tc>
          <w:tcPr>
            <w:tcW w:w="6310" w:type="dxa"/>
            <w:tcBorders>
              <w:tl2br w:val="nil"/>
              <w:tr2bl w:val="nil"/>
            </w:tcBorders>
            <w:vAlign w:val="center"/>
          </w:tcPr>
          <w:p w14:paraId="1FA47AFF">
            <w:pPr>
              <w:pStyle w:val="138"/>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1.对师生员工凭有效证件出入大楼；</w:t>
            </w:r>
          </w:p>
          <w:p w14:paraId="6EE2695F">
            <w:pPr>
              <w:pStyle w:val="138"/>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2.外来人员凭有效证件办理出入登记手续；</w:t>
            </w:r>
          </w:p>
          <w:p w14:paraId="4A43FF71">
            <w:pPr>
              <w:pStyle w:val="138"/>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3.对设备物品出入大楼需经校有关单位领导批准或有效证明经验证登记检查后才能放行；</w:t>
            </w:r>
          </w:p>
          <w:p w14:paraId="0D9607F1">
            <w:pPr>
              <w:pStyle w:val="138"/>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4.按时开放、关闭大门；</w:t>
            </w:r>
          </w:p>
          <w:p w14:paraId="58C48D67">
            <w:pPr>
              <w:pStyle w:val="138"/>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5.加强楼层安全巡查和管理工作；</w:t>
            </w:r>
          </w:p>
          <w:p w14:paraId="069BFD05">
            <w:pPr>
              <w:pStyle w:val="138"/>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6.值班点视线范围内的安全管理。</w:t>
            </w:r>
          </w:p>
        </w:tc>
      </w:tr>
      <w:tr w14:paraId="3D347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l2br w:val="nil"/>
              <w:tr2bl w:val="nil"/>
            </w:tcBorders>
            <w:vAlign w:val="center"/>
          </w:tcPr>
          <w:p w14:paraId="37C613AF">
            <w:pPr>
              <w:pStyle w:val="13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442" w:type="dxa"/>
            <w:tcBorders>
              <w:tl2br w:val="nil"/>
              <w:tr2bl w:val="nil"/>
            </w:tcBorders>
            <w:vAlign w:val="center"/>
          </w:tcPr>
          <w:p w14:paraId="3DE79B2C">
            <w:pPr>
              <w:pStyle w:val="13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交通指挥岗</w:t>
            </w:r>
          </w:p>
        </w:tc>
        <w:tc>
          <w:tcPr>
            <w:tcW w:w="6310" w:type="dxa"/>
            <w:tcBorders>
              <w:tl2br w:val="nil"/>
              <w:tr2bl w:val="nil"/>
            </w:tcBorders>
            <w:vAlign w:val="center"/>
          </w:tcPr>
          <w:p w14:paraId="4B6C2884">
            <w:pPr>
              <w:pStyle w:val="138"/>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负责行政楼前坪交通指挥、保证车辆有序规范停放。</w:t>
            </w:r>
          </w:p>
        </w:tc>
      </w:tr>
      <w:tr w14:paraId="2C1C90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l2br w:val="nil"/>
              <w:tr2bl w:val="nil"/>
            </w:tcBorders>
            <w:vAlign w:val="center"/>
          </w:tcPr>
          <w:p w14:paraId="04B34409">
            <w:pPr>
              <w:pStyle w:val="13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442" w:type="dxa"/>
            <w:tcBorders>
              <w:tl2br w:val="nil"/>
              <w:tr2bl w:val="nil"/>
            </w:tcBorders>
            <w:vAlign w:val="center"/>
          </w:tcPr>
          <w:p w14:paraId="193F984E">
            <w:pPr>
              <w:pStyle w:val="13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图书馆岗</w:t>
            </w:r>
          </w:p>
        </w:tc>
        <w:tc>
          <w:tcPr>
            <w:tcW w:w="6310" w:type="dxa"/>
            <w:tcBorders>
              <w:tl2br w:val="nil"/>
              <w:tr2bl w:val="nil"/>
            </w:tcBorders>
            <w:vAlign w:val="center"/>
          </w:tcPr>
          <w:p w14:paraId="4D5FA3C2">
            <w:pPr>
              <w:pStyle w:val="138"/>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1.对师生员工凭有效证件出入大楼；</w:t>
            </w:r>
          </w:p>
          <w:p w14:paraId="24B81598">
            <w:pPr>
              <w:pStyle w:val="138"/>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2.外来人员凭有效证件办理出入登记手续；</w:t>
            </w:r>
          </w:p>
          <w:p w14:paraId="0BE01376">
            <w:pPr>
              <w:pStyle w:val="138"/>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3.对设备物品出入大楼需经校有关单位领导批准或有效证明经验证登记检查后才能放行；</w:t>
            </w:r>
          </w:p>
          <w:p w14:paraId="1191A558">
            <w:pPr>
              <w:pStyle w:val="138"/>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4.按时开放、关闭大门；</w:t>
            </w:r>
          </w:p>
          <w:p w14:paraId="057B1566">
            <w:pPr>
              <w:pStyle w:val="138"/>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5.加强楼层安全巡查和管理工作；</w:t>
            </w:r>
          </w:p>
          <w:p w14:paraId="35C7D419">
            <w:pPr>
              <w:pStyle w:val="138"/>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6.值班点视线范围内的安全管理。</w:t>
            </w:r>
          </w:p>
        </w:tc>
      </w:tr>
      <w:tr w14:paraId="033D0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l2br w:val="nil"/>
              <w:tr2bl w:val="nil"/>
            </w:tcBorders>
            <w:vAlign w:val="center"/>
          </w:tcPr>
          <w:p w14:paraId="7D1FF3E9">
            <w:pPr>
              <w:pStyle w:val="13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442" w:type="dxa"/>
            <w:tcBorders>
              <w:tl2br w:val="nil"/>
              <w:tr2bl w:val="nil"/>
            </w:tcBorders>
            <w:vAlign w:val="center"/>
          </w:tcPr>
          <w:p w14:paraId="63A8D8A0">
            <w:pPr>
              <w:pStyle w:val="13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学生宿舍岗</w:t>
            </w:r>
          </w:p>
        </w:tc>
        <w:tc>
          <w:tcPr>
            <w:tcW w:w="6310" w:type="dxa"/>
            <w:tcBorders>
              <w:tl2br w:val="nil"/>
              <w:tr2bl w:val="nil"/>
            </w:tcBorders>
            <w:vAlign w:val="center"/>
          </w:tcPr>
          <w:p w14:paraId="3FC28405">
            <w:pPr>
              <w:pStyle w:val="138"/>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1.对师生员工凭有效证件出入大楼；</w:t>
            </w:r>
          </w:p>
          <w:p w14:paraId="48614ABA">
            <w:pPr>
              <w:pStyle w:val="138"/>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2.外来人员凭有效证件办理出入登记手续；</w:t>
            </w:r>
          </w:p>
          <w:p w14:paraId="73339993">
            <w:pPr>
              <w:pStyle w:val="138"/>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3.对设备物品出入大楼需经校有关单位领导批准或有效证明经验证登记检查后才能放行；</w:t>
            </w:r>
          </w:p>
          <w:p w14:paraId="69D0620E">
            <w:pPr>
              <w:pStyle w:val="138"/>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4.按时开放、关闭大门；</w:t>
            </w:r>
          </w:p>
          <w:p w14:paraId="6496F7B9">
            <w:pPr>
              <w:pStyle w:val="138"/>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5.加强楼层安全巡查和管理工作；</w:t>
            </w:r>
          </w:p>
          <w:p w14:paraId="126C1358">
            <w:pPr>
              <w:pStyle w:val="138"/>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6.值班点视线范围内的安全管理。</w:t>
            </w:r>
          </w:p>
        </w:tc>
      </w:tr>
    </w:tbl>
    <w:p w14:paraId="7208699D">
      <w:pPr>
        <w:pStyle w:val="139"/>
        <w:spacing w:line="360" w:lineRule="auto"/>
        <w:ind w:firstLine="420" w:firstLineChars="20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rPr>
        <w:t>、特别要求：</w:t>
      </w:r>
    </w:p>
    <w:p w14:paraId="26E2433B">
      <w:pPr>
        <w:pStyle w:val="112"/>
        <w:numPr>
          <w:ilvl w:val="3"/>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1</w:t>
      </w:r>
      <w:r>
        <w:rPr>
          <w:rFonts w:hint="eastAsia" w:ascii="宋体" w:hAnsi="宋体" w:eastAsia="宋体" w:cs="Times New Roman"/>
          <w:color w:val="auto"/>
          <w:kern w:val="2"/>
          <w:sz w:val="21"/>
          <w:szCs w:val="21"/>
          <w:highlight w:val="none"/>
          <w:lang w:val="en-US" w:eastAsia="zh-CN" w:bidi="ar-SA"/>
        </w:rPr>
        <w:t>)</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自开始保安服务之日起30日内向物业所在地设区的市级人民政府公安机关办理备案，并于终止保安服务之日起30日内到备案的公安机关撤销备案；所有保安员必须持有《保安员证》。</w:t>
      </w:r>
    </w:p>
    <w:p w14:paraId="021423B6">
      <w:pPr>
        <w:pStyle w:val="112"/>
        <w:numPr>
          <w:ilvl w:val="3"/>
          <w:numId w:val="0"/>
        </w:numPr>
        <w:spacing w:line="360" w:lineRule="auto"/>
        <w:ind w:left="0" w:leftChars="0" w:firstLine="420" w:firstLineChars="200"/>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（2）保安人员中应不少于2名具有《建（构）筑物消防员证》。</w:t>
      </w:r>
    </w:p>
    <w:p w14:paraId="5F9246C6">
      <w:pPr>
        <w:pStyle w:val="112"/>
        <w:numPr>
          <w:ilvl w:val="3"/>
          <w:numId w:val="0"/>
        </w:numPr>
        <w:spacing w:line="360" w:lineRule="auto"/>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Times New Roman"/>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w:t>
      </w:r>
      <w:r>
        <w:rPr>
          <w:rFonts w:hint="eastAsia" w:ascii="宋体" w:hAnsi="宋体" w:eastAsia="宋体" w:cs="宋体"/>
          <w:color w:val="auto"/>
          <w:sz w:val="21"/>
          <w:szCs w:val="21"/>
          <w:highlight w:val="none"/>
        </w:rPr>
        <w:t>监控值班人员必须取得</w:t>
      </w:r>
      <w:r>
        <w:rPr>
          <w:rFonts w:ascii="Helvetica" w:hAnsi="Helvetica" w:eastAsia="Helvetica" w:cs="Helvetica"/>
          <w:i w:val="0"/>
          <w:iCs w:val="0"/>
          <w:caps w:val="0"/>
          <w:color w:val="auto"/>
          <w:spacing w:val="0"/>
          <w:sz w:val="21"/>
          <w:szCs w:val="21"/>
          <w:highlight w:val="none"/>
          <w:shd w:val="clear" w:fill="FFFFFF"/>
        </w:rPr>
        <w:t>中级</w:t>
      </w:r>
      <w:r>
        <w:rPr>
          <w:rFonts w:hint="default" w:ascii="Helvetica" w:hAnsi="Helvetica" w:eastAsia="Helvetica" w:cs="Helvetica"/>
          <w:i w:val="0"/>
          <w:iCs w:val="0"/>
          <w:caps w:val="0"/>
          <w:color w:val="auto"/>
          <w:spacing w:val="0"/>
          <w:sz w:val="21"/>
          <w:szCs w:val="21"/>
          <w:highlight w:val="none"/>
          <w:shd w:val="clear" w:fill="FFFFFF"/>
        </w:rPr>
        <w:t>消防设施操作员（国家职业资格四级）</w:t>
      </w:r>
      <w:r>
        <w:rPr>
          <w:rFonts w:hint="eastAsia" w:ascii="Helvetica" w:hAnsi="Helvetica" w:eastAsia="宋体" w:cs="Helvetica"/>
          <w:i w:val="0"/>
          <w:iCs w:val="0"/>
          <w:caps w:val="0"/>
          <w:color w:val="auto"/>
          <w:spacing w:val="0"/>
          <w:sz w:val="21"/>
          <w:szCs w:val="21"/>
          <w:highlight w:val="none"/>
          <w:shd w:val="clear" w:fill="FFFFFF"/>
          <w:lang w:eastAsia="zh-CN"/>
        </w:rPr>
        <w:t>及以上证书。</w:t>
      </w:r>
    </w:p>
    <w:p w14:paraId="3D2A8127">
      <w:pPr>
        <w:pStyle w:val="112"/>
        <w:numPr>
          <w:ilvl w:val="3"/>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物业单位</w:t>
      </w:r>
      <w:r>
        <w:rPr>
          <w:rFonts w:hint="eastAsia" w:ascii="宋体" w:hAnsi="宋体" w:eastAsia="宋体" w:cs="宋体"/>
          <w:color w:val="auto"/>
          <w:sz w:val="21"/>
          <w:szCs w:val="21"/>
          <w:highlight w:val="none"/>
        </w:rPr>
        <w:t>在管理运作期间，按实际情况对人员进行优化组合，在岗位需要调整时，需及时书面报后勤保卫处，经批准实施调整。</w:t>
      </w:r>
    </w:p>
    <w:p w14:paraId="76FA51FB">
      <w:pPr>
        <w:pStyle w:val="112"/>
        <w:numPr>
          <w:ilvl w:val="3"/>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4</w:t>
      </w:r>
      <w:r>
        <w:rPr>
          <w:rFonts w:hint="eastAsia" w:ascii="宋体" w:hAnsi="宋体" w:eastAsia="宋体" w:cs="Times New Roman"/>
          <w:color w:val="auto"/>
          <w:kern w:val="2"/>
          <w:sz w:val="21"/>
          <w:szCs w:val="21"/>
          <w:highlight w:val="none"/>
          <w:lang w:val="en-US" w:eastAsia="zh-CN" w:bidi="ar-SA"/>
        </w:rPr>
        <w:t>)</w:t>
      </w:r>
      <w:r>
        <w:rPr>
          <w:rFonts w:hint="eastAsia" w:ascii="宋体" w:hAnsi="宋体" w:eastAsia="宋体" w:cs="宋体"/>
          <w:color w:val="auto"/>
          <w:sz w:val="21"/>
          <w:szCs w:val="21"/>
          <w:highlight w:val="none"/>
        </w:rPr>
        <w:t>在管理运作过程中，后勤保卫处可根据实际需要提出岗位调整（按调整后的岗位职责管理），在不违反岗位数、总人数的前提下，</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必须执行。</w:t>
      </w:r>
    </w:p>
    <w:p w14:paraId="2B873B2D">
      <w:pPr>
        <w:pStyle w:val="112"/>
        <w:numPr>
          <w:ilvl w:val="3"/>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5</w:t>
      </w:r>
      <w:r>
        <w:rPr>
          <w:rFonts w:hint="eastAsia" w:ascii="宋体" w:hAnsi="宋体" w:eastAsia="宋体" w:cs="Times New Roman"/>
          <w:color w:val="auto"/>
          <w:kern w:val="2"/>
          <w:sz w:val="21"/>
          <w:szCs w:val="21"/>
          <w:highlight w:val="none"/>
          <w:lang w:val="en-US" w:eastAsia="zh-CN" w:bidi="ar-SA"/>
        </w:rPr>
        <w:t>)</w:t>
      </w:r>
      <w:r>
        <w:rPr>
          <w:rFonts w:hint="eastAsia" w:ascii="宋体" w:hAnsi="宋体" w:eastAsia="宋体" w:cs="宋体"/>
          <w:color w:val="auto"/>
          <w:sz w:val="21"/>
          <w:szCs w:val="21"/>
          <w:highlight w:val="none"/>
        </w:rPr>
        <w:t>后勤保卫处每</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rPr>
        <w:t>对</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保安员的持证情况、保安员人员进出情况、劳动用工制度的执行方面进行监督和检查，并对当月校园安全工作进行考核验收，经后勤保卫处负责人签名确认后，方可进行安保管理费用的结算。</w:t>
      </w:r>
    </w:p>
    <w:p w14:paraId="2F103EB5">
      <w:pPr>
        <w:pStyle w:val="138"/>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（二）卫生清洁保洁服务</w:t>
      </w:r>
    </w:p>
    <w:p w14:paraId="4A3FA874">
      <w:pPr>
        <w:pStyle w:val="1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清洁保洁范围：具体负责公共区域（如走廊、楼梯等）、公共场地（包括绿化地）、厕所、办公室、停车场、运动场等清洁及保洁。</w:t>
      </w:r>
    </w:p>
    <w:p w14:paraId="2FECF938">
      <w:pPr>
        <w:pStyle w:val="1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清洁（上班）时间：早上7：00—11:00、下午14:00—1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:00。</w:t>
      </w:r>
    </w:p>
    <w:p w14:paraId="634B9010">
      <w:pPr>
        <w:pStyle w:val="1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物业单位</w:t>
      </w:r>
      <w:r>
        <w:rPr>
          <w:rFonts w:hint="eastAsia" w:ascii="宋体" w:hAnsi="宋体" w:eastAsia="宋体" w:cs="宋体"/>
          <w:color w:val="auto"/>
          <w:sz w:val="21"/>
          <w:szCs w:val="21"/>
          <w:highlight w:val="none"/>
          <w:lang w:val="en-US" w:eastAsia="zh-CN"/>
        </w:rPr>
        <w:t>工作要求：</w:t>
      </w:r>
    </w:p>
    <w:p w14:paraId="1CE89726">
      <w:pPr>
        <w:pStyle w:val="112"/>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天对学校门前、学校内道路、广场定时清扫。对主干路段除定时清扫外，应安排固定人员巡回保洁。下雨天应及时清扫路面，确保路面无积水。旱季时每月冲洗一次路面，雨季每周冲洗一次。定期对各楼栋公共部位的墙壁、天花板、铝合金门窗等进行打扫、清洁。厕所要求平时每天上午、下午各至少冲洗2次，每周一次用清洁剂除垢。办公楼、教学楼要求每天8:00前完成垃圾清理。每天要求至少2次的卫生保洁。在完成必要的清洁工作后，各工作人员必须对公共区进行巡查保洁，以保证整个服务区的整洁。</w:t>
      </w:r>
    </w:p>
    <w:p w14:paraId="6DCAF53B">
      <w:pPr>
        <w:pStyle w:val="112"/>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负责学院内管理范围的卫生清扫保洁，保持管理范围的干净、整洁。包括但不限于：地面无垃圾、杂物、污迹、积水；厕所无蝇蛆、淤塞、异味；走廊、通道、楼梯、楼梯扶手、门窗、幕墙干净整洁及梯间畅通无杂物。每天巡回保洁8小时；负责教学楼及教室、图书馆、实训楼清洁，每日扫地一次及抹桌椅和门窗一次、每周拖地面二次。以上工作需在上课前半小时完成；每学期清洗学院所有的电风扇及灯具一次、清洗空调滤网一次；对室内如有配置的设备如：电脑、麦克风、投影机等，每天在保洁后要如数清点，并做好登记和上锁；会议室 ，每次会议前后全面清洁一次，平时每周拖地、吸尘一次；电梯间及不锈钢用品每周打不锈钢油一次；洗手间每日大洗一次冲洗四次；做好清洗记录备检查。定期清洁指示牌、路灯、楼梯扶手、消防器材、摆设物及装饰品、果皮箱、垃圾桶、墙面乱张乱贴。</w:t>
      </w:r>
    </w:p>
    <w:p w14:paraId="767E6008">
      <w:pPr>
        <w:pStyle w:val="112"/>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天收集各办公场所垃圾一次，及时清理果皮箱垃圾，生活垃圾日产日清并送至学院垃圾收纳站点；垃圾袋、垃圾筐、机械设备、工具及在清洁卫生中所需要的消耗物料及垃圾集中归集并外运至城市垃圾处理站所需的设备、车辆由中标人负责；刮风下雨前关好各建筑物门窗，防止发生安全事故、防止风雨刮进室内； 负责学院内湖面清洁工作；负责学院内化粪池的清理工作和费用；负责学院内排水管道、井的疏通清理工作。保证污水排放畅通无阻；负责学院非绿化带以外地段杂草的清除工作。每周定期与校区后勤管理员交流互通工作情况，并负责卫生宣传品张贴，负责学生宿舍、办公室消灭“四害”用品派发，并协助做好除“四害”工作，除四害用品由采购人提供。</w:t>
      </w:r>
    </w:p>
    <w:p w14:paraId="69E5BB1C">
      <w:pPr>
        <w:pStyle w:val="112"/>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负责电梯的日常保洁及电梯保养工作。 </w:t>
      </w:r>
    </w:p>
    <w:p w14:paraId="6DE77FE4">
      <w:pPr>
        <w:pStyle w:val="112"/>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保洁人员的年龄要有限高要求（男60岁以下，女55岁以下），身体健康，没有受过司法处分，没有被其他单位开除经历，没有四肢视听障碍、严重心理疾病、性变态人员等。</w:t>
      </w:r>
    </w:p>
    <w:p w14:paraId="5E513B0A">
      <w:pPr>
        <w:pStyle w:val="138"/>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（三）学生宿舍管理</w:t>
      </w:r>
    </w:p>
    <w:p w14:paraId="5FDC151B">
      <w:pPr>
        <w:pStyle w:val="11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负责学生宿舍区房间以外区域、公用设施的卫生保洁；配合学工处等部门做好学生宿舍内的日常卫生检查和评比；</w:t>
      </w:r>
    </w:p>
    <w:p w14:paraId="2E2E998E">
      <w:pPr>
        <w:pStyle w:val="11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负责学生宿舍楼的治安管理，每栋宿舍楼须配专职宿管员24小时三班制值班；专职宿管员名单及其驻守的宿舍由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向学院宿管科报备，如需人员更换应提前1个月报宿管科备案；</w:t>
      </w:r>
    </w:p>
    <w:p w14:paraId="2FB9C776">
      <w:pPr>
        <w:pStyle w:val="11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维护学生宿舍正常的学习、生活秩序；检查作息，督促学生按时熄灯。检查学生晚归、外宿情况，每班巡查所辖宿舍二次以上，并每月将检查结果汇总上报学院； </w:t>
      </w:r>
    </w:p>
    <w:p w14:paraId="37F96200">
      <w:pPr>
        <w:pStyle w:val="11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严格执行学生宿舍会客制度，做好来访客人登记工作。监督学生宿舍不准留宿外人；严格执行男生不得进入女生宿舍；女生不得进入男生宿舍的管理规定。</w:t>
      </w:r>
    </w:p>
    <w:p w14:paraId="2EAF1744">
      <w:pPr>
        <w:pStyle w:val="11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负责宿舍锁匙的发放、回收工作，做好室内所配桌椅及家具的交接工作；</w:t>
      </w:r>
    </w:p>
    <w:p w14:paraId="57EF4B25">
      <w:pPr>
        <w:pStyle w:val="11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做好学生宿舍巡查，对损坏宿舍设备设施、乱拉电线、违规使用电器等违反学生宿舍管理制度的，要及时制止并报学院学生工作处；</w:t>
      </w:r>
    </w:p>
    <w:p w14:paraId="3E7CEE78">
      <w:pPr>
        <w:pStyle w:val="11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不得占用学生宿舍和改变其使用功能；</w:t>
      </w:r>
    </w:p>
    <w:p w14:paraId="012B73FF">
      <w:pPr>
        <w:pStyle w:val="11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负责假期不离校学生的住宿管理； </w:t>
      </w:r>
    </w:p>
    <w:p w14:paraId="69FF86B4">
      <w:pPr>
        <w:pStyle w:val="11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加强与学生的交流，关爱学生，构建和谐校园；</w:t>
      </w:r>
    </w:p>
    <w:p w14:paraId="77B72FBA">
      <w:pPr>
        <w:pStyle w:val="11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学生宿舍管理工作接受学工处的领导；参加由相关部门组织的，系主管领导、相关部门领导及学生代表参加的，对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宿舍服务与管理的意见征求会；听取学工处等相关部门和学生的服务需求和意见，并及时进行整改，不断提高服务质量和效率；</w:t>
      </w:r>
    </w:p>
    <w:p w14:paraId="3049C72A">
      <w:pPr>
        <w:pStyle w:val="11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协同学生处、后勤保卫处做好学生宿舍检查工作；</w:t>
      </w:r>
    </w:p>
    <w:p w14:paraId="6F00400F">
      <w:pPr>
        <w:pStyle w:val="11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严格执行学院学生宿舍管理规章制度，明确各类工作人员职责，定期培训工作人员，定期考核各类工作人员； </w:t>
      </w:r>
    </w:p>
    <w:p w14:paraId="314E8C98">
      <w:pPr>
        <w:pStyle w:val="11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学生宿舍宿管员不得擅自离岗或做与本岗位无关的工作，发现宿管员离岗一次进行通报，二次以上每次扣发管理费</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00元。</w:t>
      </w:r>
    </w:p>
    <w:p w14:paraId="2F06549E">
      <w:pPr>
        <w:pStyle w:val="11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对宿舍管理员的年龄要有限高要求（男60岁以下，女55岁以下），身体健康，没有受过司法处分，没有被其他单位开除经历，没有四肢视听障碍、严重心理疾病、性变态人员等。</w:t>
      </w:r>
    </w:p>
    <w:p w14:paraId="24F66DF9">
      <w:pPr>
        <w:pStyle w:val="138"/>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（四）水、电、木日常维护、维修及中央空调</w:t>
      </w:r>
      <w:r>
        <w:rPr>
          <w:rFonts w:hint="eastAsia" w:ascii="宋体" w:hAnsi="宋体" w:cs="宋体"/>
          <w:b/>
          <w:bCs/>
          <w:color w:val="auto"/>
          <w:sz w:val="21"/>
          <w:szCs w:val="21"/>
          <w:highlight w:val="none"/>
          <w:lang w:eastAsia="zh-CN"/>
        </w:rPr>
        <w:t>、电梯日常维护保养</w:t>
      </w:r>
      <w:r>
        <w:rPr>
          <w:rFonts w:hint="eastAsia" w:ascii="宋体" w:hAnsi="宋体" w:eastAsia="宋体" w:cs="宋体"/>
          <w:b/>
          <w:bCs/>
          <w:color w:val="auto"/>
          <w:sz w:val="21"/>
          <w:szCs w:val="21"/>
          <w:highlight w:val="none"/>
        </w:rPr>
        <w:t>运行要求</w:t>
      </w:r>
    </w:p>
    <w:p w14:paraId="73E351E4">
      <w:pPr>
        <w:pStyle w:val="138"/>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1、房屋的使用管理、维修</w:t>
      </w:r>
    </w:p>
    <w:p w14:paraId="75ABAF20">
      <w:pPr>
        <w:pStyle w:val="1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（1）根据房屋实际使用年限，定期检查房屋建筑的使用状况；</w:t>
      </w:r>
    </w:p>
    <w:p w14:paraId="58E4CBEA">
      <w:pPr>
        <w:pStyle w:val="1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（2）需要维修，属于小修范围的，及时组织修复；</w:t>
      </w:r>
    </w:p>
    <w:p w14:paraId="4773440A">
      <w:pPr>
        <w:pStyle w:val="1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（3）属于保修范围的，按保修工作流程及时向业主单位提出报告与建议，并协助保修单位维修；</w:t>
      </w:r>
    </w:p>
    <w:p w14:paraId="68F6C12E">
      <w:pPr>
        <w:pStyle w:val="1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（4）编</w:t>
      </w:r>
      <w:r>
        <w:rPr>
          <w:rFonts w:hint="eastAsia" w:ascii="宋体" w:hAnsi="宋体" w:eastAsia="宋体" w:cs="宋体"/>
          <w:color w:val="auto"/>
          <w:sz w:val="21"/>
          <w:szCs w:val="21"/>
          <w:highlight w:val="none"/>
          <w:lang w:eastAsia="zh-CN"/>
        </w:rPr>
        <w:t>制</w:t>
      </w:r>
      <w:r>
        <w:rPr>
          <w:rFonts w:hint="eastAsia" w:ascii="宋体" w:hAnsi="宋体" w:eastAsia="宋体" w:cs="宋体"/>
          <w:color w:val="auto"/>
          <w:sz w:val="21"/>
          <w:szCs w:val="21"/>
          <w:highlight w:val="none"/>
        </w:rPr>
        <w:t>合理的维修养护计划，建立设施、设备档案，设施设备的运行、检查、维修、保养等记录齐全；</w:t>
      </w:r>
    </w:p>
    <w:p w14:paraId="7B3DA14D">
      <w:pPr>
        <w:pStyle w:val="1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（5）监督使用人合理使用房产，制止使用人任意拆动原房屋结构，任意改变房屋用途的行为；</w:t>
      </w:r>
    </w:p>
    <w:p w14:paraId="0CE75231">
      <w:pPr>
        <w:pStyle w:val="1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（6）各类设备设施信息记录清晰明确,台帐清楚；</w:t>
      </w:r>
    </w:p>
    <w:p w14:paraId="0F9FDE58">
      <w:pPr>
        <w:pStyle w:val="1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（7）保养维修及时，保证房屋及设备设施的正常使用；</w:t>
      </w:r>
    </w:p>
    <w:p w14:paraId="4EA0C8E5">
      <w:pPr>
        <w:pStyle w:val="1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（8）根据房屋使用情况，制定年度保养维修计划；</w:t>
      </w:r>
    </w:p>
    <w:p w14:paraId="56DA79FA">
      <w:pPr>
        <w:pStyle w:val="1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（9）建立完善的管理、检查、保养、考核制度；</w:t>
      </w:r>
    </w:p>
    <w:p w14:paraId="06382C95">
      <w:pPr>
        <w:pStyle w:val="138"/>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2、设施设备维修养护</w:t>
      </w:r>
    </w:p>
    <w:p w14:paraId="5D6CB103">
      <w:pPr>
        <w:pStyle w:val="138"/>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（1）供配电设备</w:t>
      </w:r>
    </w:p>
    <w:p w14:paraId="64FA9D0D">
      <w:pPr>
        <w:pStyle w:val="1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A、根据高压供电设备管理规定定时对设备进行巡查并做好巡查记录；</w:t>
      </w:r>
    </w:p>
    <w:p w14:paraId="696D4A5D">
      <w:pPr>
        <w:pStyle w:val="1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B、每周打扫配电房一次，每月清洁配电柜一次。双电源柜(箱)“运行”与“备用”每月切换检查一次，并记录《设备定期启动表》；</w:t>
      </w:r>
    </w:p>
    <w:p w14:paraId="782F3652">
      <w:pPr>
        <w:pStyle w:val="1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C、按《房屋、设备、设施（年度）周期检查、保养计划表》和《供配电设备（设施）维修保养规程》的内容要求进行周期检查、保养，并将结果记录于《设备、设施周期检查、保养记录表》内；</w:t>
      </w:r>
    </w:p>
    <w:p w14:paraId="170F0AF9">
      <w:pPr>
        <w:pStyle w:val="1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D、供配电设备、设施维修工作记录于《房屋、设备、设施维修记录表》内；</w:t>
      </w:r>
    </w:p>
    <w:p w14:paraId="2B03EB01">
      <w:pPr>
        <w:pStyle w:val="1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E、供配电设备发生异常和故障及时报告，并在《设备故障记录表》中记录，按操作规程排除异常和故障。</w:t>
      </w:r>
    </w:p>
    <w:p w14:paraId="76BF6A28">
      <w:pPr>
        <w:pStyle w:val="138"/>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（2）供水及消防设备</w:t>
      </w:r>
    </w:p>
    <w:p w14:paraId="2324BB48">
      <w:pPr>
        <w:pStyle w:val="1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A、日常巡视</w:t>
      </w:r>
    </w:p>
    <w:p w14:paraId="5FBD794B">
      <w:pPr>
        <w:pStyle w:val="1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机电维修工每日一次按照《房屋、设备、设施巡视内容与程序》巡视泵房设备，记录《水泵房巡视记录表》。设备发生异常和故障及时报告，记录《设备故障记录表》，并在工程主管协同下排除异常和故障；</w:t>
      </w:r>
    </w:p>
    <w:p w14:paraId="16AFF0DF">
      <w:pPr>
        <w:pStyle w:val="1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B、定期检查</w:t>
      </w:r>
    </w:p>
    <w:p w14:paraId="4CD27CCD">
      <w:pPr>
        <w:pStyle w:val="1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机电维修工负责每月一次消防栓泵、喷淋泵、双电源启动测试，记录《设备定期启动记录表》；由维修主管组织，由安防人员和机电维修工参与操作，每年一次进行消防栓、喷淋系统测试；电源、控制联动功能以及报警安全系统的测试。记录《消防栓、喷淋系统测试记录表》。</w:t>
      </w:r>
    </w:p>
    <w:p w14:paraId="2DF2697C">
      <w:pPr>
        <w:pStyle w:val="1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C、维修保养</w:t>
      </w:r>
    </w:p>
    <w:p w14:paraId="6353180F">
      <w:pPr>
        <w:pStyle w:val="1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①、设备机房每周打扫一次，机组每月清洁一次。消防泵“运行”与“备用”每月定期启动后交替更换一次；</w:t>
      </w:r>
    </w:p>
    <w:p w14:paraId="613E85A9">
      <w:pPr>
        <w:pStyle w:val="1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②、按《房屋、设备、设施（年度）周期检查、保养计划表》的内容要求进行周期检查、保养，并将结果记录于《设备、设施周期检查、保养记录表》内；</w:t>
      </w:r>
    </w:p>
    <w:p w14:paraId="5DADB70C">
      <w:pPr>
        <w:pStyle w:val="1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③、设施维修工作记录于《房屋、设备、设施维修记录表》。</w:t>
      </w:r>
    </w:p>
    <w:p w14:paraId="063649DF">
      <w:pPr>
        <w:pStyle w:val="138"/>
        <w:spacing w:line="360" w:lineRule="auto"/>
        <w:ind w:firstLine="422"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中央空调</w:t>
      </w:r>
      <w:r>
        <w:rPr>
          <w:rFonts w:hint="eastAsia" w:ascii="宋体" w:hAnsi="宋体" w:eastAsia="宋体" w:cs="宋体"/>
          <w:b/>
          <w:bCs/>
          <w:color w:val="auto"/>
          <w:sz w:val="21"/>
          <w:szCs w:val="21"/>
          <w:highlight w:val="none"/>
        </w:rPr>
        <w:t>设备</w:t>
      </w:r>
      <w:r>
        <w:rPr>
          <w:rFonts w:hint="eastAsia" w:ascii="宋体" w:hAnsi="宋体" w:eastAsia="宋体" w:cs="宋体"/>
          <w:color w:val="auto"/>
          <w:kern w:val="2"/>
          <w:sz w:val="21"/>
          <w:szCs w:val="21"/>
          <w:highlight w:val="none"/>
          <w:lang w:val="en-US" w:eastAsia="zh-CN" w:bidi="ar-SA"/>
        </w:rPr>
        <w:t xml:space="preserve">       </w:t>
      </w:r>
    </w:p>
    <w:p w14:paraId="6D23E1D4">
      <w:pPr>
        <w:pStyle w:val="138"/>
        <w:spacing w:line="360" w:lineRule="auto"/>
        <w:ind w:firstLine="420" w:firstLineChars="20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eastAsia="zh-CN"/>
        </w:rPr>
        <w:t>中央空调</w:t>
      </w:r>
      <w:r>
        <w:rPr>
          <w:rFonts w:hint="eastAsia" w:ascii="宋体" w:hAnsi="宋体" w:eastAsia="宋体" w:cs="宋体"/>
          <w:b w:val="0"/>
          <w:bCs w:val="0"/>
          <w:color w:val="auto"/>
          <w:sz w:val="21"/>
          <w:szCs w:val="21"/>
          <w:highlight w:val="none"/>
        </w:rPr>
        <w:t>设备</w:t>
      </w:r>
      <w:r>
        <w:rPr>
          <w:rFonts w:hint="eastAsia" w:ascii="宋体" w:hAnsi="宋体" w:eastAsia="宋体" w:cs="宋体"/>
          <w:b w:val="0"/>
          <w:bCs w:val="0"/>
          <w:color w:val="auto"/>
          <w:sz w:val="21"/>
          <w:szCs w:val="21"/>
          <w:highlight w:val="none"/>
          <w:lang w:eastAsia="zh-CN"/>
        </w:rPr>
        <w:t>情况表</w:t>
      </w:r>
    </w:p>
    <w:tbl>
      <w:tblPr>
        <w:tblStyle w:val="140"/>
        <w:tblW w:w="861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47"/>
        <w:gridCol w:w="1084"/>
        <w:gridCol w:w="1639"/>
        <w:gridCol w:w="5248"/>
      </w:tblGrid>
      <w:tr w14:paraId="2E6D56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7" w:type="dxa"/>
            <w:tcBorders>
              <w:tl2br w:val="nil"/>
              <w:tr2bl w:val="nil"/>
            </w:tcBorders>
            <w:vAlign w:val="center"/>
          </w:tcPr>
          <w:p w14:paraId="6988B144">
            <w:pPr>
              <w:spacing w:line="24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序号</w:t>
            </w:r>
          </w:p>
        </w:tc>
        <w:tc>
          <w:tcPr>
            <w:tcW w:w="1084" w:type="dxa"/>
            <w:tcBorders>
              <w:tl2br w:val="nil"/>
              <w:tr2bl w:val="nil"/>
            </w:tcBorders>
            <w:vAlign w:val="center"/>
          </w:tcPr>
          <w:p w14:paraId="7D9861DD">
            <w:pPr>
              <w:spacing w:line="24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部位</w:t>
            </w:r>
          </w:p>
        </w:tc>
        <w:tc>
          <w:tcPr>
            <w:tcW w:w="1639" w:type="dxa"/>
            <w:tcBorders>
              <w:tl2br w:val="nil"/>
              <w:tr2bl w:val="nil"/>
            </w:tcBorders>
            <w:vAlign w:val="center"/>
          </w:tcPr>
          <w:p w14:paraId="74C9A8E4">
            <w:pPr>
              <w:spacing w:line="24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型号</w:t>
            </w:r>
          </w:p>
        </w:tc>
        <w:tc>
          <w:tcPr>
            <w:tcW w:w="5248" w:type="dxa"/>
            <w:tcBorders>
              <w:tl2br w:val="nil"/>
              <w:tr2bl w:val="nil"/>
            </w:tcBorders>
            <w:vAlign w:val="center"/>
          </w:tcPr>
          <w:p w14:paraId="5D4F56E5">
            <w:pPr>
              <w:spacing w:line="24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维保项目</w:t>
            </w:r>
          </w:p>
        </w:tc>
      </w:tr>
      <w:tr w14:paraId="1147AF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7" w:type="dxa"/>
            <w:tcBorders>
              <w:tl2br w:val="nil"/>
              <w:tr2bl w:val="nil"/>
            </w:tcBorders>
            <w:vAlign w:val="center"/>
          </w:tcPr>
          <w:p w14:paraId="02D08498">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1084" w:type="dxa"/>
            <w:tcBorders>
              <w:tl2br w:val="nil"/>
              <w:tr2bl w:val="nil"/>
            </w:tcBorders>
            <w:vAlign w:val="center"/>
          </w:tcPr>
          <w:p w14:paraId="1E9BF29C">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1号主机</w:t>
            </w:r>
          </w:p>
        </w:tc>
        <w:tc>
          <w:tcPr>
            <w:tcW w:w="1639" w:type="dxa"/>
            <w:tcBorders>
              <w:tl2br w:val="nil"/>
              <w:tr2bl w:val="nil"/>
            </w:tcBorders>
            <w:vAlign w:val="center"/>
          </w:tcPr>
          <w:p w14:paraId="1D29658E">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克莱门特 FOCSWATER</w:t>
            </w:r>
          </w:p>
        </w:tc>
        <w:tc>
          <w:tcPr>
            <w:tcW w:w="5248" w:type="dxa"/>
            <w:tcBorders>
              <w:tl2br w:val="nil"/>
              <w:tr2bl w:val="nil"/>
            </w:tcBorders>
            <w:vAlign w:val="center"/>
          </w:tcPr>
          <w:p w14:paraId="704C2D82">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1、常规保养、运行工况检查、故障提前预判处理；</w:t>
            </w:r>
          </w:p>
          <w:p w14:paraId="61F0C864">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2、维保期内设备故障抢修（不限次数，接报修电话 2 小内赶到现场进行处理）；</w:t>
            </w:r>
          </w:p>
          <w:p w14:paraId="029C2F9D">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3、具体维保内容详见螺杆机维保</w:t>
            </w:r>
            <w:r>
              <w:rPr>
                <w:rFonts w:hint="eastAsia" w:ascii="宋体" w:hAnsi="宋体" w:cs="宋体"/>
                <w:color w:val="auto"/>
                <w:kern w:val="2"/>
                <w:sz w:val="21"/>
                <w:szCs w:val="21"/>
                <w:highlight w:val="none"/>
                <w:lang w:val="en-US" w:eastAsia="zh-CN" w:bidi="ar-SA"/>
              </w:rPr>
              <w:t>要求</w:t>
            </w:r>
            <w:r>
              <w:rPr>
                <w:rFonts w:hint="eastAsia" w:ascii="宋体" w:hAnsi="宋体" w:eastAsia="宋体" w:cs="宋体"/>
                <w:color w:val="auto"/>
                <w:kern w:val="2"/>
                <w:sz w:val="21"/>
                <w:szCs w:val="21"/>
                <w:highlight w:val="none"/>
                <w:lang w:val="en-US" w:eastAsia="zh-CN" w:bidi="ar-SA"/>
              </w:rPr>
              <w:t>；</w:t>
            </w:r>
          </w:p>
          <w:p w14:paraId="0CE334E2">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4、均不含维修材料费。</w:t>
            </w:r>
          </w:p>
        </w:tc>
      </w:tr>
      <w:tr w14:paraId="6CEA9B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47" w:type="dxa"/>
            <w:tcBorders>
              <w:tl2br w:val="nil"/>
              <w:tr2bl w:val="nil"/>
            </w:tcBorders>
            <w:vAlign w:val="center"/>
          </w:tcPr>
          <w:p w14:paraId="31DD3C2F">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084" w:type="dxa"/>
            <w:tcBorders>
              <w:tl2br w:val="nil"/>
              <w:tr2bl w:val="nil"/>
            </w:tcBorders>
            <w:vAlign w:val="center"/>
          </w:tcPr>
          <w:p w14:paraId="7B826EDD">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 号主机</w:t>
            </w:r>
          </w:p>
        </w:tc>
        <w:tc>
          <w:tcPr>
            <w:tcW w:w="1639" w:type="dxa"/>
            <w:tcBorders>
              <w:tl2br w:val="nil"/>
              <w:tr2bl w:val="nil"/>
            </w:tcBorders>
            <w:vAlign w:val="center"/>
          </w:tcPr>
          <w:p w14:paraId="25D55787">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克莱门特 FOCSWATE</w:t>
            </w:r>
          </w:p>
        </w:tc>
        <w:tc>
          <w:tcPr>
            <w:tcW w:w="5248" w:type="dxa"/>
            <w:tcBorders>
              <w:tl2br w:val="nil"/>
              <w:tr2bl w:val="nil"/>
            </w:tcBorders>
            <w:vAlign w:val="center"/>
          </w:tcPr>
          <w:p w14:paraId="18042977">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1、常规保养、运行工况检查、故障提前预判处理；</w:t>
            </w:r>
          </w:p>
          <w:p w14:paraId="001BDF74">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2、维保期内设备故障抢修（不限次数，接报修电话 2 小内赶到现场进行处理）。</w:t>
            </w:r>
          </w:p>
          <w:p w14:paraId="2F92E8A4">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3、具体维保内容详见螺杆机维保</w:t>
            </w:r>
            <w:r>
              <w:rPr>
                <w:rFonts w:hint="eastAsia" w:ascii="宋体" w:hAnsi="宋体" w:cs="宋体"/>
                <w:color w:val="auto"/>
                <w:kern w:val="2"/>
                <w:sz w:val="21"/>
                <w:szCs w:val="21"/>
                <w:highlight w:val="none"/>
                <w:lang w:val="en-US" w:eastAsia="zh-CN" w:bidi="ar-SA"/>
              </w:rPr>
              <w:t>要求</w:t>
            </w:r>
            <w:r>
              <w:rPr>
                <w:rFonts w:hint="eastAsia" w:ascii="宋体" w:hAnsi="宋体" w:eastAsia="宋体" w:cs="宋体"/>
                <w:color w:val="auto"/>
                <w:kern w:val="2"/>
                <w:sz w:val="21"/>
                <w:szCs w:val="21"/>
                <w:highlight w:val="none"/>
                <w:lang w:val="en-US" w:eastAsia="zh-CN" w:bidi="ar-SA"/>
              </w:rPr>
              <w:t>。</w:t>
            </w:r>
          </w:p>
          <w:p w14:paraId="2F6C874C">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4、均不含维修材料费。</w:t>
            </w:r>
          </w:p>
        </w:tc>
      </w:tr>
      <w:tr w14:paraId="4CE614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7" w:type="dxa"/>
            <w:tcBorders>
              <w:tl2br w:val="nil"/>
              <w:tr2bl w:val="nil"/>
            </w:tcBorders>
            <w:vAlign w:val="center"/>
          </w:tcPr>
          <w:p w14:paraId="04FE51A9">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1084" w:type="dxa"/>
            <w:tcBorders>
              <w:tl2br w:val="nil"/>
              <w:tr2bl w:val="nil"/>
            </w:tcBorders>
            <w:vAlign w:val="center"/>
          </w:tcPr>
          <w:p w14:paraId="47E33909">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 号主机</w:t>
            </w:r>
          </w:p>
        </w:tc>
        <w:tc>
          <w:tcPr>
            <w:tcW w:w="1639" w:type="dxa"/>
            <w:tcBorders>
              <w:tl2br w:val="nil"/>
              <w:tr2bl w:val="nil"/>
            </w:tcBorders>
            <w:vAlign w:val="center"/>
          </w:tcPr>
          <w:p w14:paraId="059F6FAF">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克莱门特 FOCSWATE</w:t>
            </w:r>
          </w:p>
        </w:tc>
        <w:tc>
          <w:tcPr>
            <w:tcW w:w="5248" w:type="dxa"/>
            <w:tcBorders>
              <w:tl2br w:val="nil"/>
              <w:tr2bl w:val="nil"/>
            </w:tcBorders>
            <w:vAlign w:val="center"/>
          </w:tcPr>
          <w:p w14:paraId="14AD7795">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1、常规保养、运行工况检查、故障提前预判处理；</w:t>
            </w:r>
          </w:p>
          <w:p w14:paraId="2672C2BE">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2、维保期内设备故障抢修（不限次数，接报修电话 2 小内赶到现场进行处理）。</w:t>
            </w:r>
          </w:p>
          <w:p w14:paraId="798ECDE4">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3、具体维保内容详见螺杆机维保</w:t>
            </w:r>
            <w:r>
              <w:rPr>
                <w:rFonts w:hint="eastAsia" w:ascii="宋体" w:hAnsi="宋体" w:cs="宋体"/>
                <w:color w:val="auto"/>
                <w:kern w:val="2"/>
                <w:sz w:val="21"/>
                <w:szCs w:val="21"/>
                <w:highlight w:val="none"/>
                <w:lang w:val="en-US" w:eastAsia="zh-CN" w:bidi="ar-SA"/>
              </w:rPr>
              <w:t>要求</w:t>
            </w:r>
            <w:r>
              <w:rPr>
                <w:rFonts w:hint="eastAsia" w:ascii="宋体" w:hAnsi="宋体" w:eastAsia="宋体" w:cs="宋体"/>
                <w:color w:val="auto"/>
                <w:kern w:val="2"/>
                <w:sz w:val="21"/>
                <w:szCs w:val="21"/>
                <w:highlight w:val="none"/>
                <w:lang w:val="en-US" w:eastAsia="zh-CN" w:bidi="ar-SA"/>
              </w:rPr>
              <w:t>。</w:t>
            </w:r>
          </w:p>
          <w:p w14:paraId="48372F06">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4、均不含维修材料费。</w:t>
            </w:r>
          </w:p>
        </w:tc>
      </w:tr>
      <w:tr w14:paraId="18517D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7" w:type="dxa"/>
            <w:tcBorders>
              <w:tl2br w:val="nil"/>
              <w:tr2bl w:val="nil"/>
            </w:tcBorders>
            <w:vAlign w:val="center"/>
          </w:tcPr>
          <w:p w14:paraId="7757539E">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1084" w:type="dxa"/>
            <w:tcBorders>
              <w:tl2br w:val="nil"/>
              <w:tr2bl w:val="nil"/>
            </w:tcBorders>
            <w:vAlign w:val="center"/>
          </w:tcPr>
          <w:p w14:paraId="4AB33234">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风机盘管清洗</w:t>
            </w:r>
          </w:p>
        </w:tc>
        <w:tc>
          <w:tcPr>
            <w:tcW w:w="1639" w:type="dxa"/>
            <w:tcBorders>
              <w:tl2br w:val="nil"/>
              <w:tr2bl w:val="nil"/>
            </w:tcBorders>
            <w:vAlign w:val="center"/>
          </w:tcPr>
          <w:p w14:paraId="683091B0">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408 台风 机盘管</w:t>
            </w:r>
          </w:p>
        </w:tc>
        <w:tc>
          <w:tcPr>
            <w:tcW w:w="5248" w:type="dxa"/>
            <w:tcBorders>
              <w:tl2br w:val="nil"/>
              <w:tr2bl w:val="nil"/>
            </w:tcBorders>
            <w:vAlign w:val="center"/>
          </w:tcPr>
          <w:p w14:paraId="1E4E15A7">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1、回风滤网清洗、盘管 Y 型过滤器拆开清洗、 风口清洁，保温修复等（1 次/年）。</w:t>
            </w:r>
          </w:p>
          <w:p w14:paraId="72107DEF">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2、清洗具体内容详见风机盘管清洗</w:t>
            </w:r>
            <w:r>
              <w:rPr>
                <w:rFonts w:hint="eastAsia" w:ascii="宋体" w:hAnsi="宋体" w:cs="宋体"/>
                <w:color w:val="auto"/>
                <w:kern w:val="2"/>
                <w:sz w:val="21"/>
                <w:szCs w:val="21"/>
                <w:highlight w:val="none"/>
                <w:lang w:val="en-US" w:eastAsia="zh-CN" w:bidi="ar-SA"/>
              </w:rPr>
              <w:t>要求</w:t>
            </w:r>
            <w:r>
              <w:rPr>
                <w:rFonts w:hint="eastAsia" w:ascii="宋体" w:hAnsi="宋体" w:eastAsia="宋体" w:cs="宋体"/>
                <w:color w:val="auto"/>
                <w:kern w:val="2"/>
                <w:sz w:val="21"/>
                <w:szCs w:val="21"/>
                <w:highlight w:val="none"/>
                <w:lang w:val="en-US" w:eastAsia="zh-CN" w:bidi="ar-SA"/>
              </w:rPr>
              <w:t>。</w:t>
            </w:r>
          </w:p>
          <w:p w14:paraId="50491F5D">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3、空调末端保养材料（全年包干费用）。</w:t>
            </w:r>
          </w:p>
        </w:tc>
      </w:tr>
      <w:tr w14:paraId="7C6A37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7" w:type="dxa"/>
            <w:tcBorders>
              <w:tl2br w:val="nil"/>
              <w:tr2bl w:val="nil"/>
            </w:tcBorders>
            <w:vAlign w:val="center"/>
          </w:tcPr>
          <w:p w14:paraId="2EFDDC88">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084" w:type="dxa"/>
            <w:tcBorders>
              <w:tl2br w:val="nil"/>
              <w:tr2bl w:val="nil"/>
            </w:tcBorders>
            <w:vAlign w:val="center"/>
          </w:tcPr>
          <w:p w14:paraId="7B3B7DE5">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冷冻水处理（含处理药剂）</w:t>
            </w:r>
          </w:p>
        </w:tc>
        <w:tc>
          <w:tcPr>
            <w:tcW w:w="1639" w:type="dxa"/>
            <w:tcBorders>
              <w:tl2br w:val="nil"/>
              <w:tr2bl w:val="nil"/>
            </w:tcBorders>
            <w:vAlign w:val="center"/>
          </w:tcPr>
          <w:p w14:paraId="2A51DE86">
            <w:pPr>
              <w:spacing w:line="240" w:lineRule="auto"/>
              <w:ind w:firstLine="420" w:firstLineChars="200"/>
              <w:jc w:val="center"/>
              <w:rPr>
                <w:rFonts w:hint="eastAsia" w:ascii="宋体" w:hAnsi="宋体" w:eastAsia="宋体" w:cs="宋体"/>
                <w:color w:val="auto"/>
                <w:kern w:val="2"/>
                <w:sz w:val="21"/>
                <w:szCs w:val="21"/>
                <w:highlight w:val="none"/>
                <w:lang w:val="en-US" w:eastAsia="zh-CN" w:bidi="ar-SA"/>
              </w:rPr>
            </w:pPr>
          </w:p>
        </w:tc>
        <w:tc>
          <w:tcPr>
            <w:tcW w:w="5248" w:type="dxa"/>
            <w:tcBorders>
              <w:tl2br w:val="nil"/>
              <w:tr2bl w:val="nil"/>
            </w:tcBorders>
            <w:vAlign w:val="center"/>
          </w:tcPr>
          <w:p w14:paraId="7F7900C1">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1、循环水管道清洗，膨胀水箱清洗。</w:t>
            </w:r>
          </w:p>
          <w:p w14:paraId="4A0A3A92">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2、管道 Y 型过滤器拆洗清理；水处理加药，保证冷冻水质符合空调用水标准。</w:t>
            </w:r>
          </w:p>
          <w:p w14:paraId="42BA7068">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3、水处理内容详见冷冻水系统水处理</w:t>
            </w:r>
            <w:r>
              <w:rPr>
                <w:rFonts w:hint="eastAsia" w:ascii="宋体" w:hAnsi="宋体" w:cs="宋体"/>
                <w:color w:val="auto"/>
                <w:kern w:val="2"/>
                <w:sz w:val="21"/>
                <w:szCs w:val="21"/>
                <w:highlight w:val="none"/>
                <w:lang w:val="en-US" w:eastAsia="zh-CN" w:bidi="ar-SA"/>
              </w:rPr>
              <w:t>要求。</w:t>
            </w:r>
          </w:p>
        </w:tc>
      </w:tr>
      <w:tr w14:paraId="60EFE7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7" w:type="dxa"/>
            <w:tcBorders>
              <w:tl2br w:val="nil"/>
              <w:tr2bl w:val="nil"/>
            </w:tcBorders>
            <w:vAlign w:val="center"/>
          </w:tcPr>
          <w:p w14:paraId="3A2EA7D6">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1084" w:type="dxa"/>
            <w:tcBorders>
              <w:tl2br w:val="nil"/>
              <w:tr2bl w:val="nil"/>
            </w:tcBorders>
            <w:vAlign w:val="center"/>
          </w:tcPr>
          <w:p w14:paraId="2C3E9FDE">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冷却泵保 养</w:t>
            </w:r>
          </w:p>
        </w:tc>
        <w:tc>
          <w:tcPr>
            <w:tcW w:w="1639" w:type="dxa"/>
            <w:tcBorders>
              <w:tl2br w:val="nil"/>
              <w:tr2bl w:val="nil"/>
            </w:tcBorders>
            <w:vAlign w:val="center"/>
          </w:tcPr>
          <w:p w14:paraId="295CB56D">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37KW，四台</w:t>
            </w:r>
          </w:p>
        </w:tc>
        <w:tc>
          <w:tcPr>
            <w:tcW w:w="5248" w:type="dxa"/>
            <w:tcBorders>
              <w:tl2br w:val="nil"/>
              <w:tr2bl w:val="nil"/>
            </w:tcBorders>
            <w:vAlign w:val="center"/>
          </w:tcPr>
          <w:p w14:paraId="683D3BB4">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1、电机绝缘检测、散热风扇清灰、轴承补加润滑油等。</w:t>
            </w:r>
          </w:p>
          <w:p w14:paraId="453FCB9F">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2、保养内容详见水泵维保</w:t>
            </w:r>
            <w:r>
              <w:rPr>
                <w:rFonts w:hint="eastAsia" w:ascii="宋体" w:hAnsi="宋体" w:cs="宋体"/>
                <w:color w:val="auto"/>
                <w:kern w:val="2"/>
                <w:sz w:val="21"/>
                <w:szCs w:val="21"/>
                <w:highlight w:val="none"/>
                <w:lang w:val="en-US" w:eastAsia="zh-CN" w:bidi="ar-SA"/>
              </w:rPr>
              <w:t>要求</w:t>
            </w:r>
            <w:r>
              <w:rPr>
                <w:rFonts w:hint="eastAsia" w:ascii="宋体" w:hAnsi="宋体" w:eastAsia="宋体" w:cs="宋体"/>
                <w:color w:val="auto"/>
                <w:kern w:val="2"/>
                <w:sz w:val="21"/>
                <w:szCs w:val="21"/>
                <w:highlight w:val="none"/>
                <w:lang w:val="en-US" w:eastAsia="zh-CN" w:bidi="ar-SA"/>
              </w:rPr>
              <w:t>，不含维修材料。</w:t>
            </w:r>
          </w:p>
        </w:tc>
      </w:tr>
      <w:tr w14:paraId="00FFD9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7" w:type="dxa"/>
            <w:tcBorders>
              <w:tl2br w:val="nil"/>
              <w:tr2bl w:val="nil"/>
            </w:tcBorders>
            <w:vAlign w:val="center"/>
          </w:tcPr>
          <w:p w14:paraId="1A0BDC16">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1084" w:type="dxa"/>
            <w:tcBorders>
              <w:tl2br w:val="nil"/>
              <w:tr2bl w:val="nil"/>
            </w:tcBorders>
            <w:vAlign w:val="center"/>
          </w:tcPr>
          <w:p w14:paraId="77F4942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冷冻泵保 养</w:t>
            </w:r>
          </w:p>
        </w:tc>
        <w:tc>
          <w:tcPr>
            <w:tcW w:w="1639" w:type="dxa"/>
            <w:tcBorders>
              <w:tl2br w:val="nil"/>
              <w:tr2bl w:val="nil"/>
            </w:tcBorders>
            <w:vAlign w:val="center"/>
          </w:tcPr>
          <w:p w14:paraId="1F968028">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30KW，四台</w:t>
            </w:r>
          </w:p>
        </w:tc>
        <w:tc>
          <w:tcPr>
            <w:tcW w:w="5248" w:type="dxa"/>
            <w:tcBorders>
              <w:tl2br w:val="nil"/>
              <w:tr2bl w:val="nil"/>
            </w:tcBorders>
            <w:vAlign w:val="center"/>
          </w:tcPr>
          <w:p w14:paraId="338800DB">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1、电机绝缘检测、散热风扇清灰、轴承补加润滑油等。</w:t>
            </w:r>
          </w:p>
          <w:p w14:paraId="4A12EDEA">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2、不含维修材料。</w:t>
            </w:r>
          </w:p>
        </w:tc>
      </w:tr>
      <w:tr w14:paraId="70F072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7" w:type="dxa"/>
            <w:tcBorders>
              <w:tl2br w:val="nil"/>
              <w:tr2bl w:val="nil"/>
            </w:tcBorders>
            <w:vAlign w:val="center"/>
          </w:tcPr>
          <w:p w14:paraId="53C3234D">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1084" w:type="dxa"/>
            <w:tcBorders>
              <w:tl2br w:val="nil"/>
              <w:tr2bl w:val="nil"/>
            </w:tcBorders>
            <w:vAlign w:val="center"/>
          </w:tcPr>
          <w:p w14:paraId="1D4A0A14">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电气控制柜维保</w:t>
            </w:r>
          </w:p>
        </w:tc>
        <w:tc>
          <w:tcPr>
            <w:tcW w:w="1639" w:type="dxa"/>
            <w:tcBorders>
              <w:tl2br w:val="nil"/>
              <w:tr2bl w:val="nil"/>
            </w:tcBorders>
            <w:vAlign w:val="center"/>
          </w:tcPr>
          <w:p w14:paraId="6A0CED65">
            <w:pPr>
              <w:spacing w:line="240" w:lineRule="auto"/>
              <w:ind w:firstLine="420" w:firstLineChars="200"/>
              <w:jc w:val="center"/>
              <w:rPr>
                <w:rFonts w:hint="eastAsia" w:ascii="宋体" w:hAnsi="宋体" w:eastAsia="宋体" w:cs="宋体"/>
                <w:color w:val="auto"/>
                <w:kern w:val="2"/>
                <w:sz w:val="21"/>
                <w:szCs w:val="21"/>
                <w:highlight w:val="none"/>
                <w:lang w:val="en-US" w:eastAsia="zh-CN" w:bidi="ar-SA"/>
              </w:rPr>
            </w:pPr>
          </w:p>
        </w:tc>
        <w:tc>
          <w:tcPr>
            <w:tcW w:w="5248" w:type="dxa"/>
            <w:tcBorders>
              <w:tl2br w:val="nil"/>
              <w:tr2bl w:val="nil"/>
            </w:tcBorders>
            <w:vAlign w:val="center"/>
          </w:tcPr>
          <w:p w14:paraId="4CCEA8FF">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1、控制柜清灰，电气元件检查，电路常见故障处理。</w:t>
            </w:r>
          </w:p>
          <w:p w14:paraId="03DEC025">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2、不含更换的电气元器件等材料费用。</w:t>
            </w:r>
          </w:p>
        </w:tc>
      </w:tr>
    </w:tbl>
    <w:p w14:paraId="394F197C">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空调主机螺杆机维保要求：</w:t>
      </w:r>
    </w:p>
    <w:p w14:paraId="2ED05DA3">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更换机组冷冻油，过滤器。</w:t>
      </w:r>
    </w:p>
    <w:p w14:paraId="2FA61E41">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系统查漏确保机组无氟利昂泄露点，机组运行调试，追加氟利昂至正常状态。</w:t>
      </w:r>
    </w:p>
    <w:p w14:paraId="3D7BB0E1">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检测各保护系统，是否工作正常。运行参数是否在正常范围内。</w:t>
      </w:r>
    </w:p>
    <w:p w14:paraId="2D4E3E76">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冷凝器换热铜管通泡，以期达到最佳换热效果（一年一次）。</w:t>
      </w:r>
    </w:p>
    <w:p w14:paraId="5A1B919C">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清理控制箱，启动柜集尘，检查各接触器触点。</w:t>
      </w:r>
    </w:p>
    <w:p w14:paraId="6DA1C3D9">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检测各接线端子，线缆有无发热情况。</w:t>
      </w:r>
    </w:p>
    <w:p w14:paraId="255906DB">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检查电压是否正常稳定。</w:t>
      </w:r>
    </w:p>
    <w:p w14:paraId="56E1EAD3">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马达运行电流，绝缘情况是否良好。</w:t>
      </w:r>
    </w:p>
    <w:p w14:paraId="48772037">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每月一次的定期全面检查服务。</w:t>
      </w:r>
    </w:p>
    <w:p w14:paraId="0C636837">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换季开机前进行一次大的年度保养服务。</w:t>
      </w:r>
    </w:p>
    <w:p w14:paraId="506EF369">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保养期内对突发性的机组故障，中标人提供不限次数2小时内的紧急抢修服务。维修后，中标人向采购人提供一份详细的维修报告。</w:t>
      </w:r>
    </w:p>
    <w:p w14:paraId="74C34BE5">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对操作人员进行操作培训。</w:t>
      </w:r>
    </w:p>
    <w:p w14:paraId="0CD5E5F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风机盘管清洗</w:t>
      </w:r>
      <w:r>
        <w:rPr>
          <w:rFonts w:hint="eastAsia" w:ascii="宋体" w:hAnsi="宋体" w:cs="宋体"/>
          <w:color w:val="auto"/>
          <w:kern w:val="2"/>
          <w:sz w:val="21"/>
          <w:szCs w:val="21"/>
          <w:highlight w:val="none"/>
          <w:lang w:val="en-US" w:eastAsia="zh-CN" w:bidi="ar-SA"/>
        </w:rPr>
        <w:t>要求</w:t>
      </w:r>
    </w:p>
    <w:p w14:paraId="0DC4461D">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CN" w:bidi="ar-SA"/>
        </w:rPr>
        <w:t>风机盘管进水Y型过滤器拆卸清洗</w:t>
      </w:r>
    </w:p>
    <w:p w14:paraId="4758F7C2">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Hans" w:bidi="ar-SA"/>
        </w:rPr>
        <w:t>回风口过滤网的清洗</w:t>
      </w:r>
    </w:p>
    <w:p w14:paraId="6D8221D0">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Hans" w:bidi="ar-SA"/>
        </w:rPr>
        <w:t>风机盘管表冷器，用专用中央空调清洗剂进行清洗、除垢</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Hans" w:bidi="ar-SA"/>
        </w:rPr>
        <w:t>保持通风畅顺</w:t>
      </w:r>
      <w:r>
        <w:rPr>
          <w:rFonts w:hint="eastAsia" w:ascii="宋体" w:hAnsi="宋体" w:eastAsia="宋体" w:cs="宋体"/>
          <w:color w:val="auto"/>
          <w:kern w:val="2"/>
          <w:sz w:val="21"/>
          <w:szCs w:val="21"/>
          <w:highlight w:val="none"/>
          <w:lang w:val="en-US" w:eastAsia="zh-CN" w:bidi="ar-SA"/>
        </w:rPr>
        <w:t>。</w:t>
      </w:r>
    </w:p>
    <w:p w14:paraId="580670E8">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对盘管风机叶轮、蜗壳、马达积尘的清扫， 电机转轴</w:t>
      </w:r>
      <w:r>
        <w:rPr>
          <w:rFonts w:hint="eastAsia" w:ascii="宋体" w:hAnsi="宋体" w:eastAsia="宋体" w:cs="宋体"/>
          <w:color w:val="auto"/>
          <w:kern w:val="2"/>
          <w:sz w:val="21"/>
          <w:szCs w:val="21"/>
          <w:highlight w:val="none"/>
          <w:lang w:val="en-US" w:eastAsia="zh-CN" w:bidi="ar-SA"/>
        </w:rPr>
        <w:t>保养。</w:t>
      </w:r>
    </w:p>
    <w:p w14:paraId="1A07299E">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对接水盘除去污泥、杂物，清洗干净，保持水流畅通</w:t>
      </w:r>
    </w:p>
    <w:p w14:paraId="2E96E32C">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进出风栅的清洁卫生</w:t>
      </w:r>
    </w:p>
    <w:p w14:paraId="3277ACB4">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Hans" w:bidi="ar-SA"/>
        </w:rPr>
        <w:t>检查水管连接牢固</w:t>
      </w:r>
    </w:p>
    <w:p w14:paraId="31A7E277">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检查保温是否良好</w:t>
      </w:r>
    </w:p>
    <w:p w14:paraId="1FEFA8BA">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检查阀门是否漏水</w:t>
      </w:r>
    </w:p>
    <w:p w14:paraId="2B77BB2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冷冻水系统水处理</w:t>
      </w:r>
      <w:r>
        <w:rPr>
          <w:rFonts w:hint="eastAsia" w:ascii="宋体" w:hAnsi="宋体" w:cs="宋体"/>
          <w:color w:val="auto"/>
          <w:kern w:val="2"/>
          <w:sz w:val="21"/>
          <w:szCs w:val="21"/>
          <w:highlight w:val="none"/>
          <w:lang w:val="en-US" w:eastAsia="zh-CN" w:bidi="ar-SA"/>
        </w:rPr>
        <w:t>要求</w:t>
      </w:r>
    </w:p>
    <w:p w14:paraId="29930215">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用人工方法清洗膨胀水箱，然后在膨胀水箱中投加杀菌灭藻剂、粘泥剥离剂，开泵循环16-24小时，作全系统的杀菌灭藻、剥离生活污泥处理。</w:t>
      </w:r>
    </w:p>
    <w:p w14:paraId="06E0501D">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排放冷冻水，将清洗出的锈渣、污泥排出冷冻系统之外。拆开冷冻系统Y型过滤网，清除滤网杂物，再封好过滤器，向系统注水排气至冷冻水满。开冷冻泵循环0.5至1小时，停泵全系统排水，排净后再注入，如此反复冲洗至水呈清澈透明。</w:t>
      </w:r>
    </w:p>
    <w:p w14:paraId="697043A3">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在膨胀水箱投加预膜液，开泵循环24小时，该药剂能在金属表面涂上一层保护膜，防止水中溶解氧吸附在管壁上，起防锈作用。</w:t>
      </w:r>
    </w:p>
    <w:p w14:paraId="37141A27">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排放2/3冷冻水，于膨胀水箱中投加缓蚀剂，开泵循环2小时，使药物均匀分布在系统中。该药剂在系统无泄漏的情况下，能保持一年的防锈效果。</w:t>
      </w:r>
    </w:p>
    <w:p w14:paraId="55BF4EC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水泵维保</w:t>
      </w:r>
      <w:r>
        <w:rPr>
          <w:rFonts w:hint="eastAsia" w:ascii="宋体" w:hAnsi="宋体" w:cs="宋体"/>
          <w:color w:val="auto"/>
          <w:kern w:val="2"/>
          <w:sz w:val="21"/>
          <w:szCs w:val="21"/>
          <w:highlight w:val="none"/>
          <w:lang w:val="en-US" w:eastAsia="zh-CN" w:bidi="ar-SA"/>
        </w:rPr>
        <w:t>要求</w:t>
      </w:r>
    </w:p>
    <w:p w14:paraId="1512EB6D">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检查水泵轴承是否灵活，如有阻滞现象，则应加注润滑油；如有异常摩擦声响，则应更换同型号规格轴承。</w:t>
      </w:r>
    </w:p>
    <w:p w14:paraId="62BA9F7E">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转动水泵轴，如果有卡住、碰撞现象，则应拆换同规格水泵叶轮；如果轴键槽损坏严重，则应更换同规格水泵轴。</w:t>
      </w:r>
    </w:p>
    <w:p w14:paraId="2C4DB956">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检查压盘根处是否漏水成线，如是则应加压盘根；</w:t>
      </w:r>
    </w:p>
    <w:p w14:paraId="269B9578">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检查电动机与水泵弹性联轴器有无损坏，如损坏则应更换。 </w:t>
      </w:r>
    </w:p>
    <w:p w14:paraId="12FAD50A">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检查水泵机组螺栓是否紧固，如松弛则应拧紧。</w:t>
      </w:r>
    </w:p>
    <w:p w14:paraId="57F35B41">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水泵控制电气元件及线路检修，保证水泵正常运行。</w:t>
      </w:r>
    </w:p>
    <w:p w14:paraId="2137EE37">
      <w:pPr>
        <w:pStyle w:val="138"/>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给排水设备</w:t>
      </w:r>
    </w:p>
    <w:p w14:paraId="3FD3C1D7">
      <w:pPr>
        <w:pStyle w:val="138"/>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A、每日一次按照《房屋、设备、设施巡视内容与程序》巡视泵房设备，并记录《水泵房巡视记录表》；</w:t>
      </w:r>
    </w:p>
    <w:p w14:paraId="1CE0FE6A">
      <w:pPr>
        <w:pStyle w:val="138"/>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B、水泵房每周打扫一次，机组每月清洁一次。生活水泵“运行”与“备用”每两周交替更换一次；</w:t>
      </w:r>
    </w:p>
    <w:p w14:paraId="07125BBC">
      <w:pPr>
        <w:pStyle w:val="138"/>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C、按《房屋、设备、设施（年度）周期检查、保养计划表》和《给排水设备（设施）维修保养规程》的内容要求进行周期检查、保养，并将结果记录于《设备、设施周期检查、保养记录表》内；</w:t>
      </w:r>
    </w:p>
    <w:p w14:paraId="0F3CBDB0">
      <w:pPr>
        <w:pStyle w:val="138"/>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D、给排水设备、设施维修工作记录于《房屋、设备、设施维修记录表》内。</w:t>
      </w:r>
    </w:p>
    <w:p w14:paraId="4EC2AE3C">
      <w:pPr>
        <w:pStyle w:val="138"/>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）电梯设备</w:t>
      </w:r>
    </w:p>
    <w:p w14:paraId="7C05BEEA">
      <w:pPr>
        <w:pStyle w:val="138"/>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电梯情况汇总表</w:t>
      </w:r>
    </w:p>
    <w:tbl>
      <w:tblPr>
        <w:tblStyle w:val="45"/>
        <w:tblW w:w="869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10"/>
        <w:gridCol w:w="1345"/>
        <w:gridCol w:w="811"/>
        <w:gridCol w:w="811"/>
        <w:gridCol w:w="1480"/>
        <w:gridCol w:w="1346"/>
        <w:gridCol w:w="1142"/>
        <w:gridCol w:w="946"/>
      </w:tblGrid>
      <w:tr w14:paraId="355F16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810" w:type="dxa"/>
            <w:tcBorders>
              <w:tl2br w:val="nil"/>
              <w:tr2bl w:val="nil"/>
            </w:tcBorders>
            <w:shd w:val="clear" w:color="auto" w:fill="auto"/>
            <w:noWrap/>
            <w:vAlign w:val="center"/>
          </w:tcPr>
          <w:p w14:paraId="24A2A6D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345" w:type="dxa"/>
            <w:tcBorders>
              <w:tl2br w:val="nil"/>
              <w:tr2bl w:val="nil"/>
            </w:tcBorders>
            <w:shd w:val="clear" w:color="auto" w:fill="auto"/>
            <w:noWrap/>
            <w:vAlign w:val="center"/>
          </w:tcPr>
          <w:p w14:paraId="355468D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位置</w:t>
            </w:r>
          </w:p>
        </w:tc>
        <w:tc>
          <w:tcPr>
            <w:tcW w:w="811" w:type="dxa"/>
            <w:tcBorders>
              <w:tl2br w:val="nil"/>
              <w:tr2bl w:val="nil"/>
            </w:tcBorders>
            <w:shd w:val="clear" w:color="auto" w:fill="auto"/>
            <w:noWrap/>
            <w:vAlign w:val="center"/>
          </w:tcPr>
          <w:p w14:paraId="427173D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811" w:type="dxa"/>
            <w:tcBorders>
              <w:tl2br w:val="nil"/>
              <w:tr2bl w:val="nil"/>
            </w:tcBorders>
            <w:shd w:val="clear" w:color="auto" w:fill="auto"/>
            <w:noWrap/>
            <w:vAlign w:val="center"/>
          </w:tcPr>
          <w:p w14:paraId="2CB9EB0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层数</w:t>
            </w:r>
          </w:p>
        </w:tc>
        <w:tc>
          <w:tcPr>
            <w:tcW w:w="1480" w:type="dxa"/>
            <w:tcBorders>
              <w:tl2br w:val="nil"/>
              <w:tr2bl w:val="nil"/>
            </w:tcBorders>
            <w:shd w:val="clear" w:color="auto" w:fill="auto"/>
            <w:noWrap/>
            <w:vAlign w:val="center"/>
          </w:tcPr>
          <w:p w14:paraId="47008D1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型号/品牌</w:t>
            </w:r>
          </w:p>
        </w:tc>
        <w:tc>
          <w:tcPr>
            <w:tcW w:w="1346" w:type="dxa"/>
            <w:tcBorders>
              <w:tl2br w:val="nil"/>
              <w:tr2bl w:val="nil"/>
            </w:tcBorders>
            <w:shd w:val="clear" w:color="auto" w:fill="auto"/>
            <w:noWrap/>
            <w:vAlign w:val="center"/>
          </w:tcPr>
          <w:p w14:paraId="0A5D6F4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有无机房</w:t>
            </w:r>
          </w:p>
        </w:tc>
        <w:tc>
          <w:tcPr>
            <w:tcW w:w="1142" w:type="dxa"/>
            <w:tcBorders>
              <w:tl2br w:val="nil"/>
              <w:tr2bl w:val="nil"/>
            </w:tcBorders>
            <w:shd w:val="clear" w:color="auto" w:fill="auto"/>
            <w:noWrap/>
            <w:vAlign w:val="center"/>
          </w:tcPr>
          <w:p w14:paraId="7DD2503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是否货梯</w:t>
            </w:r>
          </w:p>
        </w:tc>
        <w:tc>
          <w:tcPr>
            <w:tcW w:w="946" w:type="dxa"/>
            <w:tcBorders>
              <w:tl2br w:val="nil"/>
              <w:tr2bl w:val="nil"/>
            </w:tcBorders>
            <w:shd w:val="clear" w:color="auto" w:fill="auto"/>
            <w:noWrap/>
            <w:vAlign w:val="center"/>
          </w:tcPr>
          <w:p w14:paraId="23D3662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1347AC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tcBorders>
              <w:tl2br w:val="nil"/>
              <w:tr2bl w:val="nil"/>
            </w:tcBorders>
            <w:shd w:val="clear" w:color="auto" w:fill="auto"/>
            <w:noWrap/>
            <w:vAlign w:val="center"/>
          </w:tcPr>
          <w:p w14:paraId="4BC51F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45" w:type="dxa"/>
            <w:tcBorders>
              <w:tl2br w:val="nil"/>
              <w:tr2bl w:val="nil"/>
            </w:tcBorders>
            <w:shd w:val="clear" w:color="auto" w:fill="auto"/>
            <w:noWrap/>
            <w:vAlign w:val="center"/>
          </w:tcPr>
          <w:p w14:paraId="3986A5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办公楼</w:t>
            </w:r>
          </w:p>
        </w:tc>
        <w:tc>
          <w:tcPr>
            <w:tcW w:w="811" w:type="dxa"/>
            <w:tcBorders>
              <w:tl2br w:val="nil"/>
              <w:tr2bl w:val="nil"/>
            </w:tcBorders>
            <w:shd w:val="clear" w:color="auto" w:fill="auto"/>
            <w:noWrap/>
            <w:vAlign w:val="center"/>
          </w:tcPr>
          <w:p w14:paraId="1D8262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11" w:type="dxa"/>
            <w:tcBorders>
              <w:tl2br w:val="nil"/>
              <w:tr2bl w:val="nil"/>
            </w:tcBorders>
            <w:shd w:val="clear" w:color="auto" w:fill="auto"/>
            <w:noWrap/>
            <w:vAlign w:val="center"/>
          </w:tcPr>
          <w:p w14:paraId="5096E7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480" w:type="dxa"/>
            <w:tcBorders>
              <w:tl2br w:val="nil"/>
              <w:tr2bl w:val="nil"/>
            </w:tcBorders>
            <w:shd w:val="clear" w:color="auto" w:fill="auto"/>
            <w:noWrap/>
            <w:vAlign w:val="center"/>
          </w:tcPr>
          <w:p w14:paraId="138DC5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广日</w:t>
            </w:r>
          </w:p>
        </w:tc>
        <w:tc>
          <w:tcPr>
            <w:tcW w:w="1346" w:type="dxa"/>
            <w:tcBorders>
              <w:tl2br w:val="nil"/>
              <w:tr2bl w:val="nil"/>
            </w:tcBorders>
            <w:shd w:val="clear" w:color="auto" w:fill="auto"/>
            <w:noWrap/>
            <w:vAlign w:val="center"/>
          </w:tcPr>
          <w:p w14:paraId="4231F8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w:t>
            </w:r>
          </w:p>
        </w:tc>
        <w:tc>
          <w:tcPr>
            <w:tcW w:w="1142" w:type="dxa"/>
            <w:tcBorders>
              <w:tl2br w:val="nil"/>
              <w:tr2bl w:val="nil"/>
            </w:tcBorders>
            <w:shd w:val="clear" w:color="auto" w:fill="auto"/>
            <w:noWrap/>
            <w:vAlign w:val="center"/>
          </w:tcPr>
          <w:p w14:paraId="795A4E41">
            <w:pPr>
              <w:jc w:val="center"/>
              <w:rPr>
                <w:rFonts w:hint="eastAsia" w:ascii="宋体" w:hAnsi="宋体" w:eastAsia="宋体" w:cs="宋体"/>
                <w:i w:val="0"/>
                <w:iCs w:val="0"/>
                <w:color w:val="auto"/>
                <w:sz w:val="21"/>
                <w:szCs w:val="21"/>
                <w:highlight w:val="none"/>
                <w:u w:val="none"/>
              </w:rPr>
            </w:pPr>
          </w:p>
        </w:tc>
        <w:tc>
          <w:tcPr>
            <w:tcW w:w="946" w:type="dxa"/>
            <w:tcBorders>
              <w:tl2br w:val="nil"/>
              <w:tr2bl w:val="nil"/>
            </w:tcBorders>
            <w:shd w:val="clear" w:color="auto" w:fill="auto"/>
            <w:noWrap/>
            <w:vAlign w:val="center"/>
          </w:tcPr>
          <w:p w14:paraId="6AF8080E">
            <w:pPr>
              <w:jc w:val="center"/>
              <w:rPr>
                <w:rFonts w:hint="eastAsia" w:ascii="宋体" w:hAnsi="宋体" w:eastAsia="宋体" w:cs="宋体"/>
                <w:i w:val="0"/>
                <w:iCs w:val="0"/>
                <w:color w:val="auto"/>
                <w:sz w:val="21"/>
                <w:szCs w:val="21"/>
                <w:highlight w:val="none"/>
                <w:u w:val="none"/>
              </w:rPr>
            </w:pPr>
          </w:p>
        </w:tc>
      </w:tr>
      <w:tr w14:paraId="4D8C9C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tcBorders>
              <w:tl2br w:val="nil"/>
              <w:tr2bl w:val="nil"/>
            </w:tcBorders>
            <w:shd w:val="clear" w:color="auto" w:fill="auto"/>
            <w:noWrap/>
            <w:vAlign w:val="center"/>
          </w:tcPr>
          <w:p w14:paraId="671E17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45" w:type="dxa"/>
            <w:tcBorders>
              <w:tl2br w:val="nil"/>
              <w:tr2bl w:val="nil"/>
            </w:tcBorders>
            <w:shd w:val="clear" w:color="auto" w:fill="auto"/>
            <w:noWrap/>
            <w:vAlign w:val="center"/>
          </w:tcPr>
          <w:p w14:paraId="48C24E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图书馆</w:t>
            </w:r>
          </w:p>
        </w:tc>
        <w:tc>
          <w:tcPr>
            <w:tcW w:w="811" w:type="dxa"/>
            <w:tcBorders>
              <w:tl2br w:val="nil"/>
              <w:tr2bl w:val="nil"/>
            </w:tcBorders>
            <w:shd w:val="clear" w:color="auto" w:fill="auto"/>
            <w:noWrap/>
            <w:vAlign w:val="center"/>
          </w:tcPr>
          <w:p w14:paraId="0E759E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11" w:type="dxa"/>
            <w:tcBorders>
              <w:tl2br w:val="nil"/>
              <w:tr2bl w:val="nil"/>
            </w:tcBorders>
            <w:shd w:val="clear" w:color="auto" w:fill="auto"/>
            <w:noWrap/>
            <w:vAlign w:val="center"/>
          </w:tcPr>
          <w:p w14:paraId="7DE470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480" w:type="dxa"/>
            <w:tcBorders>
              <w:tl2br w:val="nil"/>
              <w:tr2bl w:val="nil"/>
            </w:tcBorders>
            <w:shd w:val="clear" w:color="auto" w:fill="auto"/>
            <w:noWrap/>
            <w:vAlign w:val="center"/>
          </w:tcPr>
          <w:p w14:paraId="279FA8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广日</w:t>
            </w:r>
          </w:p>
        </w:tc>
        <w:tc>
          <w:tcPr>
            <w:tcW w:w="1346" w:type="dxa"/>
            <w:tcBorders>
              <w:tl2br w:val="nil"/>
              <w:tr2bl w:val="nil"/>
            </w:tcBorders>
            <w:shd w:val="clear" w:color="auto" w:fill="auto"/>
            <w:noWrap/>
            <w:vAlign w:val="center"/>
          </w:tcPr>
          <w:p w14:paraId="2A7FE8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w:t>
            </w:r>
          </w:p>
        </w:tc>
        <w:tc>
          <w:tcPr>
            <w:tcW w:w="1142" w:type="dxa"/>
            <w:tcBorders>
              <w:tl2br w:val="nil"/>
              <w:tr2bl w:val="nil"/>
            </w:tcBorders>
            <w:shd w:val="clear" w:color="auto" w:fill="auto"/>
            <w:noWrap/>
            <w:vAlign w:val="center"/>
          </w:tcPr>
          <w:p w14:paraId="464FCEC4">
            <w:pPr>
              <w:jc w:val="center"/>
              <w:rPr>
                <w:rFonts w:hint="eastAsia" w:ascii="宋体" w:hAnsi="宋体" w:eastAsia="宋体" w:cs="宋体"/>
                <w:i w:val="0"/>
                <w:iCs w:val="0"/>
                <w:color w:val="auto"/>
                <w:sz w:val="21"/>
                <w:szCs w:val="21"/>
                <w:highlight w:val="none"/>
                <w:u w:val="none"/>
              </w:rPr>
            </w:pPr>
          </w:p>
        </w:tc>
        <w:tc>
          <w:tcPr>
            <w:tcW w:w="946" w:type="dxa"/>
            <w:tcBorders>
              <w:tl2br w:val="nil"/>
              <w:tr2bl w:val="nil"/>
            </w:tcBorders>
            <w:shd w:val="clear" w:color="auto" w:fill="auto"/>
            <w:noWrap/>
            <w:vAlign w:val="center"/>
          </w:tcPr>
          <w:p w14:paraId="09645455">
            <w:pPr>
              <w:jc w:val="center"/>
              <w:rPr>
                <w:rFonts w:hint="eastAsia" w:ascii="宋体" w:hAnsi="宋体" w:eastAsia="宋体" w:cs="宋体"/>
                <w:i w:val="0"/>
                <w:iCs w:val="0"/>
                <w:color w:val="auto"/>
                <w:sz w:val="21"/>
                <w:szCs w:val="21"/>
                <w:highlight w:val="none"/>
                <w:u w:val="none"/>
              </w:rPr>
            </w:pPr>
          </w:p>
        </w:tc>
      </w:tr>
      <w:tr w14:paraId="038D73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tcBorders>
              <w:tl2br w:val="nil"/>
              <w:tr2bl w:val="nil"/>
            </w:tcBorders>
            <w:shd w:val="clear" w:color="auto" w:fill="auto"/>
            <w:noWrap/>
            <w:vAlign w:val="center"/>
          </w:tcPr>
          <w:p w14:paraId="6C24B4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45" w:type="dxa"/>
            <w:tcBorders>
              <w:tl2br w:val="nil"/>
              <w:tr2bl w:val="nil"/>
            </w:tcBorders>
            <w:shd w:val="clear" w:color="auto" w:fill="auto"/>
            <w:noWrap/>
            <w:vAlign w:val="center"/>
          </w:tcPr>
          <w:p w14:paraId="430B45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1#实训楼</w:t>
            </w:r>
          </w:p>
        </w:tc>
        <w:tc>
          <w:tcPr>
            <w:tcW w:w="811" w:type="dxa"/>
            <w:tcBorders>
              <w:tl2br w:val="nil"/>
              <w:tr2bl w:val="nil"/>
            </w:tcBorders>
            <w:shd w:val="clear" w:color="auto" w:fill="auto"/>
            <w:noWrap/>
            <w:vAlign w:val="center"/>
          </w:tcPr>
          <w:p w14:paraId="325DB4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11" w:type="dxa"/>
            <w:tcBorders>
              <w:tl2br w:val="nil"/>
              <w:tr2bl w:val="nil"/>
            </w:tcBorders>
            <w:shd w:val="clear" w:color="auto" w:fill="auto"/>
            <w:noWrap/>
            <w:vAlign w:val="center"/>
          </w:tcPr>
          <w:p w14:paraId="35D0F2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480" w:type="dxa"/>
            <w:tcBorders>
              <w:tl2br w:val="nil"/>
              <w:tr2bl w:val="nil"/>
            </w:tcBorders>
            <w:shd w:val="clear" w:color="auto" w:fill="auto"/>
            <w:noWrap/>
            <w:vAlign w:val="center"/>
          </w:tcPr>
          <w:p w14:paraId="3437C1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广日</w:t>
            </w:r>
          </w:p>
        </w:tc>
        <w:tc>
          <w:tcPr>
            <w:tcW w:w="1346" w:type="dxa"/>
            <w:tcBorders>
              <w:tl2br w:val="nil"/>
              <w:tr2bl w:val="nil"/>
            </w:tcBorders>
            <w:shd w:val="clear" w:color="auto" w:fill="auto"/>
            <w:noWrap/>
            <w:vAlign w:val="center"/>
          </w:tcPr>
          <w:p w14:paraId="2D03B5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w:t>
            </w:r>
          </w:p>
        </w:tc>
        <w:tc>
          <w:tcPr>
            <w:tcW w:w="1142" w:type="dxa"/>
            <w:tcBorders>
              <w:tl2br w:val="nil"/>
              <w:tr2bl w:val="nil"/>
            </w:tcBorders>
            <w:shd w:val="clear" w:color="auto" w:fill="auto"/>
            <w:noWrap/>
            <w:vAlign w:val="center"/>
          </w:tcPr>
          <w:p w14:paraId="173FF3AB">
            <w:pPr>
              <w:jc w:val="center"/>
              <w:rPr>
                <w:rFonts w:hint="eastAsia" w:ascii="宋体" w:hAnsi="宋体" w:eastAsia="宋体" w:cs="宋体"/>
                <w:i w:val="0"/>
                <w:iCs w:val="0"/>
                <w:color w:val="auto"/>
                <w:sz w:val="21"/>
                <w:szCs w:val="21"/>
                <w:highlight w:val="none"/>
                <w:u w:val="none"/>
              </w:rPr>
            </w:pPr>
          </w:p>
        </w:tc>
        <w:tc>
          <w:tcPr>
            <w:tcW w:w="946" w:type="dxa"/>
            <w:tcBorders>
              <w:tl2br w:val="nil"/>
              <w:tr2bl w:val="nil"/>
            </w:tcBorders>
            <w:shd w:val="clear" w:color="auto" w:fill="auto"/>
            <w:noWrap/>
            <w:vAlign w:val="center"/>
          </w:tcPr>
          <w:p w14:paraId="4EBA45C4">
            <w:pPr>
              <w:jc w:val="center"/>
              <w:rPr>
                <w:rFonts w:hint="eastAsia" w:ascii="宋体" w:hAnsi="宋体" w:eastAsia="宋体" w:cs="宋体"/>
                <w:i w:val="0"/>
                <w:iCs w:val="0"/>
                <w:color w:val="auto"/>
                <w:sz w:val="21"/>
                <w:szCs w:val="21"/>
                <w:highlight w:val="none"/>
                <w:u w:val="none"/>
              </w:rPr>
            </w:pPr>
          </w:p>
        </w:tc>
      </w:tr>
      <w:tr w14:paraId="105CBC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tcBorders>
              <w:tl2br w:val="nil"/>
              <w:tr2bl w:val="nil"/>
            </w:tcBorders>
            <w:shd w:val="clear" w:color="auto" w:fill="auto"/>
            <w:noWrap/>
            <w:vAlign w:val="center"/>
          </w:tcPr>
          <w:p w14:paraId="55EFBB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45" w:type="dxa"/>
            <w:tcBorders>
              <w:tl2br w:val="nil"/>
              <w:tr2bl w:val="nil"/>
            </w:tcBorders>
            <w:shd w:val="clear" w:color="auto" w:fill="auto"/>
            <w:noWrap/>
            <w:vAlign w:val="center"/>
          </w:tcPr>
          <w:p w14:paraId="4EFF98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食堂</w:t>
            </w:r>
          </w:p>
        </w:tc>
        <w:tc>
          <w:tcPr>
            <w:tcW w:w="811" w:type="dxa"/>
            <w:tcBorders>
              <w:tl2br w:val="nil"/>
              <w:tr2bl w:val="nil"/>
            </w:tcBorders>
            <w:shd w:val="clear" w:color="auto" w:fill="auto"/>
            <w:noWrap/>
            <w:vAlign w:val="center"/>
          </w:tcPr>
          <w:p w14:paraId="4960E3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11" w:type="dxa"/>
            <w:tcBorders>
              <w:tl2br w:val="nil"/>
              <w:tr2bl w:val="nil"/>
            </w:tcBorders>
            <w:shd w:val="clear" w:color="auto" w:fill="auto"/>
            <w:noWrap/>
            <w:vAlign w:val="center"/>
          </w:tcPr>
          <w:p w14:paraId="73C23F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80" w:type="dxa"/>
            <w:tcBorders>
              <w:tl2br w:val="nil"/>
              <w:tr2bl w:val="nil"/>
            </w:tcBorders>
            <w:shd w:val="clear" w:color="auto" w:fill="auto"/>
            <w:noWrap/>
            <w:vAlign w:val="center"/>
          </w:tcPr>
          <w:p w14:paraId="07B249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广日</w:t>
            </w:r>
          </w:p>
        </w:tc>
        <w:tc>
          <w:tcPr>
            <w:tcW w:w="1346" w:type="dxa"/>
            <w:tcBorders>
              <w:tl2br w:val="nil"/>
              <w:tr2bl w:val="nil"/>
            </w:tcBorders>
            <w:shd w:val="clear" w:color="auto" w:fill="auto"/>
            <w:noWrap/>
            <w:vAlign w:val="center"/>
          </w:tcPr>
          <w:p w14:paraId="74CA49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w:t>
            </w:r>
          </w:p>
        </w:tc>
        <w:tc>
          <w:tcPr>
            <w:tcW w:w="1142" w:type="dxa"/>
            <w:tcBorders>
              <w:tl2br w:val="nil"/>
              <w:tr2bl w:val="nil"/>
            </w:tcBorders>
            <w:shd w:val="clear" w:color="auto" w:fill="auto"/>
            <w:noWrap/>
            <w:vAlign w:val="center"/>
          </w:tcPr>
          <w:p w14:paraId="6F9C5C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货梯</w:t>
            </w:r>
          </w:p>
        </w:tc>
        <w:tc>
          <w:tcPr>
            <w:tcW w:w="946" w:type="dxa"/>
            <w:tcBorders>
              <w:tl2br w:val="nil"/>
              <w:tr2bl w:val="nil"/>
            </w:tcBorders>
            <w:shd w:val="clear" w:color="auto" w:fill="auto"/>
            <w:noWrap/>
            <w:vAlign w:val="center"/>
          </w:tcPr>
          <w:p w14:paraId="5235C2D0">
            <w:pPr>
              <w:jc w:val="center"/>
              <w:rPr>
                <w:rFonts w:hint="eastAsia" w:ascii="宋体" w:hAnsi="宋体" w:eastAsia="宋体" w:cs="宋体"/>
                <w:i w:val="0"/>
                <w:iCs w:val="0"/>
                <w:color w:val="auto"/>
                <w:sz w:val="21"/>
                <w:szCs w:val="21"/>
                <w:highlight w:val="none"/>
                <w:u w:val="none"/>
              </w:rPr>
            </w:pPr>
          </w:p>
        </w:tc>
      </w:tr>
      <w:tr w14:paraId="14F21B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tcBorders>
              <w:tl2br w:val="nil"/>
              <w:tr2bl w:val="nil"/>
            </w:tcBorders>
            <w:shd w:val="clear" w:color="auto" w:fill="auto"/>
            <w:noWrap/>
            <w:vAlign w:val="center"/>
          </w:tcPr>
          <w:p w14:paraId="3F297F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45" w:type="dxa"/>
            <w:tcBorders>
              <w:tl2br w:val="nil"/>
              <w:tr2bl w:val="nil"/>
            </w:tcBorders>
            <w:shd w:val="clear" w:color="auto" w:fill="auto"/>
            <w:noWrap/>
            <w:vAlign w:val="center"/>
          </w:tcPr>
          <w:p w14:paraId="6ECB58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2#实训楼</w:t>
            </w:r>
          </w:p>
        </w:tc>
        <w:tc>
          <w:tcPr>
            <w:tcW w:w="811" w:type="dxa"/>
            <w:tcBorders>
              <w:tl2br w:val="nil"/>
              <w:tr2bl w:val="nil"/>
            </w:tcBorders>
            <w:shd w:val="clear" w:color="auto" w:fill="auto"/>
            <w:noWrap/>
            <w:vAlign w:val="center"/>
          </w:tcPr>
          <w:p w14:paraId="0C6083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11" w:type="dxa"/>
            <w:tcBorders>
              <w:tl2br w:val="nil"/>
              <w:tr2bl w:val="nil"/>
            </w:tcBorders>
            <w:shd w:val="clear" w:color="auto" w:fill="auto"/>
            <w:noWrap/>
            <w:vAlign w:val="center"/>
          </w:tcPr>
          <w:p w14:paraId="07B806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480" w:type="dxa"/>
            <w:tcBorders>
              <w:tl2br w:val="nil"/>
              <w:tr2bl w:val="nil"/>
            </w:tcBorders>
            <w:shd w:val="clear" w:color="auto" w:fill="auto"/>
            <w:noWrap/>
            <w:vAlign w:val="center"/>
          </w:tcPr>
          <w:p w14:paraId="4857B1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广日</w:t>
            </w:r>
          </w:p>
        </w:tc>
        <w:tc>
          <w:tcPr>
            <w:tcW w:w="1346" w:type="dxa"/>
            <w:tcBorders>
              <w:tl2br w:val="nil"/>
              <w:tr2bl w:val="nil"/>
            </w:tcBorders>
            <w:shd w:val="clear" w:color="auto" w:fill="auto"/>
            <w:noWrap/>
            <w:vAlign w:val="center"/>
          </w:tcPr>
          <w:p w14:paraId="64F919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w:t>
            </w:r>
          </w:p>
        </w:tc>
        <w:tc>
          <w:tcPr>
            <w:tcW w:w="1142" w:type="dxa"/>
            <w:tcBorders>
              <w:tl2br w:val="nil"/>
              <w:tr2bl w:val="nil"/>
            </w:tcBorders>
            <w:shd w:val="clear" w:color="auto" w:fill="auto"/>
            <w:noWrap/>
            <w:vAlign w:val="center"/>
          </w:tcPr>
          <w:p w14:paraId="230887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货梯</w:t>
            </w:r>
          </w:p>
        </w:tc>
        <w:tc>
          <w:tcPr>
            <w:tcW w:w="946" w:type="dxa"/>
            <w:tcBorders>
              <w:tl2br w:val="nil"/>
              <w:tr2bl w:val="nil"/>
            </w:tcBorders>
            <w:shd w:val="clear" w:color="auto" w:fill="auto"/>
            <w:noWrap/>
            <w:vAlign w:val="center"/>
          </w:tcPr>
          <w:p w14:paraId="6DFD0DBC">
            <w:pPr>
              <w:jc w:val="center"/>
              <w:rPr>
                <w:rFonts w:hint="eastAsia" w:ascii="宋体" w:hAnsi="宋体" w:eastAsia="宋体" w:cs="宋体"/>
                <w:i w:val="0"/>
                <w:iCs w:val="0"/>
                <w:color w:val="auto"/>
                <w:sz w:val="21"/>
                <w:szCs w:val="21"/>
                <w:highlight w:val="none"/>
                <w:u w:val="none"/>
              </w:rPr>
            </w:pPr>
          </w:p>
        </w:tc>
      </w:tr>
      <w:tr w14:paraId="3B5E80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tcBorders>
              <w:tl2br w:val="nil"/>
              <w:tr2bl w:val="nil"/>
            </w:tcBorders>
            <w:shd w:val="clear" w:color="auto" w:fill="auto"/>
            <w:noWrap/>
            <w:vAlign w:val="center"/>
          </w:tcPr>
          <w:p w14:paraId="4E1DBD2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
              </w:rPr>
              <w:t>6</w:t>
            </w:r>
          </w:p>
        </w:tc>
        <w:tc>
          <w:tcPr>
            <w:tcW w:w="1345" w:type="dxa"/>
            <w:tcBorders>
              <w:tl2br w:val="nil"/>
              <w:tr2bl w:val="nil"/>
            </w:tcBorders>
            <w:shd w:val="clear" w:color="auto" w:fill="auto"/>
            <w:noWrap/>
            <w:vAlign w:val="center"/>
          </w:tcPr>
          <w:p w14:paraId="127181B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#实训楼</w:t>
            </w:r>
          </w:p>
        </w:tc>
        <w:tc>
          <w:tcPr>
            <w:tcW w:w="811" w:type="dxa"/>
            <w:tcBorders>
              <w:tl2br w:val="nil"/>
              <w:tr2bl w:val="nil"/>
            </w:tcBorders>
            <w:shd w:val="clear" w:color="auto" w:fill="auto"/>
            <w:noWrap/>
            <w:vAlign w:val="center"/>
          </w:tcPr>
          <w:p w14:paraId="1EAF56A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811" w:type="dxa"/>
            <w:tcBorders>
              <w:tl2br w:val="nil"/>
              <w:tr2bl w:val="nil"/>
            </w:tcBorders>
            <w:shd w:val="clear" w:color="auto" w:fill="auto"/>
            <w:noWrap/>
            <w:vAlign w:val="center"/>
          </w:tcPr>
          <w:p w14:paraId="534E284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1480" w:type="dxa"/>
            <w:tcBorders>
              <w:tl2br w:val="nil"/>
              <w:tr2bl w:val="nil"/>
            </w:tcBorders>
            <w:shd w:val="clear" w:color="auto" w:fill="auto"/>
            <w:noWrap/>
            <w:vAlign w:val="center"/>
          </w:tcPr>
          <w:p w14:paraId="1BBAEF7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346" w:type="dxa"/>
            <w:tcBorders>
              <w:tl2br w:val="nil"/>
              <w:tr2bl w:val="nil"/>
            </w:tcBorders>
            <w:shd w:val="clear" w:color="auto" w:fill="auto"/>
            <w:noWrap/>
            <w:vAlign w:val="center"/>
          </w:tcPr>
          <w:p w14:paraId="0E1D039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无</w:t>
            </w:r>
          </w:p>
        </w:tc>
        <w:tc>
          <w:tcPr>
            <w:tcW w:w="1142" w:type="dxa"/>
            <w:tcBorders>
              <w:tl2br w:val="nil"/>
              <w:tr2bl w:val="nil"/>
            </w:tcBorders>
            <w:shd w:val="clear" w:color="auto" w:fill="auto"/>
            <w:noWrap/>
            <w:vAlign w:val="center"/>
          </w:tcPr>
          <w:p w14:paraId="2623E3A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46" w:type="dxa"/>
            <w:tcBorders>
              <w:tl2br w:val="nil"/>
              <w:tr2bl w:val="nil"/>
            </w:tcBorders>
            <w:shd w:val="clear" w:color="auto" w:fill="auto"/>
            <w:noWrap/>
            <w:vAlign w:val="center"/>
          </w:tcPr>
          <w:p w14:paraId="73D495EA">
            <w:pPr>
              <w:jc w:val="center"/>
              <w:rPr>
                <w:rFonts w:hint="eastAsia" w:ascii="宋体" w:hAnsi="宋体" w:eastAsia="宋体" w:cs="宋体"/>
                <w:i w:val="0"/>
                <w:iCs w:val="0"/>
                <w:color w:val="auto"/>
                <w:sz w:val="21"/>
                <w:szCs w:val="21"/>
                <w:highlight w:val="none"/>
                <w:u w:val="none"/>
              </w:rPr>
            </w:pPr>
          </w:p>
        </w:tc>
      </w:tr>
    </w:tbl>
    <w:p w14:paraId="484BB827">
      <w:pPr>
        <w:pStyle w:val="138"/>
        <w:spacing w:line="360" w:lineRule="auto"/>
        <w:rPr>
          <w:rFonts w:hint="eastAsia" w:ascii="宋体" w:hAnsi="宋体" w:eastAsia="宋体" w:cs="宋体"/>
          <w:color w:val="auto"/>
          <w:sz w:val="21"/>
          <w:szCs w:val="21"/>
          <w:highlight w:val="none"/>
        </w:rPr>
      </w:pPr>
    </w:p>
    <w:p w14:paraId="0C330B8D">
      <w:pPr>
        <w:pStyle w:val="138"/>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共计</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台电梯，按照TSG T5002《电梯维护保养规则》进行保养并出示特种设备监管部门颁发的许可资质证。派遣的保养人员须持有有效的作业人员证,并应遵守</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有关规章制度</w:t>
      </w:r>
      <w:r>
        <w:rPr>
          <w:rFonts w:hint="eastAsia" w:ascii="宋体" w:hAnsi="宋体" w:cs="宋体"/>
          <w:color w:val="auto"/>
          <w:sz w:val="21"/>
          <w:szCs w:val="21"/>
          <w:highlight w:val="none"/>
          <w:lang w:eastAsia="zh-CN"/>
        </w:rPr>
        <w:t>。</w:t>
      </w:r>
    </w:p>
    <w:p w14:paraId="0F2E6FE3">
      <w:pPr>
        <w:pStyle w:val="138"/>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提供维修所需工具和劳务，并免费提供单次500元内维修维护材料、设备采购，超过该价值的零部件报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审批后由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采购提供。</w:t>
      </w:r>
    </w:p>
    <w:p w14:paraId="472B338C">
      <w:pPr>
        <w:pStyle w:val="138"/>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提供24小时的紧急救援服务，当电梯在发生故障出现电梯困人时，应立即派员到现场实施救援，抵达时间不超过30分种。电梯发生其他故障，</w:t>
      </w:r>
      <w:r>
        <w:rPr>
          <w:rFonts w:hint="eastAsia" w:ascii="宋体" w:hAnsi="宋体" w:cs="宋体"/>
          <w:color w:val="auto"/>
          <w:sz w:val="21"/>
          <w:szCs w:val="21"/>
          <w:highlight w:val="none"/>
          <w:lang w:eastAsia="zh-CN"/>
        </w:rPr>
        <w:t>电梯维保单位</w:t>
      </w:r>
      <w:r>
        <w:rPr>
          <w:rFonts w:hint="eastAsia" w:ascii="宋体" w:hAnsi="宋体" w:eastAsia="宋体" w:cs="宋体"/>
          <w:color w:val="auto"/>
          <w:sz w:val="21"/>
          <w:szCs w:val="21"/>
          <w:highlight w:val="none"/>
        </w:rPr>
        <w:t>应在接到</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通知后45分钟内赶到现场实施抢修。</w:t>
      </w:r>
    </w:p>
    <w:p w14:paraId="00C78B91">
      <w:pPr>
        <w:pStyle w:val="138"/>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应按合同约定，定期对</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电梯进行维护保养。每次工作完毕，</w:t>
      </w:r>
      <w:r>
        <w:rPr>
          <w:rFonts w:hint="eastAsia" w:ascii="宋体" w:hAnsi="宋体" w:eastAsia="宋体" w:cs="宋体"/>
          <w:color w:val="auto"/>
          <w:sz w:val="21"/>
          <w:szCs w:val="21"/>
          <w:highlight w:val="none"/>
          <w:lang w:eastAsia="zh-CN"/>
        </w:rPr>
        <w:t>电梯维保单位</w:t>
      </w:r>
      <w:r>
        <w:rPr>
          <w:rFonts w:hint="eastAsia" w:ascii="宋体" w:hAnsi="宋体" w:eastAsia="宋体" w:cs="宋体"/>
          <w:color w:val="auto"/>
          <w:sz w:val="21"/>
          <w:szCs w:val="21"/>
          <w:highlight w:val="none"/>
        </w:rPr>
        <w:t>维保人员应请</w:t>
      </w:r>
      <w:r>
        <w:rPr>
          <w:rFonts w:hint="eastAsia" w:ascii="宋体" w:hAnsi="宋体" w:eastAsia="宋体" w:cs="宋体"/>
          <w:color w:val="auto"/>
          <w:sz w:val="21"/>
          <w:szCs w:val="21"/>
          <w:highlight w:val="none"/>
          <w:lang w:eastAsia="zh-CN"/>
        </w:rPr>
        <w:t>采购人</w:t>
      </w:r>
      <w:r>
        <w:rPr>
          <w:rFonts w:hint="eastAsia" w:ascii="宋体" w:hAnsi="宋体" w:cs="宋体"/>
          <w:color w:val="auto"/>
          <w:sz w:val="21"/>
          <w:szCs w:val="21"/>
          <w:highlight w:val="none"/>
          <w:lang w:eastAsia="zh-CN"/>
        </w:rPr>
        <w:t>相关</w:t>
      </w:r>
      <w:r>
        <w:rPr>
          <w:rFonts w:hint="eastAsia" w:ascii="宋体" w:hAnsi="宋体" w:eastAsia="宋体" w:cs="宋体"/>
          <w:color w:val="auto"/>
          <w:sz w:val="21"/>
          <w:szCs w:val="21"/>
          <w:highlight w:val="none"/>
        </w:rPr>
        <w:t>管理人员对维护保养作业记录进行确认。</w:t>
      </w:r>
    </w:p>
    <w:p w14:paraId="539F0930">
      <w:pPr>
        <w:pStyle w:val="138"/>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电梯维保单位</w:t>
      </w:r>
      <w:r>
        <w:rPr>
          <w:rFonts w:hint="eastAsia" w:ascii="宋体" w:hAnsi="宋体" w:eastAsia="宋体" w:cs="宋体"/>
          <w:color w:val="auto"/>
          <w:sz w:val="21"/>
          <w:szCs w:val="21"/>
          <w:highlight w:val="none"/>
        </w:rPr>
        <w:t>在维护保养电梯时，如确认需维修或更换零件时，应列出维修项目维修费用，以书面通知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签字同意后方可进行，并应保证向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提供正品备件。</w:t>
      </w:r>
    </w:p>
    <w:p w14:paraId="3CC015DD">
      <w:pPr>
        <w:pStyle w:val="138"/>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若电梯的定期检验不合格属</w:t>
      </w:r>
      <w:r>
        <w:rPr>
          <w:rFonts w:hint="eastAsia" w:ascii="宋体" w:hAnsi="宋体" w:cs="宋体"/>
          <w:color w:val="auto"/>
          <w:sz w:val="21"/>
          <w:szCs w:val="21"/>
          <w:highlight w:val="none"/>
          <w:lang w:eastAsia="zh-CN"/>
        </w:rPr>
        <w:t>电梯维保单位</w:t>
      </w:r>
      <w:r>
        <w:rPr>
          <w:rFonts w:hint="eastAsia" w:ascii="宋体" w:hAnsi="宋体" w:eastAsia="宋体" w:cs="宋体"/>
          <w:color w:val="auto"/>
          <w:sz w:val="21"/>
          <w:szCs w:val="21"/>
          <w:highlight w:val="none"/>
        </w:rPr>
        <w:t>维保责任，</w:t>
      </w:r>
      <w:r>
        <w:rPr>
          <w:rFonts w:hint="eastAsia" w:ascii="宋体" w:hAnsi="宋体" w:cs="宋体"/>
          <w:color w:val="auto"/>
          <w:sz w:val="21"/>
          <w:szCs w:val="21"/>
          <w:highlight w:val="none"/>
          <w:lang w:eastAsia="zh-CN"/>
        </w:rPr>
        <w:t>电梯维保单位</w:t>
      </w:r>
      <w:r>
        <w:rPr>
          <w:rFonts w:hint="eastAsia" w:ascii="宋体" w:hAnsi="宋体" w:eastAsia="宋体" w:cs="宋体"/>
          <w:color w:val="auto"/>
          <w:sz w:val="21"/>
          <w:szCs w:val="21"/>
          <w:highlight w:val="none"/>
        </w:rPr>
        <w:t>负责整改并承担费用。</w:t>
      </w:r>
    </w:p>
    <w:p w14:paraId="3F09B54B">
      <w:pPr>
        <w:pStyle w:val="138"/>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在合同维保期内，因</w:t>
      </w:r>
      <w:r>
        <w:rPr>
          <w:rFonts w:hint="eastAsia" w:ascii="宋体" w:hAnsi="宋体" w:cs="宋体"/>
          <w:color w:val="auto"/>
          <w:sz w:val="21"/>
          <w:szCs w:val="21"/>
          <w:highlight w:val="none"/>
          <w:lang w:eastAsia="zh-CN"/>
        </w:rPr>
        <w:t>电梯维保单位</w:t>
      </w:r>
      <w:r>
        <w:rPr>
          <w:rFonts w:hint="eastAsia" w:ascii="宋体" w:hAnsi="宋体" w:eastAsia="宋体" w:cs="宋体"/>
          <w:color w:val="auto"/>
          <w:sz w:val="21"/>
          <w:szCs w:val="21"/>
          <w:highlight w:val="none"/>
        </w:rPr>
        <w:t>维保不当造成安全事故，则由</w:t>
      </w:r>
      <w:r>
        <w:rPr>
          <w:rFonts w:hint="eastAsia" w:ascii="宋体" w:hAnsi="宋体" w:cs="宋体"/>
          <w:color w:val="auto"/>
          <w:sz w:val="21"/>
          <w:szCs w:val="21"/>
          <w:highlight w:val="none"/>
          <w:lang w:eastAsia="zh-CN"/>
        </w:rPr>
        <w:t>电梯维保单位</w:t>
      </w:r>
      <w:r>
        <w:rPr>
          <w:rFonts w:hint="eastAsia" w:ascii="宋体" w:hAnsi="宋体" w:eastAsia="宋体" w:cs="宋体"/>
          <w:color w:val="auto"/>
          <w:sz w:val="21"/>
          <w:szCs w:val="21"/>
          <w:highlight w:val="none"/>
        </w:rPr>
        <w:t>负责承担事故处理费用，并负责免费修复。</w:t>
      </w:r>
    </w:p>
    <w:p w14:paraId="61AED0A6">
      <w:pPr>
        <w:pStyle w:val="138"/>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3、工作职责</w:t>
      </w:r>
    </w:p>
    <w:p w14:paraId="1AE5C417">
      <w:pPr>
        <w:pStyle w:val="138"/>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后勤保卫处</w:t>
      </w:r>
      <w:r>
        <w:rPr>
          <w:rFonts w:hint="eastAsia" w:ascii="宋体" w:hAnsi="宋体" w:eastAsia="宋体" w:cs="宋体"/>
          <w:color w:val="auto"/>
          <w:sz w:val="21"/>
          <w:szCs w:val="21"/>
          <w:highlight w:val="none"/>
        </w:rPr>
        <w:t>的领导下，负责房屋设备、设施的正常运行与维保服务，包括房屋设备设施运行的应急处理工作；</w:t>
      </w:r>
    </w:p>
    <w:p w14:paraId="550BC20D">
      <w:pPr>
        <w:pStyle w:val="138"/>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负责对设备的日常管理，检查每日运行日志，了解设备工作状况合理安排每日工作；</w:t>
      </w:r>
    </w:p>
    <w:p w14:paraId="2B675506">
      <w:pPr>
        <w:pStyle w:val="138"/>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负责房屋设备、设施运行与维保的质量控制，拟制定维保服务过程中的费用预算、作业文件，并负责实施；</w:t>
      </w:r>
    </w:p>
    <w:p w14:paraId="3338944E">
      <w:pPr>
        <w:pStyle w:val="138"/>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负责计划和购置维保材料及工器具；</w:t>
      </w:r>
    </w:p>
    <w:p w14:paraId="152028B1">
      <w:pPr>
        <w:pStyle w:val="138"/>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负责设施能耗管理与节能工作；</w:t>
      </w:r>
    </w:p>
    <w:p w14:paraId="066987AA">
      <w:pPr>
        <w:pStyle w:val="138"/>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编制（设备）突发事故的应急处理预案，并适时组织预演；</w:t>
      </w:r>
    </w:p>
    <w:p w14:paraId="746BA34D">
      <w:pPr>
        <w:pStyle w:val="138"/>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负责对房屋设备（设施）维修、保养工作的计划实施和记录备案，对一些隐蔽工程中的更改要详细记录备案，记录文件长期保存；</w:t>
      </w:r>
    </w:p>
    <w:p w14:paraId="5776E1D5">
      <w:pPr>
        <w:pStyle w:val="138"/>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4、维修主管工作职责</w:t>
      </w:r>
    </w:p>
    <w:p w14:paraId="588EE23F">
      <w:pPr>
        <w:pStyle w:val="138"/>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在项目经理的领导下负责本学院所有设备、设施的维修、保养工作。</w:t>
      </w:r>
    </w:p>
    <w:p w14:paraId="098A013E">
      <w:pPr>
        <w:pStyle w:val="138"/>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制定年度计划，包括工程维修保养预算，设施设备管理程序及制度，维修材料申购计划，能源管理措施等管理工作。</w:t>
      </w:r>
    </w:p>
    <w:p w14:paraId="67F43B36">
      <w:pPr>
        <w:pStyle w:val="138"/>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制定本部门员工工作程序，并使之正确且行之有效，制定机电设备操作规程，制定本部门考核制度，并组织实施。</w:t>
      </w:r>
    </w:p>
    <w:p w14:paraId="5FEB0311">
      <w:pPr>
        <w:pStyle w:val="138"/>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建立工程各类资料管理制度，以符合档案管理的要求。</w:t>
      </w:r>
    </w:p>
    <w:p w14:paraId="3F50887B">
      <w:pPr>
        <w:pStyle w:val="138"/>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检查各分包商的工作并作出正确评估。</w:t>
      </w:r>
    </w:p>
    <w:p w14:paraId="08903208">
      <w:pPr>
        <w:pStyle w:val="138"/>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制定设备管理安全工作制度及突发事件应急处理程序。</w:t>
      </w:r>
    </w:p>
    <w:p w14:paraId="4134F390">
      <w:pPr>
        <w:pStyle w:val="138"/>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检查和布署本部门员工的各项工作，制定培训计划和组织实施以提高整体管理水平。</w:t>
      </w:r>
    </w:p>
    <w:p w14:paraId="34BF3A7A">
      <w:pPr>
        <w:pStyle w:val="138"/>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监督及检查本部门员工的行为、纪律、衣着等，确保员工的行为规范符合管理处要求。</w:t>
      </w:r>
    </w:p>
    <w:p w14:paraId="4CF6CACF">
      <w:pPr>
        <w:pStyle w:val="138"/>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巡查各岗位员工工作状况。</w:t>
      </w:r>
    </w:p>
    <w:p w14:paraId="399EED8D">
      <w:pPr>
        <w:pStyle w:val="138"/>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巡查重要设备的运行状况，巡查重大的维修工作。</w:t>
      </w:r>
    </w:p>
    <w:p w14:paraId="4D0489D9">
      <w:pPr>
        <w:pStyle w:val="138"/>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参入协调与政府职能部门的工作关系，确保校区水、电及其他配套设施的正常运行。</w:t>
      </w:r>
    </w:p>
    <w:p w14:paraId="2AA57868">
      <w:pPr>
        <w:pStyle w:val="138"/>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完成领导安排的其他工作。</w:t>
      </w:r>
    </w:p>
    <w:p w14:paraId="2F499AD1">
      <w:pPr>
        <w:pStyle w:val="138"/>
        <w:spacing w:line="360" w:lineRule="auto"/>
        <w:ind w:left="540"/>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五、人员配置要求</w:t>
      </w:r>
    </w:p>
    <w:p w14:paraId="159860D0">
      <w:pPr>
        <w:pStyle w:val="138"/>
        <w:spacing w:line="360" w:lineRule="auto"/>
        <w:ind w:left="315" w:left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1、服务人员具体岗位设置</w:t>
      </w:r>
    </w:p>
    <w:tbl>
      <w:tblPr>
        <w:tblStyle w:val="45"/>
        <w:tblW w:w="8729" w:type="dxa"/>
        <w:tblInd w:w="216"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56"/>
        <w:gridCol w:w="1107"/>
        <w:gridCol w:w="2929"/>
        <w:gridCol w:w="3238"/>
        <w:gridCol w:w="699"/>
      </w:tblGrid>
      <w:tr w14:paraId="0DF581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5D29EE24">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107" w:type="dxa"/>
            <w:tcBorders>
              <w:tl2br w:val="nil"/>
              <w:tr2bl w:val="nil"/>
            </w:tcBorders>
            <w:shd w:val="clear" w:color="auto" w:fill="FFFFFF"/>
            <w:vAlign w:val="center"/>
          </w:tcPr>
          <w:p w14:paraId="1A52F890">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岗位</w:t>
            </w:r>
          </w:p>
        </w:tc>
        <w:tc>
          <w:tcPr>
            <w:tcW w:w="2929" w:type="dxa"/>
            <w:tcBorders>
              <w:tl2br w:val="nil"/>
              <w:tr2bl w:val="nil"/>
            </w:tcBorders>
            <w:shd w:val="clear" w:color="auto" w:fill="FFFFFF"/>
            <w:vAlign w:val="center"/>
          </w:tcPr>
          <w:p w14:paraId="45B4C786">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岗位职责</w:t>
            </w:r>
          </w:p>
        </w:tc>
        <w:tc>
          <w:tcPr>
            <w:tcW w:w="3238" w:type="dxa"/>
            <w:tcBorders>
              <w:tl2br w:val="nil"/>
              <w:tr2bl w:val="nil"/>
            </w:tcBorders>
            <w:shd w:val="clear" w:color="auto" w:fill="FFFFFF"/>
            <w:vAlign w:val="center"/>
          </w:tcPr>
          <w:p w14:paraId="6C1CF377">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要求</w:t>
            </w:r>
          </w:p>
        </w:tc>
        <w:tc>
          <w:tcPr>
            <w:tcW w:w="699" w:type="dxa"/>
            <w:tcBorders>
              <w:tl2br w:val="nil"/>
              <w:tr2bl w:val="nil"/>
            </w:tcBorders>
            <w:shd w:val="clear" w:color="auto" w:fill="FFFFFF"/>
            <w:vAlign w:val="center"/>
          </w:tcPr>
          <w:p w14:paraId="51E1288A">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人数</w:t>
            </w:r>
          </w:p>
        </w:tc>
      </w:tr>
      <w:tr w14:paraId="4D395A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2BF56D1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07" w:type="dxa"/>
            <w:tcBorders>
              <w:tl2br w:val="nil"/>
              <w:tr2bl w:val="nil"/>
            </w:tcBorders>
            <w:shd w:val="clear" w:color="auto" w:fill="FFFFFF"/>
            <w:vAlign w:val="center"/>
          </w:tcPr>
          <w:p w14:paraId="6C50094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项目经理</w:t>
            </w:r>
          </w:p>
        </w:tc>
        <w:tc>
          <w:tcPr>
            <w:tcW w:w="2929" w:type="dxa"/>
            <w:tcBorders>
              <w:tl2br w:val="nil"/>
              <w:tr2bl w:val="nil"/>
            </w:tcBorders>
            <w:shd w:val="clear" w:color="auto" w:fill="FFFFFF"/>
            <w:vAlign w:val="center"/>
          </w:tcPr>
          <w:p w14:paraId="4D8FFD71">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全面负责物业公司项目部日常管理工作；向物业公司全体员工传达学院要求；负责落实学院各类规章制度、决议与检查事项；负责项目团队建设；监督各项服务工作标准的落地实施，保证项目的高质量运转。</w:t>
            </w:r>
          </w:p>
        </w:tc>
        <w:tc>
          <w:tcPr>
            <w:tcW w:w="3238" w:type="dxa"/>
            <w:tcBorders>
              <w:tl2br w:val="nil"/>
              <w:tr2bl w:val="nil"/>
            </w:tcBorders>
            <w:shd w:val="clear" w:color="auto" w:fill="FFFFFF"/>
            <w:vAlign w:val="center"/>
          </w:tcPr>
          <w:p w14:paraId="7C20DFC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要求45岁以下</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大专及以上学历</w:t>
            </w:r>
            <w:r>
              <w:rPr>
                <w:rFonts w:hint="eastAsia" w:ascii="宋体" w:hAnsi="宋体" w:cs="宋体"/>
                <w:color w:val="auto"/>
                <w:sz w:val="21"/>
                <w:szCs w:val="21"/>
                <w:highlight w:val="none"/>
                <w:lang w:eastAsia="zh-CN"/>
              </w:rPr>
              <w:t>，具有三年或以上同岗位工作经验。</w:t>
            </w:r>
          </w:p>
        </w:tc>
        <w:tc>
          <w:tcPr>
            <w:tcW w:w="699" w:type="dxa"/>
            <w:tcBorders>
              <w:tl2br w:val="nil"/>
              <w:tr2bl w:val="nil"/>
            </w:tcBorders>
            <w:shd w:val="clear" w:color="auto" w:fill="FFFFFF"/>
            <w:vAlign w:val="center"/>
          </w:tcPr>
          <w:p w14:paraId="3E3343D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551277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3EF72B1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107" w:type="dxa"/>
            <w:tcBorders>
              <w:tl2br w:val="nil"/>
              <w:tr2bl w:val="nil"/>
            </w:tcBorders>
            <w:shd w:val="clear" w:color="auto" w:fill="FFFFFF"/>
            <w:vAlign w:val="center"/>
          </w:tcPr>
          <w:p w14:paraId="23D9BA0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行政干事</w:t>
            </w:r>
          </w:p>
        </w:tc>
        <w:tc>
          <w:tcPr>
            <w:tcW w:w="2929" w:type="dxa"/>
            <w:tcBorders>
              <w:tl2br w:val="nil"/>
              <w:tr2bl w:val="nil"/>
            </w:tcBorders>
            <w:shd w:val="clear" w:color="auto" w:fill="FFFFFF"/>
            <w:vAlign w:val="center"/>
          </w:tcPr>
          <w:p w14:paraId="28A7ADE0">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负责项目月度及年度工作计划编制；耗材计划、耗材接收和保管；人员招聘；周会、月会和年会的安排布置；人员考勤、档案的归口管理；负责学院日常上传下达等工作。</w:t>
            </w:r>
          </w:p>
        </w:tc>
        <w:tc>
          <w:tcPr>
            <w:tcW w:w="3238" w:type="dxa"/>
            <w:tcBorders>
              <w:tl2br w:val="nil"/>
              <w:tr2bl w:val="nil"/>
            </w:tcBorders>
            <w:shd w:val="clear" w:color="auto" w:fill="FFFFFF"/>
            <w:vAlign w:val="center"/>
          </w:tcPr>
          <w:p w14:paraId="633A5A9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9" w:type="dxa"/>
            <w:tcBorders>
              <w:tl2br w:val="nil"/>
              <w:tr2bl w:val="nil"/>
            </w:tcBorders>
            <w:shd w:val="clear" w:color="auto" w:fill="FFFFFF"/>
            <w:vAlign w:val="center"/>
          </w:tcPr>
          <w:p w14:paraId="0705DC0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03BDA3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0C083F5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107" w:type="dxa"/>
            <w:tcBorders>
              <w:tl2br w:val="nil"/>
              <w:tr2bl w:val="nil"/>
            </w:tcBorders>
            <w:shd w:val="clear" w:color="auto" w:fill="FFFFFF"/>
            <w:vAlign w:val="center"/>
          </w:tcPr>
          <w:p w14:paraId="0999525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会务员</w:t>
            </w:r>
          </w:p>
        </w:tc>
        <w:tc>
          <w:tcPr>
            <w:tcW w:w="2929" w:type="dxa"/>
            <w:tcBorders>
              <w:tl2br w:val="nil"/>
              <w:tr2bl w:val="nil"/>
            </w:tcBorders>
            <w:shd w:val="clear" w:color="auto" w:fill="FFFFFF"/>
            <w:vAlign w:val="center"/>
          </w:tcPr>
          <w:p w14:paraId="3A5E6675">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负责外来人员进入行政楼的接待和登记；负责学院相关会议的布置和接待；负责相关领导办公室的卫生保洁工作。</w:t>
            </w:r>
          </w:p>
        </w:tc>
        <w:tc>
          <w:tcPr>
            <w:tcW w:w="3238" w:type="dxa"/>
            <w:tcBorders>
              <w:tl2br w:val="nil"/>
              <w:tr2bl w:val="nil"/>
            </w:tcBorders>
            <w:shd w:val="clear" w:color="auto" w:fill="FFFFFF"/>
            <w:vAlign w:val="center"/>
          </w:tcPr>
          <w:p w14:paraId="1E25B67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要求35岁以下，大专及以上学历</w:t>
            </w:r>
          </w:p>
        </w:tc>
        <w:tc>
          <w:tcPr>
            <w:tcW w:w="699" w:type="dxa"/>
            <w:tcBorders>
              <w:tl2br w:val="nil"/>
              <w:tr2bl w:val="nil"/>
            </w:tcBorders>
            <w:shd w:val="clear" w:color="auto" w:fill="FFFFFF"/>
            <w:vAlign w:val="center"/>
          </w:tcPr>
          <w:p w14:paraId="4062681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3EEC05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2D4F077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107" w:type="dxa"/>
            <w:tcBorders>
              <w:tl2br w:val="nil"/>
              <w:tr2bl w:val="nil"/>
            </w:tcBorders>
            <w:shd w:val="clear" w:color="auto" w:fill="FFFFFF"/>
            <w:vAlign w:val="center"/>
          </w:tcPr>
          <w:p w14:paraId="67818EC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维修主管</w:t>
            </w:r>
          </w:p>
        </w:tc>
        <w:tc>
          <w:tcPr>
            <w:tcW w:w="2929" w:type="dxa"/>
            <w:tcBorders>
              <w:tl2br w:val="nil"/>
              <w:tr2bl w:val="nil"/>
            </w:tcBorders>
            <w:shd w:val="clear" w:color="auto" w:fill="FFFFFF"/>
            <w:vAlign w:val="center"/>
          </w:tcPr>
          <w:p w14:paraId="3CEFA7B6">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负责校园日常高压配电及日常维修管理工作，每天负责对本管理区域内维修工作的检查、监督；负责制定本项目组的工作培训计划，物资损耗报告，做好本部的考勤等工作。</w:t>
            </w:r>
          </w:p>
        </w:tc>
        <w:tc>
          <w:tcPr>
            <w:tcW w:w="3238" w:type="dxa"/>
            <w:tcBorders>
              <w:tl2br w:val="nil"/>
              <w:tr2bl w:val="nil"/>
            </w:tcBorders>
            <w:shd w:val="clear" w:color="auto" w:fill="FFFFFF"/>
            <w:vAlign w:val="center"/>
          </w:tcPr>
          <w:p w14:paraId="2E88AB2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具备有人力资源和社会保障部门颁发的有电工特种作业（高</w:t>
            </w:r>
            <w:r>
              <w:rPr>
                <w:rFonts w:hint="eastAsia" w:ascii="宋体" w:hAnsi="宋体" w:eastAsia="宋体" w:cs="宋体"/>
                <w:color w:val="auto"/>
                <w:sz w:val="21"/>
                <w:szCs w:val="21"/>
                <w:highlight w:val="none"/>
                <w:lang w:eastAsia="zh-CN"/>
              </w:rPr>
              <w:t>、低</w:t>
            </w:r>
            <w:r>
              <w:rPr>
                <w:rFonts w:hint="eastAsia" w:ascii="宋体" w:hAnsi="宋体" w:eastAsia="宋体" w:cs="宋体"/>
                <w:color w:val="auto"/>
                <w:sz w:val="21"/>
                <w:szCs w:val="21"/>
                <w:highlight w:val="none"/>
              </w:rPr>
              <w:t>压电工）操作证</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lang w:val="en-US" w:eastAsia="zh-CN"/>
              </w:rPr>
              <w:t>市场监督管理局颁发的特种设备安全管理人员证（电梯安全管理）</w:t>
            </w:r>
            <w:r>
              <w:rPr>
                <w:rFonts w:hint="eastAsia" w:ascii="宋体" w:hAnsi="宋体" w:eastAsia="宋体" w:cs="宋体"/>
                <w:color w:val="auto"/>
                <w:sz w:val="21"/>
                <w:szCs w:val="21"/>
                <w:highlight w:val="none"/>
                <w:lang w:eastAsia="zh-CN"/>
              </w:rPr>
              <w:t>。</w:t>
            </w:r>
          </w:p>
        </w:tc>
        <w:tc>
          <w:tcPr>
            <w:tcW w:w="699" w:type="dxa"/>
            <w:tcBorders>
              <w:tl2br w:val="nil"/>
              <w:tr2bl w:val="nil"/>
            </w:tcBorders>
            <w:shd w:val="clear" w:color="auto" w:fill="FFFFFF"/>
            <w:vAlign w:val="center"/>
          </w:tcPr>
          <w:p w14:paraId="48F57B1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699609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5F09723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107" w:type="dxa"/>
            <w:tcBorders>
              <w:tl2br w:val="nil"/>
              <w:tr2bl w:val="nil"/>
            </w:tcBorders>
            <w:shd w:val="clear" w:color="auto" w:fill="FFFFFF"/>
            <w:vAlign w:val="center"/>
          </w:tcPr>
          <w:p w14:paraId="10AD9DB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空调、泵房值班</w:t>
            </w:r>
          </w:p>
        </w:tc>
        <w:tc>
          <w:tcPr>
            <w:tcW w:w="2929" w:type="dxa"/>
            <w:tcBorders>
              <w:tl2br w:val="nil"/>
              <w:tr2bl w:val="nil"/>
            </w:tcBorders>
            <w:shd w:val="clear" w:color="auto" w:fill="FFFFFF"/>
            <w:vAlign w:val="center"/>
          </w:tcPr>
          <w:p w14:paraId="442DA8CB">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负责空调、水泵的日常维护</w:t>
            </w:r>
          </w:p>
        </w:tc>
        <w:tc>
          <w:tcPr>
            <w:tcW w:w="3238" w:type="dxa"/>
            <w:tcBorders>
              <w:tl2br w:val="nil"/>
              <w:tr2bl w:val="nil"/>
            </w:tcBorders>
            <w:shd w:val="clear" w:color="auto" w:fill="FFFFFF"/>
            <w:vAlign w:val="center"/>
          </w:tcPr>
          <w:p w14:paraId="5FE2FA9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9" w:type="dxa"/>
            <w:tcBorders>
              <w:tl2br w:val="nil"/>
              <w:tr2bl w:val="nil"/>
            </w:tcBorders>
            <w:shd w:val="clear" w:color="auto" w:fill="FFFFFF"/>
            <w:vAlign w:val="center"/>
          </w:tcPr>
          <w:p w14:paraId="6F7AC2F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7DA7C7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38E31A0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107" w:type="dxa"/>
            <w:tcBorders>
              <w:tl2br w:val="nil"/>
              <w:tr2bl w:val="nil"/>
            </w:tcBorders>
            <w:shd w:val="clear" w:color="auto" w:fill="FFFFFF"/>
            <w:vAlign w:val="center"/>
          </w:tcPr>
          <w:p w14:paraId="301460F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维修木工</w:t>
            </w:r>
          </w:p>
        </w:tc>
        <w:tc>
          <w:tcPr>
            <w:tcW w:w="2929" w:type="dxa"/>
            <w:tcBorders>
              <w:tl2br w:val="nil"/>
              <w:tr2bl w:val="nil"/>
            </w:tcBorders>
            <w:shd w:val="clear" w:color="auto" w:fill="FFFFFF"/>
            <w:vAlign w:val="center"/>
          </w:tcPr>
          <w:p w14:paraId="09336B75">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负责木工方面的日常维修</w:t>
            </w:r>
          </w:p>
        </w:tc>
        <w:tc>
          <w:tcPr>
            <w:tcW w:w="3238" w:type="dxa"/>
            <w:tcBorders>
              <w:tl2br w:val="nil"/>
              <w:tr2bl w:val="nil"/>
            </w:tcBorders>
            <w:shd w:val="clear" w:color="auto" w:fill="FFFFFF"/>
            <w:vAlign w:val="center"/>
          </w:tcPr>
          <w:p w14:paraId="34F4F16A">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lang w:val="en-US" w:eastAsia="zh-CN"/>
              </w:rPr>
            </w:pPr>
          </w:p>
        </w:tc>
        <w:tc>
          <w:tcPr>
            <w:tcW w:w="699" w:type="dxa"/>
            <w:tcBorders>
              <w:tl2br w:val="nil"/>
              <w:tr2bl w:val="nil"/>
            </w:tcBorders>
            <w:shd w:val="clear" w:color="auto" w:fill="FFFFFF"/>
            <w:vAlign w:val="center"/>
          </w:tcPr>
          <w:p w14:paraId="7F2F3A7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14:paraId="54DD72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383D94D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107" w:type="dxa"/>
            <w:tcBorders>
              <w:tl2br w:val="nil"/>
              <w:tr2bl w:val="nil"/>
            </w:tcBorders>
            <w:shd w:val="clear" w:color="auto" w:fill="FFFFFF"/>
            <w:vAlign w:val="center"/>
          </w:tcPr>
          <w:p w14:paraId="2E1D025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维修电工</w:t>
            </w:r>
          </w:p>
        </w:tc>
        <w:tc>
          <w:tcPr>
            <w:tcW w:w="2929" w:type="dxa"/>
            <w:tcBorders>
              <w:tl2br w:val="nil"/>
              <w:tr2bl w:val="nil"/>
            </w:tcBorders>
            <w:shd w:val="clear" w:color="auto" w:fill="FFFFFF"/>
            <w:vAlign w:val="center"/>
          </w:tcPr>
          <w:p w14:paraId="5E86BDA2">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负责配电的日常维护</w:t>
            </w:r>
          </w:p>
        </w:tc>
        <w:tc>
          <w:tcPr>
            <w:tcW w:w="3238" w:type="dxa"/>
            <w:tcBorders>
              <w:tl2br w:val="nil"/>
              <w:tr2bl w:val="nil"/>
            </w:tcBorders>
            <w:shd w:val="clear" w:color="auto" w:fill="FFFFFF"/>
            <w:vAlign w:val="center"/>
          </w:tcPr>
          <w:p w14:paraId="4F1B6F8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eastAsia="zh-CN"/>
              </w:rPr>
              <w:t>低</w:t>
            </w:r>
            <w:r>
              <w:rPr>
                <w:rFonts w:hint="eastAsia" w:ascii="宋体" w:hAnsi="宋体" w:eastAsia="宋体" w:cs="宋体"/>
                <w:color w:val="auto"/>
                <w:sz w:val="21"/>
                <w:szCs w:val="21"/>
                <w:highlight w:val="none"/>
              </w:rPr>
              <w:t>压电工证书</w:t>
            </w:r>
          </w:p>
        </w:tc>
        <w:tc>
          <w:tcPr>
            <w:tcW w:w="699" w:type="dxa"/>
            <w:tcBorders>
              <w:tl2br w:val="nil"/>
              <w:tr2bl w:val="nil"/>
            </w:tcBorders>
            <w:shd w:val="clear" w:color="auto" w:fill="FFFFFF"/>
            <w:vAlign w:val="center"/>
          </w:tcPr>
          <w:p w14:paraId="6448226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4B28C5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23E71E6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107" w:type="dxa"/>
            <w:tcBorders>
              <w:tl2br w:val="nil"/>
              <w:tr2bl w:val="nil"/>
            </w:tcBorders>
            <w:shd w:val="clear" w:color="auto" w:fill="FFFFFF"/>
            <w:vAlign w:val="center"/>
          </w:tcPr>
          <w:p w14:paraId="06234E4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维修水工</w:t>
            </w:r>
          </w:p>
        </w:tc>
        <w:tc>
          <w:tcPr>
            <w:tcW w:w="2929" w:type="dxa"/>
            <w:tcBorders>
              <w:tl2br w:val="nil"/>
              <w:tr2bl w:val="nil"/>
            </w:tcBorders>
            <w:shd w:val="clear" w:color="auto" w:fill="FFFFFF"/>
            <w:vAlign w:val="center"/>
          </w:tcPr>
          <w:p w14:paraId="7C21977E">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负责给水的日常维护</w:t>
            </w:r>
          </w:p>
        </w:tc>
        <w:tc>
          <w:tcPr>
            <w:tcW w:w="3238" w:type="dxa"/>
            <w:tcBorders>
              <w:tl2br w:val="nil"/>
              <w:tr2bl w:val="nil"/>
            </w:tcBorders>
            <w:shd w:val="clear" w:color="auto" w:fill="FFFFFF"/>
            <w:vAlign w:val="center"/>
          </w:tcPr>
          <w:p w14:paraId="5B45892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9" w:type="dxa"/>
            <w:tcBorders>
              <w:tl2br w:val="nil"/>
              <w:tr2bl w:val="nil"/>
            </w:tcBorders>
            <w:shd w:val="clear" w:color="auto" w:fill="FFFFFF"/>
            <w:vAlign w:val="center"/>
          </w:tcPr>
          <w:p w14:paraId="66BCBE2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6858E0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469F4BB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107" w:type="dxa"/>
            <w:tcBorders>
              <w:tl2br w:val="nil"/>
              <w:tr2bl w:val="nil"/>
            </w:tcBorders>
            <w:shd w:val="clear" w:color="auto" w:fill="FFFFFF"/>
            <w:vAlign w:val="center"/>
          </w:tcPr>
          <w:p w14:paraId="2D49C91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高压配电</w:t>
            </w:r>
          </w:p>
        </w:tc>
        <w:tc>
          <w:tcPr>
            <w:tcW w:w="2929" w:type="dxa"/>
            <w:tcBorders>
              <w:tl2br w:val="nil"/>
              <w:tr2bl w:val="nil"/>
            </w:tcBorders>
            <w:shd w:val="clear" w:color="auto" w:fill="FFFFFF"/>
            <w:vAlign w:val="center"/>
          </w:tcPr>
          <w:p w14:paraId="2DCBDB34">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高压配电的日常维护</w:t>
            </w:r>
          </w:p>
        </w:tc>
        <w:tc>
          <w:tcPr>
            <w:tcW w:w="3238" w:type="dxa"/>
            <w:tcBorders>
              <w:tl2br w:val="nil"/>
              <w:tr2bl w:val="nil"/>
            </w:tcBorders>
            <w:shd w:val="clear" w:color="auto" w:fill="FFFFFF"/>
            <w:vAlign w:val="center"/>
          </w:tcPr>
          <w:p w14:paraId="273D116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高压电工证书</w:t>
            </w:r>
          </w:p>
        </w:tc>
        <w:tc>
          <w:tcPr>
            <w:tcW w:w="699" w:type="dxa"/>
            <w:tcBorders>
              <w:tl2br w:val="nil"/>
              <w:tr2bl w:val="nil"/>
            </w:tcBorders>
            <w:shd w:val="clear" w:color="auto" w:fill="FFFFFF"/>
            <w:vAlign w:val="center"/>
          </w:tcPr>
          <w:p w14:paraId="04B15EC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17E68A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43B9AAF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107" w:type="dxa"/>
            <w:tcBorders>
              <w:tl2br w:val="nil"/>
              <w:tr2bl w:val="nil"/>
            </w:tcBorders>
            <w:shd w:val="clear" w:color="auto" w:fill="FFFFFF"/>
            <w:vAlign w:val="center"/>
          </w:tcPr>
          <w:p w14:paraId="7AE764B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安保队长</w:t>
            </w:r>
          </w:p>
        </w:tc>
        <w:tc>
          <w:tcPr>
            <w:tcW w:w="2929" w:type="dxa"/>
            <w:tcBorders>
              <w:tl2br w:val="nil"/>
              <w:tr2bl w:val="nil"/>
            </w:tcBorders>
            <w:shd w:val="clear" w:color="auto" w:fill="FFFFFF"/>
            <w:vAlign w:val="center"/>
          </w:tcPr>
          <w:p w14:paraId="50CF9D50">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贯彻落实校园安全管理的各项制度；督促落实日常防火、防盗、防安全事故的巡检情况；对安保部全局工作的管理、指挥、人员的调配；监督、检查日常各岗位人员的职责履行情况；具体实施对保安队员的业务及岗位知识培训，定期组织消防、队列、治安类演习，参与制定培训内容等日常工作。按流程处置突发性应急事件。</w:t>
            </w:r>
          </w:p>
        </w:tc>
        <w:tc>
          <w:tcPr>
            <w:tcW w:w="3238" w:type="dxa"/>
            <w:tcBorders>
              <w:tl2br w:val="nil"/>
              <w:tr2bl w:val="nil"/>
            </w:tcBorders>
            <w:shd w:val="clear" w:color="auto" w:fill="FFFFFF"/>
            <w:vAlign w:val="center"/>
          </w:tcPr>
          <w:p w14:paraId="70C854AB">
            <w:pPr>
              <w:keepNext w:val="0"/>
              <w:keepLines w:val="0"/>
              <w:widowControl/>
              <w:suppressLineNumbers w:val="0"/>
              <w:spacing w:line="240" w:lineRule="auto"/>
              <w:jc w:val="left"/>
              <w:textAlignment w:val="center"/>
              <w:rPr>
                <w:rFonts w:hint="eastAsia"/>
                <w:color w:val="auto"/>
                <w:highlight w:val="none"/>
                <w:lang w:val="en-US" w:eastAsia="zh-CN"/>
              </w:rPr>
            </w:pPr>
            <w:r>
              <w:rPr>
                <w:rFonts w:hint="eastAsia" w:ascii="宋体" w:hAnsi="宋体" w:eastAsia="宋体" w:cs="宋体"/>
                <w:color w:val="auto"/>
                <w:sz w:val="21"/>
                <w:szCs w:val="21"/>
                <w:highlight w:val="none"/>
              </w:rPr>
              <w:t>要求45岁以下，大专及以上学历，具备建（构）筑消防员证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退伍军人证</w:t>
            </w:r>
            <w:r>
              <w:rPr>
                <w:rFonts w:hint="eastAsia" w:ascii="宋体" w:hAnsi="宋体" w:cs="宋体"/>
                <w:color w:val="auto"/>
                <w:sz w:val="21"/>
                <w:szCs w:val="21"/>
                <w:highlight w:val="none"/>
                <w:lang w:eastAsia="zh-CN"/>
              </w:rPr>
              <w:t>，具有三年或以上保安管理经验。</w:t>
            </w:r>
          </w:p>
        </w:tc>
        <w:tc>
          <w:tcPr>
            <w:tcW w:w="699" w:type="dxa"/>
            <w:tcBorders>
              <w:tl2br w:val="nil"/>
              <w:tr2bl w:val="nil"/>
            </w:tcBorders>
            <w:shd w:val="clear" w:color="auto" w:fill="FFFFFF"/>
            <w:vAlign w:val="center"/>
          </w:tcPr>
          <w:p w14:paraId="07B7A06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666B06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63697E0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107" w:type="dxa"/>
            <w:tcBorders>
              <w:tl2br w:val="nil"/>
              <w:tr2bl w:val="nil"/>
            </w:tcBorders>
            <w:shd w:val="clear" w:color="auto" w:fill="FFFFFF"/>
            <w:vAlign w:val="center"/>
          </w:tcPr>
          <w:p w14:paraId="19439F0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北门车辆入口保安</w:t>
            </w:r>
          </w:p>
        </w:tc>
        <w:tc>
          <w:tcPr>
            <w:tcW w:w="2929" w:type="dxa"/>
            <w:vMerge w:val="restart"/>
            <w:tcBorders>
              <w:tl2br w:val="nil"/>
              <w:tr2bl w:val="nil"/>
            </w:tcBorders>
            <w:shd w:val="clear" w:color="auto" w:fill="FFFFFF"/>
            <w:vAlign w:val="center"/>
          </w:tcPr>
          <w:p w14:paraId="5572304E">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来访车辆、人员及物品的出入管理登记，维护负责区域的交通秩序，保证车辆及行人出入安全等</w:t>
            </w:r>
            <w:r>
              <w:rPr>
                <w:rFonts w:hint="eastAsia" w:ascii="宋体" w:hAnsi="宋体" w:cs="宋体"/>
                <w:i w:val="0"/>
                <w:iCs w:val="0"/>
                <w:color w:val="auto"/>
                <w:kern w:val="0"/>
                <w:sz w:val="21"/>
                <w:szCs w:val="21"/>
                <w:highlight w:val="none"/>
                <w:u w:val="none"/>
                <w:lang w:val="en-US" w:eastAsia="zh-CN" w:bidi="ar"/>
              </w:rPr>
              <w:t>。</w:t>
            </w:r>
          </w:p>
        </w:tc>
        <w:tc>
          <w:tcPr>
            <w:tcW w:w="3238" w:type="dxa"/>
            <w:tcBorders>
              <w:tl2br w:val="nil"/>
              <w:tr2bl w:val="nil"/>
            </w:tcBorders>
            <w:shd w:val="clear" w:color="auto" w:fill="FFFFFF"/>
            <w:vAlign w:val="center"/>
          </w:tcPr>
          <w:p w14:paraId="3EBAD76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保安员证</w:t>
            </w:r>
          </w:p>
        </w:tc>
        <w:tc>
          <w:tcPr>
            <w:tcW w:w="699" w:type="dxa"/>
            <w:tcBorders>
              <w:tl2br w:val="nil"/>
              <w:tr2bl w:val="nil"/>
            </w:tcBorders>
            <w:shd w:val="clear" w:color="auto" w:fill="FFFFFF"/>
            <w:vAlign w:val="center"/>
          </w:tcPr>
          <w:p w14:paraId="77F8E2F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7D4738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7046AB3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107" w:type="dxa"/>
            <w:tcBorders>
              <w:tl2br w:val="nil"/>
              <w:tr2bl w:val="nil"/>
            </w:tcBorders>
            <w:shd w:val="clear" w:color="auto" w:fill="FFFFFF"/>
            <w:vAlign w:val="center"/>
          </w:tcPr>
          <w:p w14:paraId="20C58A0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北门人员入口保安</w:t>
            </w:r>
          </w:p>
        </w:tc>
        <w:tc>
          <w:tcPr>
            <w:tcW w:w="2929" w:type="dxa"/>
            <w:vMerge w:val="continue"/>
            <w:tcBorders>
              <w:tl2br w:val="nil"/>
              <w:tr2bl w:val="nil"/>
            </w:tcBorders>
            <w:shd w:val="clear" w:color="auto" w:fill="FFFFFF"/>
            <w:vAlign w:val="center"/>
          </w:tcPr>
          <w:p w14:paraId="0EC91123">
            <w:pPr>
              <w:spacing w:line="240" w:lineRule="auto"/>
              <w:jc w:val="center"/>
              <w:rPr>
                <w:rFonts w:hint="eastAsia" w:ascii="宋体" w:hAnsi="宋体" w:eastAsia="宋体" w:cs="宋体"/>
                <w:i w:val="0"/>
                <w:iCs w:val="0"/>
                <w:color w:val="auto"/>
                <w:sz w:val="21"/>
                <w:szCs w:val="21"/>
                <w:highlight w:val="none"/>
                <w:u w:val="none"/>
              </w:rPr>
            </w:pPr>
          </w:p>
        </w:tc>
        <w:tc>
          <w:tcPr>
            <w:tcW w:w="3238" w:type="dxa"/>
            <w:tcBorders>
              <w:tl2br w:val="nil"/>
              <w:tr2bl w:val="nil"/>
            </w:tcBorders>
            <w:shd w:val="clear" w:color="auto" w:fill="FFFFFF"/>
            <w:vAlign w:val="center"/>
          </w:tcPr>
          <w:p w14:paraId="6C07EE8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保安员证</w:t>
            </w:r>
          </w:p>
        </w:tc>
        <w:tc>
          <w:tcPr>
            <w:tcW w:w="699" w:type="dxa"/>
            <w:tcBorders>
              <w:tl2br w:val="nil"/>
              <w:tr2bl w:val="nil"/>
            </w:tcBorders>
            <w:shd w:val="clear" w:color="auto" w:fill="FFFFFF"/>
            <w:vAlign w:val="center"/>
          </w:tcPr>
          <w:p w14:paraId="16C2578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375E09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0F71292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107" w:type="dxa"/>
            <w:tcBorders>
              <w:tl2br w:val="nil"/>
              <w:tr2bl w:val="nil"/>
            </w:tcBorders>
            <w:shd w:val="clear" w:color="auto" w:fill="FFFFFF"/>
            <w:vAlign w:val="center"/>
          </w:tcPr>
          <w:p w14:paraId="48656AD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北门出口</w:t>
            </w:r>
          </w:p>
        </w:tc>
        <w:tc>
          <w:tcPr>
            <w:tcW w:w="2929" w:type="dxa"/>
            <w:vMerge w:val="continue"/>
            <w:tcBorders>
              <w:tl2br w:val="nil"/>
              <w:tr2bl w:val="nil"/>
            </w:tcBorders>
            <w:shd w:val="clear" w:color="auto" w:fill="FFFFFF"/>
            <w:vAlign w:val="center"/>
          </w:tcPr>
          <w:p w14:paraId="7D06F3A2">
            <w:pPr>
              <w:spacing w:line="240" w:lineRule="auto"/>
              <w:jc w:val="center"/>
              <w:rPr>
                <w:rFonts w:hint="eastAsia" w:ascii="宋体" w:hAnsi="宋体" w:eastAsia="宋体" w:cs="宋体"/>
                <w:i w:val="0"/>
                <w:iCs w:val="0"/>
                <w:color w:val="auto"/>
                <w:sz w:val="21"/>
                <w:szCs w:val="21"/>
                <w:highlight w:val="none"/>
                <w:u w:val="none"/>
              </w:rPr>
            </w:pPr>
          </w:p>
        </w:tc>
        <w:tc>
          <w:tcPr>
            <w:tcW w:w="3238" w:type="dxa"/>
            <w:tcBorders>
              <w:tl2br w:val="nil"/>
              <w:tr2bl w:val="nil"/>
            </w:tcBorders>
            <w:shd w:val="clear" w:color="auto" w:fill="FFFFFF"/>
            <w:vAlign w:val="center"/>
          </w:tcPr>
          <w:p w14:paraId="6B23983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保安员证</w:t>
            </w:r>
          </w:p>
        </w:tc>
        <w:tc>
          <w:tcPr>
            <w:tcW w:w="699" w:type="dxa"/>
            <w:tcBorders>
              <w:tl2br w:val="nil"/>
              <w:tr2bl w:val="nil"/>
            </w:tcBorders>
            <w:shd w:val="clear" w:color="auto" w:fill="FFFFFF"/>
            <w:vAlign w:val="center"/>
          </w:tcPr>
          <w:p w14:paraId="308C9EC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33FE6C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283E7BD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107" w:type="dxa"/>
            <w:tcBorders>
              <w:tl2br w:val="nil"/>
              <w:tr2bl w:val="nil"/>
            </w:tcBorders>
            <w:shd w:val="clear" w:color="auto" w:fill="FFFFFF"/>
            <w:vAlign w:val="center"/>
          </w:tcPr>
          <w:p w14:paraId="72604BA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南门出入口</w:t>
            </w:r>
          </w:p>
        </w:tc>
        <w:tc>
          <w:tcPr>
            <w:tcW w:w="2929" w:type="dxa"/>
            <w:vMerge w:val="continue"/>
            <w:tcBorders>
              <w:tl2br w:val="nil"/>
              <w:tr2bl w:val="nil"/>
            </w:tcBorders>
            <w:shd w:val="clear" w:color="auto" w:fill="FFFFFF"/>
            <w:vAlign w:val="center"/>
          </w:tcPr>
          <w:p w14:paraId="5C68464A">
            <w:pPr>
              <w:spacing w:line="240" w:lineRule="auto"/>
              <w:jc w:val="center"/>
              <w:rPr>
                <w:rFonts w:hint="eastAsia" w:ascii="宋体" w:hAnsi="宋体" w:eastAsia="宋体" w:cs="宋体"/>
                <w:i w:val="0"/>
                <w:iCs w:val="0"/>
                <w:color w:val="auto"/>
                <w:sz w:val="21"/>
                <w:szCs w:val="21"/>
                <w:highlight w:val="none"/>
                <w:u w:val="none"/>
              </w:rPr>
            </w:pPr>
          </w:p>
        </w:tc>
        <w:tc>
          <w:tcPr>
            <w:tcW w:w="3238" w:type="dxa"/>
            <w:tcBorders>
              <w:tl2br w:val="nil"/>
              <w:tr2bl w:val="nil"/>
            </w:tcBorders>
            <w:shd w:val="clear" w:color="auto" w:fill="FFFFFF"/>
            <w:vAlign w:val="center"/>
          </w:tcPr>
          <w:p w14:paraId="5A2C4C8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保安员证</w:t>
            </w:r>
          </w:p>
        </w:tc>
        <w:tc>
          <w:tcPr>
            <w:tcW w:w="699" w:type="dxa"/>
            <w:tcBorders>
              <w:tl2br w:val="nil"/>
              <w:tr2bl w:val="nil"/>
            </w:tcBorders>
            <w:shd w:val="clear" w:color="auto" w:fill="FFFFFF"/>
            <w:vAlign w:val="center"/>
          </w:tcPr>
          <w:p w14:paraId="3F371F0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529BC7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37DF41D3">
            <w:pPr>
              <w:keepNext w:val="0"/>
              <w:keepLines w:val="0"/>
              <w:widowControl/>
              <w:suppressLineNumbers w:val="0"/>
              <w:spacing w:line="240" w:lineRule="auto"/>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17</w:t>
            </w:r>
          </w:p>
        </w:tc>
        <w:tc>
          <w:tcPr>
            <w:tcW w:w="1107" w:type="dxa"/>
            <w:tcBorders>
              <w:tl2br w:val="nil"/>
              <w:tr2bl w:val="nil"/>
            </w:tcBorders>
            <w:shd w:val="clear" w:color="auto" w:fill="FFFFFF"/>
            <w:vAlign w:val="center"/>
          </w:tcPr>
          <w:p w14:paraId="469AB71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行政楼值守兼前坪车辆指挥</w:t>
            </w:r>
          </w:p>
        </w:tc>
        <w:tc>
          <w:tcPr>
            <w:tcW w:w="2929" w:type="dxa"/>
            <w:tcBorders>
              <w:tl2br w:val="nil"/>
              <w:tr2bl w:val="nil"/>
            </w:tcBorders>
            <w:shd w:val="clear" w:color="auto" w:fill="FFFFFF"/>
            <w:vAlign w:val="center"/>
          </w:tcPr>
          <w:p w14:paraId="2C1EFCD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负责前坪车辆的停放管理及指挥</w:t>
            </w:r>
          </w:p>
        </w:tc>
        <w:tc>
          <w:tcPr>
            <w:tcW w:w="3238" w:type="dxa"/>
            <w:tcBorders>
              <w:tl2br w:val="nil"/>
              <w:tr2bl w:val="nil"/>
            </w:tcBorders>
            <w:shd w:val="clear" w:color="auto" w:fill="FFFFFF"/>
            <w:vAlign w:val="center"/>
          </w:tcPr>
          <w:p w14:paraId="53A9CEC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保安员证</w:t>
            </w:r>
          </w:p>
        </w:tc>
        <w:tc>
          <w:tcPr>
            <w:tcW w:w="699" w:type="dxa"/>
            <w:tcBorders>
              <w:tl2br w:val="nil"/>
              <w:tr2bl w:val="nil"/>
            </w:tcBorders>
            <w:shd w:val="clear" w:color="auto" w:fill="FFFFFF"/>
            <w:vAlign w:val="center"/>
          </w:tcPr>
          <w:p w14:paraId="65D6457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0B87E9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56947806">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w:t>
            </w:r>
          </w:p>
        </w:tc>
        <w:tc>
          <w:tcPr>
            <w:tcW w:w="1107" w:type="dxa"/>
            <w:tcBorders>
              <w:tl2br w:val="nil"/>
              <w:tr2bl w:val="nil"/>
            </w:tcBorders>
            <w:shd w:val="clear" w:color="auto" w:fill="auto"/>
            <w:vAlign w:val="center"/>
          </w:tcPr>
          <w:p w14:paraId="1713865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图书馆值守</w:t>
            </w:r>
          </w:p>
        </w:tc>
        <w:tc>
          <w:tcPr>
            <w:tcW w:w="2929" w:type="dxa"/>
            <w:tcBorders>
              <w:tl2br w:val="nil"/>
              <w:tr2bl w:val="nil"/>
            </w:tcBorders>
            <w:shd w:val="clear" w:color="auto" w:fill="auto"/>
            <w:vAlign w:val="center"/>
          </w:tcPr>
          <w:p w14:paraId="3CC606E8">
            <w:pPr>
              <w:spacing w:line="240" w:lineRule="auto"/>
              <w:jc w:val="center"/>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负责图书馆门卫值守</w:t>
            </w:r>
          </w:p>
        </w:tc>
        <w:tc>
          <w:tcPr>
            <w:tcW w:w="3238" w:type="dxa"/>
            <w:tcBorders>
              <w:tl2br w:val="nil"/>
              <w:tr2bl w:val="nil"/>
            </w:tcBorders>
            <w:shd w:val="clear" w:color="auto" w:fill="auto"/>
            <w:vAlign w:val="center"/>
          </w:tcPr>
          <w:p w14:paraId="78107DA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保安员证</w:t>
            </w:r>
          </w:p>
        </w:tc>
        <w:tc>
          <w:tcPr>
            <w:tcW w:w="699" w:type="dxa"/>
            <w:tcBorders>
              <w:tl2br w:val="nil"/>
              <w:tr2bl w:val="nil"/>
            </w:tcBorders>
            <w:shd w:val="clear" w:color="auto" w:fill="auto"/>
            <w:vAlign w:val="center"/>
          </w:tcPr>
          <w:p w14:paraId="3383CFD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59CD28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5EBEDCCC">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19</w:t>
            </w:r>
          </w:p>
        </w:tc>
        <w:tc>
          <w:tcPr>
            <w:tcW w:w="1107" w:type="dxa"/>
            <w:tcBorders>
              <w:tl2br w:val="nil"/>
              <w:tr2bl w:val="nil"/>
            </w:tcBorders>
            <w:shd w:val="clear" w:color="auto" w:fill="auto"/>
            <w:vAlign w:val="center"/>
          </w:tcPr>
          <w:p w14:paraId="01D7CA0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巡逻岗</w:t>
            </w:r>
          </w:p>
        </w:tc>
        <w:tc>
          <w:tcPr>
            <w:tcW w:w="2929" w:type="dxa"/>
            <w:tcBorders>
              <w:tl2br w:val="nil"/>
              <w:tr2bl w:val="nil"/>
            </w:tcBorders>
            <w:shd w:val="clear" w:color="auto" w:fill="auto"/>
            <w:vAlign w:val="center"/>
          </w:tcPr>
          <w:p w14:paraId="1DD41035">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主要负责教学楼、食堂、学生公寓、行政楼、图书馆、体育馆、运动场、实训楼等区域巡逻，防止学生及外来人员从围墙翻入院内；制止非停车区域车辆乱停乱放，人流车流高峰时段疏导校内交通秩序等</w:t>
            </w:r>
          </w:p>
        </w:tc>
        <w:tc>
          <w:tcPr>
            <w:tcW w:w="3238" w:type="dxa"/>
            <w:tcBorders>
              <w:tl2br w:val="nil"/>
              <w:tr2bl w:val="nil"/>
            </w:tcBorders>
            <w:shd w:val="clear" w:color="auto" w:fill="auto"/>
            <w:vAlign w:val="center"/>
          </w:tcPr>
          <w:p w14:paraId="54FE7E6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保安员证</w:t>
            </w:r>
          </w:p>
        </w:tc>
        <w:tc>
          <w:tcPr>
            <w:tcW w:w="699" w:type="dxa"/>
            <w:tcBorders>
              <w:tl2br w:val="nil"/>
              <w:tr2bl w:val="nil"/>
            </w:tcBorders>
            <w:shd w:val="clear" w:color="auto" w:fill="auto"/>
            <w:vAlign w:val="center"/>
          </w:tcPr>
          <w:p w14:paraId="4A1A36E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75C0EB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15B396F6">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w:t>
            </w:r>
          </w:p>
        </w:tc>
        <w:tc>
          <w:tcPr>
            <w:tcW w:w="1107" w:type="dxa"/>
            <w:tcBorders>
              <w:tl2br w:val="nil"/>
              <w:tr2bl w:val="nil"/>
            </w:tcBorders>
            <w:shd w:val="clear" w:color="auto" w:fill="auto"/>
            <w:vAlign w:val="center"/>
          </w:tcPr>
          <w:p w14:paraId="53DD46F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机动岗</w:t>
            </w:r>
          </w:p>
        </w:tc>
        <w:tc>
          <w:tcPr>
            <w:tcW w:w="2929" w:type="dxa"/>
            <w:tcBorders>
              <w:tl2br w:val="nil"/>
              <w:tr2bl w:val="nil"/>
            </w:tcBorders>
            <w:shd w:val="clear" w:color="auto" w:fill="auto"/>
            <w:vAlign w:val="center"/>
          </w:tcPr>
          <w:p w14:paraId="395EFE28">
            <w:pPr>
              <w:spacing w:line="240" w:lineRule="auto"/>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接受随时调派</w:t>
            </w:r>
          </w:p>
        </w:tc>
        <w:tc>
          <w:tcPr>
            <w:tcW w:w="3238" w:type="dxa"/>
            <w:tcBorders>
              <w:tl2br w:val="nil"/>
              <w:tr2bl w:val="nil"/>
            </w:tcBorders>
            <w:shd w:val="clear" w:color="auto" w:fill="auto"/>
            <w:vAlign w:val="center"/>
          </w:tcPr>
          <w:p w14:paraId="654B1F3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保安员证</w:t>
            </w:r>
          </w:p>
        </w:tc>
        <w:tc>
          <w:tcPr>
            <w:tcW w:w="699" w:type="dxa"/>
            <w:tcBorders>
              <w:tl2br w:val="nil"/>
              <w:tr2bl w:val="nil"/>
            </w:tcBorders>
            <w:shd w:val="clear" w:color="auto" w:fill="auto"/>
            <w:vAlign w:val="center"/>
          </w:tcPr>
          <w:p w14:paraId="5F9131A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64FE6A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56" w:type="dxa"/>
            <w:tcBorders>
              <w:tl2br w:val="nil"/>
              <w:tr2bl w:val="nil"/>
            </w:tcBorders>
            <w:shd w:val="clear" w:color="auto" w:fill="FFFFFF"/>
            <w:vAlign w:val="center"/>
          </w:tcPr>
          <w:p w14:paraId="5D9E2792">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w:t>
            </w:r>
          </w:p>
        </w:tc>
        <w:tc>
          <w:tcPr>
            <w:tcW w:w="1107" w:type="dxa"/>
            <w:tcBorders>
              <w:tl2br w:val="nil"/>
              <w:tr2bl w:val="nil"/>
            </w:tcBorders>
            <w:shd w:val="clear" w:color="auto" w:fill="auto"/>
            <w:vAlign w:val="center"/>
          </w:tcPr>
          <w:p w14:paraId="5F46887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消防监控室值守</w:t>
            </w:r>
          </w:p>
        </w:tc>
        <w:tc>
          <w:tcPr>
            <w:tcW w:w="2929" w:type="dxa"/>
            <w:tcBorders>
              <w:tl2br w:val="nil"/>
              <w:tr2bl w:val="nil"/>
            </w:tcBorders>
            <w:shd w:val="clear" w:color="auto" w:fill="auto"/>
            <w:vAlign w:val="center"/>
          </w:tcPr>
          <w:p w14:paraId="38381812">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及时掌握各种监控信息，及时对监控信息复核处理，随时向队长或班长汇报监控视频中的异常情况以及巡逻岗的巡逻频率等，发现监控设备有损坏及时上报。</w:t>
            </w:r>
          </w:p>
        </w:tc>
        <w:tc>
          <w:tcPr>
            <w:tcW w:w="3238" w:type="dxa"/>
            <w:tcBorders>
              <w:tl2br w:val="nil"/>
              <w:tr2bl w:val="nil"/>
            </w:tcBorders>
            <w:shd w:val="clear" w:color="auto" w:fill="auto"/>
            <w:vAlign w:val="center"/>
          </w:tcPr>
          <w:p w14:paraId="2A5F296A">
            <w:pPr>
              <w:keepNext w:val="0"/>
              <w:keepLines w:val="0"/>
              <w:widowControl/>
              <w:suppressLineNumbers w:val="0"/>
              <w:spacing w:line="240" w:lineRule="auto"/>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取得</w:t>
            </w:r>
            <w:r>
              <w:rPr>
                <w:rFonts w:ascii="Helvetica" w:hAnsi="Helvetica" w:eastAsia="Helvetica" w:cs="Helvetica"/>
                <w:i w:val="0"/>
                <w:iCs w:val="0"/>
                <w:caps w:val="0"/>
                <w:color w:val="auto"/>
                <w:spacing w:val="0"/>
                <w:sz w:val="21"/>
                <w:szCs w:val="21"/>
                <w:highlight w:val="none"/>
                <w:shd w:val="clear" w:fill="FFFFFF"/>
              </w:rPr>
              <w:t>中级</w:t>
            </w:r>
            <w:r>
              <w:rPr>
                <w:rFonts w:hint="default" w:ascii="Helvetica" w:hAnsi="Helvetica" w:eastAsia="Helvetica" w:cs="Helvetica"/>
                <w:i w:val="0"/>
                <w:iCs w:val="0"/>
                <w:caps w:val="0"/>
                <w:color w:val="auto"/>
                <w:spacing w:val="0"/>
                <w:sz w:val="21"/>
                <w:szCs w:val="21"/>
                <w:highlight w:val="none"/>
                <w:shd w:val="clear" w:fill="FFFFFF"/>
              </w:rPr>
              <w:t>消防设施操作员（国家职业资格四级）</w:t>
            </w:r>
            <w:r>
              <w:rPr>
                <w:rFonts w:hint="eastAsia" w:ascii="Helvetica" w:hAnsi="Helvetica" w:eastAsia="宋体" w:cs="Helvetica"/>
                <w:i w:val="0"/>
                <w:iCs w:val="0"/>
                <w:caps w:val="0"/>
                <w:color w:val="auto"/>
                <w:spacing w:val="0"/>
                <w:sz w:val="21"/>
                <w:szCs w:val="21"/>
                <w:highlight w:val="none"/>
                <w:shd w:val="clear" w:fill="FFFFFF"/>
                <w:lang w:eastAsia="zh-CN"/>
              </w:rPr>
              <w:t>及以上证书</w:t>
            </w:r>
            <w:r>
              <w:rPr>
                <w:rFonts w:hint="eastAsia" w:ascii="Helvetica" w:hAnsi="Helvetica" w:cs="Helvetica"/>
                <w:i w:val="0"/>
                <w:iCs w:val="0"/>
                <w:caps w:val="0"/>
                <w:color w:val="auto"/>
                <w:spacing w:val="0"/>
                <w:sz w:val="21"/>
                <w:szCs w:val="21"/>
                <w:highlight w:val="none"/>
                <w:shd w:val="clear" w:fill="FFFFFF"/>
                <w:lang w:eastAsia="zh-CN"/>
              </w:rPr>
              <w:t>。</w:t>
            </w:r>
          </w:p>
        </w:tc>
        <w:tc>
          <w:tcPr>
            <w:tcW w:w="699" w:type="dxa"/>
            <w:tcBorders>
              <w:tl2br w:val="nil"/>
              <w:tr2bl w:val="nil"/>
            </w:tcBorders>
            <w:shd w:val="clear" w:color="auto" w:fill="auto"/>
            <w:vAlign w:val="center"/>
          </w:tcPr>
          <w:p w14:paraId="68A501C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4</w:t>
            </w:r>
          </w:p>
        </w:tc>
      </w:tr>
      <w:tr w14:paraId="3E3EB2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47A8952D">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22</w:t>
            </w:r>
          </w:p>
        </w:tc>
        <w:tc>
          <w:tcPr>
            <w:tcW w:w="1107" w:type="dxa"/>
            <w:tcBorders>
              <w:tl2br w:val="nil"/>
              <w:tr2bl w:val="nil"/>
            </w:tcBorders>
            <w:shd w:val="clear" w:color="auto" w:fill="FFFFFF"/>
            <w:vAlign w:val="center"/>
          </w:tcPr>
          <w:p w14:paraId="01E6B34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宿舍值守</w:t>
            </w:r>
          </w:p>
        </w:tc>
        <w:tc>
          <w:tcPr>
            <w:tcW w:w="2929" w:type="dxa"/>
            <w:tcBorders>
              <w:tl2br w:val="nil"/>
              <w:tr2bl w:val="nil"/>
            </w:tcBorders>
            <w:shd w:val="clear" w:color="auto" w:fill="FFFFFF"/>
            <w:vAlign w:val="center"/>
          </w:tcPr>
          <w:p w14:paraId="7D723930">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严格落实宿舍楼人员进出要求；配合学工处对寝室卫生进行检查；学生晚归查寝；做好宿舍安全防范工作；看护楼内的消防设备和公共设施，发现有损坏的设施设备及时上报；掌握学生作息时间制度，按时开关大门；1-6#栋学生公寓楼开水房、洗衣房、宿舍楼门前以及庭院保洁。遇突发事件按处置流程及时上报。</w:t>
            </w:r>
          </w:p>
        </w:tc>
        <w:tc>
          <w:tcPr>
            <w:tcW w:w="3238" w:type="dxa"/>
            <w:tcBorders>
              <w:tl2br w:val="nil"/>
              <w:tr2bl w:val="nil"/>
            </w:tcBorders>
            <w:shd w:val="clear" w:color="auto" w:fill="FFFFFF"/>
            <w:vAlign w:val="center"/>
          </w:tcPr>
          <w:p w14:paraId="66CBDC4C">
            <w:pPr>
              <w:keepNext w:val="0"/>
              <w:keepLines w:val="0"/>
              <w:widowControl/>
              <w:suppressLineNumbers w:val="0"/>
              <w:spacing w:line="240" w:lineRule="auto"/>
              <w:jc w:val="left"/>
              <w:textAlignment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宿舍管理员要求高中毕业或以上，且年龄要有限高要求（男60岁以下，女55岁以下），身体健康，没有受过司法处分，没有被其他单位开除经历，没有四肢视听障碍、严重心理疾病、性变态人员等。</w:t>
            </w:r>
          </w:p>
          <w:p w14:paraId="671CA22E">
            <w:pPr>
              <w:keepNext w:val="0"/>
              <w:keepLines w:val="0"/>
              <w:widowControl/>
              <w:suppressLineNumbers w:val="0"/>
              <w:spacing w:line="240" w:lineRule="auto"/>
              <w:jc w:val="left"/>
              <w:textAlignment w:val="center"/>
              <w:rPr>
                <w:rFonts w:hint="eastAsia" w:ascii="宋体" w:hAnsi="宋体" w:cs="宋体"/>
                <w:color w:val="auto"/>
                <w:sz w:val="21"/>
                <w:szCs w:val="21"/>
                <w:highlight w:val="none"/>
                <w:lang w:val="en-US" w:eastAsia="zh-CN"/>
              </w:rPr>
            </w:pPr>
          </w:p>
        </w:tc>
        <w:tc>
          <w:tcPr>
            <w:tcW w:w="699" w:type="dxa"/>
            <w:tcBorders>
              <w:tl2br w:val="nil"/>
              <w:tr2bl w:val="nil"/>
            </w:tcBorders>
            <w:shd w:val="clear" w:color="auto" w:fill="FFFFFF"/>
            <w:vAlign w:val="center"/>
          </w:tcPr>
          <w:p w14:paraId="5ACACD7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14:paraId="4B6082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493D602B">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w:t>
            </w:r>
          </w:p>
        </w:tc>
        <w:tc>
          <w:tcPr>
            <w:tcW w:w="1107" w:type="dxa"/>
            <w:tcBorders>
              <w:tl2br w:val="nil"/>
              <w:tr2bl w:val="nil"/>
            </w:tcBorders>
            <w:shd w:val="clear" w:color="auto" w:fill="FFFFFF"/>
            <w:vAlign w:val="center"/>
          </w:tcPr>
          <w:p w14:paraId="189CA52F">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保洁主管</w:t>
            </w:r>
          </w:p>
        </w:tc>
        <w:tc>
          <w:tcPr>
            <w:tcW w:w="2929" w:type="dxa"/>
            <w:tcBorders>
              <w:tl2br w:val="nil"/>
              <w:tr2bl w:val="nil"/>
            </w:tcBorders>
            <w:shd w:val="clear" w:color="auto" w:fill="FFFFFF"/>
            <w:vAlign w:val="center"/>
          </w:tcPr>
          <w:p w14:paraId="3E9240E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负责保洁人员的管理工作；每日例行巡视检查制度，对各片区域内保洁工作的检查、监督；负责制定本项目组的工作培训计划；做好物资损耗报告，降低消耗，节约成本，从严控制；做好保洁员的考勤等工作。</w:t>
            </w:r>
          </w:p>
        </w:tc>
        <w:tc>
          <w:tcPr>
            <w:tcW w:w="3238" w:type="dxa"/>
            <w:tcBorders>
              <w:tl2br w:val="nil"/>
              <w:tr2bl w:val="nil"/>
            </w:tcBorders>
            <w:shd w:val="clear" w:color="auto" w:fill="FFFFFF"/>
            <w:vAlign w:val="center"/>
          </w:tcPr>
          <w:p w14:paraId="523717F3">
            <w:pPr>
              <w:keepNext w:val="0"/>
              <w:keepLines w:val="0"/>
              <w:widowControl/>
              <w:suppressLineNumbers w:val="0"/>
              <w:spacing w:line="240" w:lineRule="auto"/>
              <w:jc w:val="left"/>
              <w:textAlignment w:val="center"/>
              <w:rPr>
                <w:rFonts w:hint="eastAsia" w:ascii="宋体" w:hAnsi="宋体" w:cs="宋体"/>
                <w:color w:val="auto"/>
                <w:sz w:val="21"/>
                <w:szCs w:val="21"/>
                <w:highlight w:val="none"/>
                <w:lang w:val="en-US" w:eastAsia="zh-CN"/>
              </w:rPr>
            </w:pPr>
          </w:p>
        </w:tc>
        <w:tc>
          <w:tcPr>
            <w:tcW w:w="699" w:type="dxa"/>
            <w:tcBorders>
              <w:tl2br w:val="nil"/>
              <w:tr2bl w:val="nil"/>
            </w:tcBorders>
            <w:shd w:val="clear" w:color="auto" w:fill="FFFFFF"/>
            <w:vAlign w:val="center"/>
          </w:tcPr>
          <w:p w14:paraId="25F7EDDD">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r>
      <w:tr w14:paraId="2BD11F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00E9A1E9">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24</w:t>
            </w:r>
          </w:p>
        </w:tc>
        <w:tc>
          <w:tcPr>
            <w:tcW w:w="1107" w:type="dxa"/>
            <w:tcBorders>
              <w:tl2br w:val="nil"/>
              <w:tr2bl w:val="nil"/>
            </w:tcBorders>
            <w:shd w:val="clear" w:color="auto" w:fill="FFFFFF"/>
            <w:vAlign w:val="center"/>
          </w:tcPr>
          <w:p w14:paraId="3E0CFC7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行政楼保洁</w:t>
            </w:r>
          </w:p>
        </w:tc>
        <w:tc>
          <w:tcPr>
            <w:tcW w:w="2929" w:type="dxa"/>
            <w:tcBorders>
              <w:tl2br w:val="nil"/>
              <w:tr2bl w:val="nil"/>
            </w:tcBorders>
            <w:shd w:val="clear" w:color="auto" w:fill="FFFFFF"/>
            <w:vAlign w:val="center"/>
          </w:tcPr>
          <w:p w14:paraId="42CD1D2F">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行政楼所有公共区域玻璃、扶手、过道走廊、电梯门、消防栓、公共卫生间保洁，墙面天棚的清扫及行政楼的垃圾清运。</w:t>
            </w:r>
          </w:p>
        </w:tc>
        <w:tc>
          <w:tcPr>
            <w:tcW w:w="3238" w:type="dxa"/>
            <w:vMerge w:val="restart"/>
            <w:tcBorders>
              <w:tl2br w:val="nil"/>
              <w:tr2bl w:val="nil"/>
            </w:tcBorders>
            <w:shd w:val="clear" w:color="auto" w:fill="FFFFFF"/>
            <w:vAlign w:val="center"/>
          </w:tcPr>
          <w:p w14:paraId="0A1F23B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保洁人员</w:t>
            </w:r>
            <w:r>
              <w:rPr>
                <w:rFonts w:hint="eastAsia" w:ascii="宋体" w:hAnsi="宋体" w:eastAsia="宋体" w:cs="宋体"/>
                <w:color w:val="auto"/>
                <w:sz w:val="21"/>
                <w:szCs w:val="21"/>
                <w:highlight w:val="none"/>
                <w:lang w:val="en-US" w:eastAsia="zh-CN"/>
              </w:rPr>
              <w:t>年龄要有限高要求（男60岁以下，女55岁以下），身体健康，没有受过司法处分，没有被其他单位开除经历，没有四肢视听障碍、严重心理疾病、性变态人员等</w:t>
            </w:r>
            <w:r>
              <w:rPr>
                <w:rFonts w:hint="eastAsia" w:ascii="宋体" w:hAnsi="宋体" w:cs="宋体"/>
                <w:color w:val="auto"/>
                <w:sz w:val="21"/>
                <w:szCs w:val="21"/>
                <w:highlight w:val="none"/>
                <w:lang w:val="en-US" w:eastAsia="zh-CN"/>
              </w:rPr>
              <w:t>。</w:t>
            </w:r>
          </w:p>
        </w:tc>
        <w:tc>
          <w:tcPr>
            <w:tcW w:w="699" w:type="dxa"/>
            <w:tcBorders>
              <w:tl2br w:val="nil"/>
              <w:tr2bl w:val="nil"/>
            </w:tcBorders>
            <w:shd w:val="clear" w:color="auto" w:fill="FFFFFF"/>
            <w:vAlign w:val="center"/>
          </w:tcPr>
          <w:p w14:paraId="4781ADB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51A47A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69CDA357">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w:t>
            </w:r>
          </w:p>
        </w:tc>
        <w:tc>
          <w:tcPr>
            <w:tcW w:w="1107" w:type="dxa"/>
            <w:tcBorders>
              <w:tl2br w:val="nil"/>
              <w:tr2bl w:val="nil"/>
            </w:tcBorders>
            <w:shd w:val="clear" w:color="auto" w:fill="FFFFFF"/>
            <w:vAlign w:val="center"/>
          </w:tcPr>
          <w:p w14:paraId="631CC31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图书馆保洁</w:t>
            </w:r>
          </w:p>
        </w:tc>
        <w:tc>
          <w:tcPr>
            <w:tcW w:w="2929" w:type="dxa"/>
            <w:tcBorders>
              <w:tl2br w:val="nil"/>
              <w:tr2bl w:val="nil"/>
            </w:tcBorders>
            <w:shd w:val="clear" w:color="auto" w:fill="FFFFFF"/>
            <w:vAlign w:val="center"/>
          </w:tcPr>
          <w:p w14:paraId="1CCAFA41">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图书馆18个公共卫生间保洁、公共区域玻璃、扶手、过道走廊、电梯门、消防栓及图书馆屋面清理打扫；图书馆垃圾清运。</w:t>
            </w:r>
          </w:p>
        </w:tc>
        <w:tc>
          <w:tcPr>
            <w:tcW w:w="3238" w:type="dxa"/>
            <w:vMerge w:val="continue"/>
            <w:tcBorders>
              <w:tl2br w:val="nil"/>
              <w:tr2bl w:val="nil"/>
            </w:tcBorders>
            <w:shd w:val="clear" w:color="auto" w:fill="FFFFFF"/>
            <w:vAlign w:val="center"/>
          </w:tcPr>
          <w:p w14:paraId="3A57DB4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9" w:type="dxa"/>
            <w:tcBorders>
              <w:tl2br w:val="nil"/>
              <w:tr2bl w:val="nil"/>
            </w:tcBorders>
            <w:shd w:val="clear" w:color="auto" w:fill="FFFFFF"/>
            <w:vAlign w:val="center"/>
          </w:tcPr>
          <w:p w14:paraId="61D4A69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6FBA43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0A74BC4F">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p>
        </w:tc>
        <w:tc>
          <w:tcPr>
            <w:tcW w:w="1107" w:type="dxa"/>
            <w:tcBorders>
              <w:tl2br w:val="nil"/>
              <w:tr2bl w:val="nil"/>
            </w:tcBorders>
            <w:shd w:val="clear" w:color="auto" w:fill="FFFFFF"/>
            <w:vAlign w:val="center"/>
          </w:tcPr>
          <w:p w14:paraId="7BAEB2B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1#、2#栋实训楼保洁</w:t>
            </w:r>
          </w:p>
        </w:tc>
        <w:tc>
          <w:tcPr>
            <w:tcW w:w="2929" w:type="dxa"/>
            <w:vMerge w:val="restart"/>
            <w:tcBorders>
              <w:tl2br w:val="nil"/>
              <w:tr2bl w:val="nil"/>
            </w:tcBorders>
            <w:shd w:val="clear" w:color="auto" w:fill="FFFFFF"/>
            <w:vAlign w:val="center"/>
          </w:tcPr>
          <w:p w14:paraId="13D20DA3">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公共卫生间保洁、公共区域玻璃、扶手、过道走廊、电梯门、消防栓及屋面清理打扫、垃圾清运。</w:t>
            </w:r>
          </w:p>
        </w:tc>
        <w:tc>
          <w:tcPr>
            <w:tcW w:w="3238" w:type="dxa"/>
            <w:vMerge w:val="continue"/>
            <w:tcBorders>
              <w:tl2br w:val="nil"/>
              <w:tr2bl w:val="nil"/>
            </w:tcBorders>
            <w:shd w:val="clear" w:color="auto" w:fill="FFFFFF"/>
            <w:vAlign w:val="center"/>
          </w:tcPr>
          <w:p w14:paraId="3CF333E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9" w:type="dxa"/>
            <w:tcBorders>
              <w:tl2br w:val="nil"/>
              <w:tr2bl w:val="nil"/>
            </w:tcBorders>
            <w:shd w:val="clear" w:color="auto" w:fill="FFFFFF"/>
            <w:vAlign w:val="center"/>
          </w:tcPr>
          <w:p w14:paraId="052611B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538927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717325D0">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w:t>
            </w:r>
          </w:p>
        </w:tc>
        <w:tc>
          <w:tcPr>
            <w:tcW w:w="1107" w:type="dxa"/>
            <w:tcBorders>
              <w:tl2br w:val="nil"/>
              <w:tr2bl w:val="nil"/>
            </w:tcBorders>
            <w:shd w:val="clear" w:color="auto" w:fill="FFFFFF"/>
            <w:vAlign w:val="center"/>
          </w:tcPr>
          <w:p w14:paraId="5C1D236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3#、4#栋实训楼保洁</w:t>
            </w:r>
          </w:p>
        </w:tc>
        <w:tc>
          <w:tcPr>
            <w:tcW w:w="2929" w:type="dxa"/>
            <w:vMerge w:val="continue"/>
            <w:tcBorders>
              <w:tl2br w:val="nil"/>
              <w:tr2bl w:val="nil"/>
            </w:tcBorders>
            <w:shd w:val="clear" w:color="auto" w:fill="FFFFFF"/>
            <w:vAlign w:val="center"/>
          </w:tcPr>
          <w:p w14:paraId="4CF59754">
            <w:pPr>
              <w:spacing w:line="240" w:lineRule="auto"/>
              <w:jc w:val="center"/>
              <w:rPr>
                <w:rFonts w:hint="eastAsia" w:ascii="宋体" w:hAnsi="宋体" w:eastAsia="宋体" w:cs="宋体"/>
                <w:i w:val="0"/>
                <w:iCs w:val="0"/>
                <w:color w:val="auto"/>
                <w:sz w:val="21"/>
                <w:szCs w:val="21"/>
                <w:highlight w:val="none"/>
                <w:u w:val="none"/>
              </w:rPr>
            </w:pPr>
          </w:p>
        </w:tc>
        <w:tc>
          <w:tcPr>
            <w:tcW w:w="3238" w:type="dxa"/>
            <w:vMerge w:val="continue"/>
            <w:tcBorders>
              <w:tl2br w:val="nil"/>
              <w:tr2bl w:val="nil"/>
            </w:tcBorders>
            <w:shd w:val="clear" w:color="auto" w:fill="FFFFFF"/>
            <w:vAlign w:val="center"/>
          </w:tcPr>
          <w:p w14:paraId="371C644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9" w:type="dxa"/>
            <w:tcBorders>
              <w:tl2br w:val="nil"/>
              <w:tr2bl w:val="nil"/>
            </w:tcBorders>
            <w:shd w:val="clear" w:color="auto" w:fill="FFFFFF"/>
            <w:vAlign w:val="center"/>
          </w:tcPr>
          <w:p w14:paraId="3F3D864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53D00C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56A8D48C">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28</w:t>
            </w:r>
          </w:p>
        </w:tc>
        <w:tc>
          <w:tcPr>
            <w:tcW w:w="1107" w:type="dxa"/>
            <w:tcBorders>
              <w:tl2br w:val="nil"/>
              <w:tr2bl w:val="nil"/>
            </w:tcBorders>
            <w:shd w:val="clear" w:color="auto" w:fill="FFFFFF"/>
            <w:vAlign w:val="center"/>
          </w:tcPr>
          <w:p w14:paraId="70BA4B2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5#、6#栋实训楼保洁</w:t>
            </w:r>
          </w:p>
        </w:tc>
        <w:tc>
          <w:tcPr>
            <w:tcW w:w="2929" w:type="dxa"/>
            <w:vMerge w:val="continue"/>
            <w:tcBorders>
              <w:tl2br w:val="nil"/>
              <w:tr2bl w:val="nil"/>
            </w:tcBorders>
            <w:shd w:val="clear" w:color="auto" w:fill="FFFFFF"/>
            <w:vAlign w:val="center"/>
          </w:tcPr>
          <w:p w14:paraId="064EF0D5">
            <w:pPr>
              <w:spacing w:line="240" w:lineRule="auto"/>
              <w:jc w:val="center"/>
              <w:rPr>
                <w:rFonts w:hint="eastAsia" w:ascii="宋体" w:hAnsi="宋体" w:eastAsia="宋体" w:cs="宋体"/>
                <w:i w:val="0"/>
                <w:iCs w:val="0"/>
                <w:color w:val="auto"/>
                <w:sz w:val="21"/>
                <w:szCs w:val="21"/>
                <w:highlight w:val="none"/>
                <w:u w:val="none"/>
              </w:rPr>
            </w:pPr>
          </w:p>
        </w:tc>
        <w:tc>
          <w:tcPr>
            <w:tcW w:w="3238" w:type="dxa"/>
            <w:vMerge w:val="continue"/>
            <w:tcBorders>
              <w:tl2br w:val="nil"/>
              <w:tr2bl w:val="nil"/>
            </w:tcBorders>
            <w:shd w:val="clear" w:color="auto" w:fill="FFFFFF"/>
            <w:vAlign w:val="center"/>
          </w:tcPr>
          <w:p w14:paraId="3543417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9" w:type="dxa"/>
            <w:tcBorders>
              <w:tl2br w:val="nil"/>
              <w:tr2bl w:val="nil"/>
            </w:tcBorders>
            <w:shd w:val="clear" w:color="auto" w:fill="FFFFFF"/>
            <w:vAlign w:val="center"/>
          </w:tcPr>
          <w:p w14:paraId="14E69D3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2CC4EC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62181A57">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29</w:t>
            </w:r>
          </w:p>
        </w:tc>
        <w:tc>
          <w:tcPr>
            <w:tcW w:w="1107" w:type="dxa"/>
            <w:tcBorders>
              <w:tl2br w:val="nil"/>
              <w:tr2bl w:val="nil"/>
            </w:tcBorders>
            <w:shd w:val="clear" w:color="auto" w:fill="FFFFFF"/>
            <w:vAlign w:val="center"/>
          </w:tcPr>
          <w:p w14:paraId="3978118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7#栋实训楼保洁</w:t>
            </w:r>
          </w:p>
        </w:tc>
        <w:tc>
          <w:tcPr>
            <w:tcW w:w="2929" w:type="dxa"/>
            <w:vMerge w:val="continue"/>
            <w:tcBorders>
              <w:tl2br w:val="nil"/>
              <w:tr2bl w:val="nil"/>
            </w:tcBorders>
            <w:shd w:val="clear" w:color="auto" w:fill="FFFFFF"/>
            <w:vAlign w:val="center"/>
          </w:tcPr>
          <w:p w14:paraId="42F4AB8E">
            <w:pPr>
              <w:spacing w:line="240" w:lineRule="auto"/>
              <w:jc w:val="center"/>
              <w:rPr>
                <w:rFonts w:hint="eastAsia" w:ascii="宋体" w:hAnsi="宋体" w:eastAsia="宋体" w:cs="宋体"/>
                <w:i w:val="0"/>
                <w:iCs w:val="0"/>
                <w:color w:val="auto"/>
                <w:sz w:val="21"/>
                <w:szCs w:val="21"/>
                <w:highlight w:val="none"/>
                <w:u w:val="none"/>
              </w:rPr>
            </w:pPr>
          </w:p>
        </w:tc>
        <w:tc>
          <w:tcPr>
            <w:tcW w:w="3238" w:type="dxa"/>
            <w:vMerge w:val="continue"/>
            <w:tcBorders>
              <w:tl2br w:val="nil"/>
              <w:tr2bl w:val="nil"/>
            </w:tcBorders>
            <w:shd w:val="clear" w:color="auto" w:fill="FFFFFF"/>
            <w:vAlign w:val="center"/>
          </w:tcPr>
          <w:p w14:paraId="01697D0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9" w:type="dxa"/>
            <w:tcBorders>
              <w:tl2br w:val="nil"/>
              <w:tr2bl w:val="nil"/>
            </w:tcBorders>
            <w:shd w:val="clear" w:color="auto" w:fill="FFFFFF"/>
            <w:vAlign w:val="center"/>
          </w:tcPr>
          <w:p w14:paraId="25BFED9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54A726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29422624">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w:t>
            </w:r>
          </w:p>
        </w:tc>
        <w:tc>
          <w:tcPr>
            <w:tcW w:w="1107" w:type="dxa"/>
            <w:tcBorders>
              <w:tl2br w:val="nil"/>
              <w:tr2bl w:val="nil"/>
            </w:tcBorders>
            <w:shd w:val="clear" w:color="auto" w:fill="FFFFFF"/>
            <w:vAlign w:val="center"/>
          </w:tcPr>
          <w:p w14:paraId="2C885D4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教学楼保洁</w:t>
            </w:r>
          </w:p>
        </w:tc>
        <w:tc>
          <w:tcPr>
            <w:tcW w:w="2929" w:type="dxa"/>
            <w:tcBorders>
              <w:tl2br w:val="nil"/>
              <w:tr2bl w:val="nil"/>
            </w:tcBorders>
            <w:shd w:val="clear" w:color="auto" w:fill="FFFFFF"/>
            <w:vAlign w:val="center"/>
          </w:tcPr>
          <w:p w14:paraId="73CB79BE">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教学楼44个公共卫生间保洁、教学楼屋面、露台等地方、墙面天棚的清扫、教学楼5间教职工休息室、茶水间清理打扫及公共区域的垃圾清运。</w:t>
            </w:r>
          </w:p>
        </w:tc>
        <w:tc>
          <w:tcPr>
            <w:tcW w:w="3238" w:type="dxa"/>
            <w:vMerge w:val="continue"/>
            <w:tcBorders>
              <w:tl2br w:val="nil"/>
              <w:tr2bl w:val="nil"/>
            </w:tcBorders>
            <w:shd w:val="clear" w:color="auto" w:fill="FFFFFF"/>
            <w:vAlign w:val="center"/>
          </w:tcPr>
          <w:p w14:paraId="2DCDDC0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9" w:type="dxa"/>
            <w:tcBorders>
              <w:tl2br w:val="nil"/>
              <w:tr2bl w:val="nil"/>
            </w:tcBorders>
            <w:shd w:val="clear" w:color="auto" w:fill="FFFFFF"/>
            <w:vAlign w:val="center"/>
          </w:tcPr>
          <w:p w14:paraId="505AD4F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14:paraId="16C20F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63240A0A">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31</w:t>
            </w:r>
          </w:p>
        </w:tc>
        <w:tc>
          <w:tcPr>
            <w:tcW w:w="1107" w:type="dxa"/>
            <w:tcBorders>
              <w:tl2br w:val="nil"/>
              <w:tr2bl w:val="nil"/>
            </w:tcBorders>
            <w:shd w:val="clear" w:color="auto" w:fill="FFFFFF"/>
            <w:vAlign w:val="center"/>
          </w:tcPr>
          <w:p w14:paraId="20A79D2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学生活动中心保洁</w:t>
            </w:r>
          </w:p>
        </w:tc>
        <w:tc>
          <w:tcPr>
            <w:tcW w:w="2929" w:type="dxa"/>
            <w:tcBorders>
              <w:tl2br w:val="nil"/>
              <w:tr2bl w:val="nil"/>
            </w:tcBorders>
            <w:shd w:val="clear" w:color="auto" w:fill="FFFFFF"/>
            <w:vAlign w:val="center"/>
          </w:tcPr>
          <w:p w14:paraId="2B3DA77E">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所有公共区域玻璃、扶手、过道走廊、公共卫生间保洁、墙面天棚的清扫及垃圾清运。</w:t>
            </w:r>
          </w:p>
        </w:tc>
        <w:tc>
          <w:tcPr>
            <w:tcW w:w="3238" w:type="dxa"/>
            <w:vMerge w:val="continue"/>
            <w:tcBorders>
              <w:tl2br w:val="nil"/>
              <w:tr2bl w:val="nil"/>
            </w:tcBorders>
            <w:shd w:val="clear" w:color="auto" w:fill="FFFFFF"/>
            <w:vAlign w:val="center"/>
          </w:tcPr>
          <w:p w14:paraId="30D9B11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9" w:type="dxa"/>
            <w:tcBorders>
              <w:tl2br w:val="nil"/>
              <w:tr2bl w:val="nil"/>
            </w:tcBorders>
            <w:shd w:val="clear" w:color="auto" w:fill="FFFFFF"/>
            <w:vAlign w:val="center"/>
          </w:tcPr>
          <w:p w14:paraId="30492B8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6B2AFF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4E04BE60">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w:t>
            </w:r>
          </w:p>
        </w:tc>
        <w:tc>
          <w:tcPr>
            <w:tcW w:w="1107" w:type="dxa"/>
            <w:tcBorders>
              <w:tl2br w:val="nil"/>
              <w:tr2bl w:val="nil"/>
            </w:tcBorders>
            <w:shd w:val="clear" w:color="auto" w:fill="FFFFFF"/>
            <w:vAlign w:val="center"/>
          </w:tcPr>
          <w:p w14:paraId="4FBA782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体育馆、运动场保洁</w:t>
            </w:r>
          </w:p>
        </w:tc>
        <w:tc>
          <w:tcPr>
            <w:tcW w:w="2929" w:type="dxa"/>
            <w:tcBorders>
              <w:tl2br w:val="nil"/>
              <w:tr2bl w:val="nil"/>
            </w:tcBorders>
            <w:shd w:val="clear" w:color="auto" w:fill="FFFFFF"/>
            <w:vAlign w:val="center"/>
          </w:tcPr>
          <w:p w14:paraId="5C85C426">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公共卫生间保洁、公共区域玻璃、扶手、过道走廊、电梯门、消防栓及屋面清理打扫、垃圾清运。</w:t>
            </w:r>
          </w:p>
        </w:tc>
        <w:tc>
          <w:tcPr>
            <w:tcW w:w="3238" w:type="dxa"/>
            <w:vMerge w:val="continue"/>
            <w:tcBorders>
              <w:tl2br w:val="nil"/>
              <w:tr2bl w:val="nil"/>
            </w:tcBorders>
            <w:shd w:val="clear" w:color="auto" w:fill="FFFFFF"/>
            <w:vAlign w:val="center"/>
          </w:tcPr>
          <w:p w14:paraId="61712C0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9" w:type="dxa"/>
            <w:tcBorders>
              <w:tl2br w:val="nil"/>
              <w:tr2bl w:val="nil"/>
            </w:tcBorders>
            <w:shd w:val="clear" w:color="auto" w:fill="FFFFFF"/>
            <w:vAlign w:val="center"/>
          </w:tcPr>
          <w:p w14:paraId="3642E7B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789ED9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67EC537D">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33</w:t>
            </w:r>
          </w:p>
        </w:tc>
        <w:tc>
          <w:tcPr>
            <w:tcW w:w="1107" w:type="dxa"/>
            <w:tcBorders>
              <w:tl2br w:val="nil"/>
              <w:tr2bl w:val="nil"/>
            </w:tcBorders>
            <w:shd w:val="clear" w:color="auto" w:fill="FFFFFF"/>
            <w:vAlign w:val="center"/>
          </w:tcPr>
          <w:p w14:paraId="4207DFE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培训楼保洁</w:t>
            </w:r>
          </w:p>
        </w:tc>
        <w:tc>
          <w:tcPr>
            <w:tcW w:w="2929" w:type="dxa"/>
            <w:tcBorders>
              <w:tl2br w:val="nil"/>
              <w:tr2bl w:val="nil"/>
            </w:tcBorders>
            <w:shd w:val="clear" w:color="auto" w:fill="FFFFFF"/>
            <w:vAlign w:val="center"/>
          </w:tcPr>
          <w:p w14:paraId="41FEFCFE">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培训楼所有公共区域玻璃、扶手、过道走廊、公共卫生间保洁、墙面天棚的清扫及垃圾清运。</w:t>
            </w:r>
          </w:p>
        </w:tc>
        <w:tc>
          <w:tcPr>
            <w:tcW w:w="3238" w:type="dxa"/>
            <w:vMerge w:val="continue"/>
            <w:tcBorders>
              <w:tl2br w:val="nil"/>
              <w:tr2bl w:val="nil"/>
            </w:tcBorders>
            <w:shd w:val="clear" w:color="auto" w:fill="FFFFFF"/>
            <w:vAlign w:val="center"/>
          </w:tcPr>
          <w:p w14:paraId="24B1BDE5">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9" w:type="dxa"/>
            <w:tcBorders>
              <w:tl2br w:val="nil"/>
              <w:tr2bl w:val="nil"/>
            </w:tcBorders>
            <w:shd w:val="clear" w:color="auto" w:fill="FFFFFF"/>
            <w:vAlign w:val="center"/>
          </w:tcPr>
          <w:p w14:paraId="2DEF80D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665194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4EE7A8B6">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34</w:t>
            </w:r>
          </w:p>
        </w:tc>
        <w:tc>
          <w:tcPr>
            <w:tcW w:w="1107" w:type="dxa"/>
            <w:tcBorders>
              <w:tl2br w:val="nil"/>
              <w:tr2bl w:val="nil"/>
            </w:tcBorders>
            <w:shd w:val="clear" w:color="auto" w:fill="FFFFFF"/>
            <w:vAlign w:val="center"/>
          </w:tcPr>
          <w:p w14:paraId="0F0700F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学生公寓保洁</w:t>
            </w:r>
          </w:p>
        </w:tc>
        <w:tc>
          <w:tcPr>
            <w:tcW w:w="2929" w:type="dxa"/>
            <w:tcBorders>
              <w:tl2br w:val="nil"/>
              <w:tr2bl w:val="nil"/>
            </w:tcBorders>
            <w:shd w:val="clear" w:color="auto" w:fill="FFFFFF"/>
            <w:vAlign w:val="center"/>
          </w:tcPr>
          <w:p w14:paraId="3E70DB33">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栋学生宿舍公共区域玻璃、楼梯扶手、墙角、天花板等卫生死角和盲区的精细化保洁；宿舍楼栋外墙角四周的垃圾清理打扫；6#栋学生公寓还需20个公共卫生间的日常保洁；维护宿舍公共区域的卫生状况，确保学生公寓的整体卫生质量。1-6#栋学生公寓楼屋面、露台、天井、地沟等地方，要求每月定期清理两次。（1、3#栋宿舍1人，2#栋宿舍1人，4、5#栋宿舍1人，6#栋宿舍1人。2#栋和6#栋学生数量和面积相对较多。）</w:t>
            </w:r>
          </w:p>
        </w:tc>
        <w:tc>
          <w:tcPr>
            <w:tcW w:w="3238" w:type="dxa"/>
            <w:vMerge w:val="continue"/>
            <w:tcBorders>
              <w:tl2br w:val="nil"/>
              <w:tr2bl w:val="nil"/>
            </w:tcBorders>
            <w:shd w:val="clear" w:color="auto" w:fill="FFFFFF"/>
            <w:vAlign w:val="center"/>
          </w:tcPr>
          <w:p w14:paraId="6564D3C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9" w:type="dxa"/>
            <w:tcBorders>
              <w:tl2br w:val="nil"/>
              <w:tr2bl w:val="nil"/>
            </w:tcBorders>
            <w:shd w:val="clear" w:color="auto" w:fill="FFFFFF"/>
            <w:vAlign w:val="center"/>
          </w:tcPr>
          <w:p w14:paraId="2FFF6A5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1D6F7E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284E046B">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w:t>
            </w:r>
          </w:p>
        </w:tc>
        <w:tc>
          <w:tcPr>
            <w:tcW w:w="1107" w:type="dxa"/>
            <w:tcBorders>
              <w:tl2br w:val="nil"/>
              <w:tr2bl w:val="nil"/>
            </w:tcBorders>
            <w:shd w:val="clear" w:color="auto" w:fill="FFFFFF"/>
            <w:vAlign w:val="center"/>
          </w:tcPr>
          <w:p w14:paraId="602DEE7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外围保洁</w:t>
            </w:r>
          </w:p>
        </w:tc>
        <w:tc>
          <w:tcPr>
            <w:tcW w:w="2929" w:type="dxa"/>
            <w:tcBorders>
              <w:tl2br w:val="nil"/>
              <w:tr2bl w:val="nil"/>
            </w:tcBorders>
            <w:shd w:val="clear" w:color="auto" w:fill="FFFFFF"/>
            <w:vAlign w:val="center"/>
          </w:tcPr>
          <w:p w14:paraId="497432F2">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及时清扫室外道路；定时巡扫绿化带；定期清洗擦抹标牌等公共设施；保持垃圾箱周边清洁干净，无堆积；垃圾归集，督促垃圾清运，保证所属区域无白色垃圾和任何杂物；定期冲洗校园马路和台阶。</w:t>
            </w:r>
          </w:p>
        </w:tc>
        <w:tc>
          <w:tcPr>
            <w:tcW w:w="3238" w:type="dxa"/>
            <w:vMerge w:val="continue"/>
            <w:tcBorders>
              <w:tl2br w:val="nil"/>
              <w:tr2bl w:val="nil"/>
            </w:tcBorders>
            <w:shd w:val="clear" w:color="auto" w:fill="FFFFFF"/>
            <w:vAlign w:val="center"/>
          </w:tcPr>
          <w:p w14:paraId="7974AB65">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9" w:type="dxa"/>
            <w:tcBorders>
              <w:tl2br w:val="nil"/>
              <w:tr2bl w:val="nil"/>
            </w:tcBorders>
            <w:shd w:val="clear" w:color="auto" w:fill="FFFFFF"/>
            <w:vAlign w:val="center"/>
          </w:tcPr>
          <w:p w14:paraId="1FECBE3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14:paraId="390927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792" w:type="dxa"/>
            <w:gridSpan w:val="3"/>
            <w:tcBorders>
              <w:tl2br w:val="nil"/>
              <w:tr2bl w:val="nil"/>
            </w:tcBorders>
            <w:shd w:val="clear" w:color="auto" w:fill="FFFFFF"/>
            <w:vAlign w:val="center"/>
          </w:tcPr>
          <w:p w14:paraId="1B0F7376">
            <w:pPr>
              <w:spacing w:line="240"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3238" w:type="dxa"/>
            <w:tcBorders>
              <w:tl2br w:val="nil"/>
              <w:tr2bl w:val="nil"/>
            </w:tcBorders>
            <w:shd w:val="clear" w:color="auto" w:fill="FFFFFF"/>
            <w:vAlign w:val="center"/>
          </w:tcPr>
          <w:p w14:paraId="2B40B37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9" w:type="dxa"/>
            <w:tcBorders>
              <w:tl2br w:val="nil"/>
              <w:tr2bl w:val="nil"/>
            </w:tcBorders>
            <w:shd w:val="clear" w:color="auto" w:fill="FFFFFF"/>
            <w:vAlign w:val="center"/>
          </w:tcPr>
          <w:p w14:paraId="4625794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r>
    </w:tbl>
    <w:p w14:paraId="65A79D9C">
      <w:pPr>
        <w:pStyle w:val="6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备注：</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投标人拟配备各岗位服务人员</w:t>
      </w:r>
      <w:r>
        <w:rPr>
          <w:rFonts w:hint="eastAsia" w:ascii="宋体" w:hAnsi="宋体" w:eastAsia="宋体" w:cs="宋体"/>
          <w:b w:val="0"/>
          <w:bCs w:val="0"/>
          <w:color w:val="auto"/>
          <w:sz w:val="21"/>
          <w:szCs w:val="21"/>
          <w:highlight w:val="none"/>
          <w:lang w:eastAsia="zh-CN"/>
        </w:rPr>
        <w:t>配置</w:t>
      </w:r>
      <w:r>
        <w:rPr>
          <w:rFonts w:hint="eastAsia" w:ascii="宋体" w:hAnsi="宋体" w:eastAsia="宋体" w:cs="宋体"/>
          <w:b w:val="0"/>
          <w:bCs w:val="0"/>
          <w:color w:val="auto"/>
          <w:sz w:val="21"/>
          <w:szCs w:val="21"/>
          <w:highlight w:val="none"/>
        </w:rPr>
        <w:t>不得低于以上</w:t>
      </w:r>
      <w:r>
        <w:rPr>
          <w:rFonts w:hint="eastAsia" w:ascii="宋体" w:hAnsi="宋体" w:eastAsia="宋体" w:cs="宋体"/>
          <w:b w:val="0"/>
          <w:bCs w:val="0"/>
          <w:color w:val="auto"/>
          <w:sz w:val="21"/>
          <w:szCs w:val="21"/>
          <w:highlight w:val="none"/>
          <w:lang w:eastAsia="zh-CN"/>
        </w:rPr>
        <w:t>要求</w:t>
      </w:r>
      <w:r>
        <w:rPr>
          <w:rFonts w:hint="eastAsia" w:ascii="宋体" w:hAnsi="宋体" w:eastAsia="宋体" w:cs="宋体"/>
          <w:b w:val="0"/>
          <w:bCs w:val="0"/>
          <w:color w:val="auto"/>
          <w:sz w:val="21"/>
          <w:szCs w:val="21"/>
          <w:highlight w:val="none"/>
        </w:rPr>
        <w:t>，国家有规定的须根据国家规定持证上岗</w:t>
      </w:r>
      <w:r>
        <w:rPr>
          <w:rFonts w:hint="eastAsia" w:ascii="宋体" w:hAnsi="宋体" w:eastAsia="宋体" w:cs="宋体"/>
          <w:b w:val="0"/>
          <w:bCs w:val="0"/>
          <w:color w:val="auto"/>
          <w:sz w:val="21"/>
          <w:szCs w:val="21"/>
          <w:highlight w:val="none"/>
          <w:lang w:eastAsia="zh-CN"/>
        </w:rPr>
        <w:t>。</w:t>
      </w:r>
    </w:p>
    <w:p w14:paraId="309DA74F">
      <w:pPr>
        <w:pStyle w:val="63"/>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本项目所有拟派服务人员工资标准不得低于株洲市最低工资标准，且物业公司</w:t>
      </w:r>
      <w:r>
        <w:rPr>
          <w:rFonts w:hint="eastAsia" w:ascii="宋体" w:hAnsi="宋体" w:eastAsia="宋体" w:cs="宋体"/>
          <w:b w:val="0"/>
          <w:bCs w:val="0"/>
          <w:color w:val="auto"/>
          <w:sz w:val="21"/>
          <w:szCs w:val="21"/>
          <w:highlight w:val="none"/>
        </w:rPr>
        <w:t>须按国家规定为所有</w:t>
      </w:r>
      <w:r>
        <w:rPr>
          <w:rFonts w:hint="eastAsia" w:ascii="宋体" w:hAnsi="宋体" w:cs="宋体"/>
          <w:b w:val="0"/>
          <w:bCs w:val="0"/>
          <w:color w:val="auto"/>
          <w:sz w:val="21"/>
          <w:szCs w:val="21"/>
          <w:highlight w:val="none"/>
          <w:lang w:eastAsia="zh-CN"/>
        </w:rPr>
        <w:t>拟派</w:t>
      </w:r>
      <w:r>
        <w:rPr>
          <w:rFonts w:hint="eastAsia" w:ascii="宋体" w:hAnsi="宋体" w:eastAsia="宋体" w:cs="宋体"/>
          <w:b w:val="0"/>
          <w:bCs w:val="0"/>
          <w:color w:val="auto"/>
          <w:sz w:val="21"/>
          <w:szCs w:val="21"/>
          <w:highlight w:val="none"/>
        </w:rPr>
        <w:t>员工购买各项社会保险及意外险。</w:t>
      </w:r>
    </w:p>
    <w:p w14:paraId="03B08BEF">
      <w:pPr>
        <w:pStyle w:val="44"/>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（3）在项目实施过程中本项目管理及主要人员（指项目经理、安保队长、维修主管、保洁主管、消防监控室值守</w:t>
      </w:r>
      <w:r>
        <w:rPr>
          <w:rFonts w:hint="eastAsia" w:ascii="宋体" w:hAnsi="宋体" w:cs="宋体"/>
          <w:b w:val="0"/>
          <w:bCs w:val="0"/>
          <w:color w:val="auto"/>
          <w:kern w:val="2"/>
          <w:sz w:val="21"/>
          <w:szCs w:val="21"/>
          <w:highlight w:val="none"/>
          <w:lang w:val="en-US" w:eastAsia="zh-CN" w:bidi="ar-SA"/>
        </w:rPr>
        <w:t>人员</w:t>
      </w:r>
      <w:r>
        <w:rPr>
          <w:rFonts w:hint="eastAsia" w:ascii="宋体" w:hAnsi="宋体" w:eastAsia="宋体" w:cs="宋体"/>
          <w:b w:val="0"/>
          <w:bCs w:val="0"/>
          <w:color w:val="auto"/>
          <w:kern w:val="2"/>
          <w:sz w:val="21"/>
          <w:szCs w:val="21"/>
          <w:highlight w:val="none"/>
          <w:lang w:val="en-US" w:eastAsia="zh-CN" w:bidi="ar-SA"/>
        </w:rPr>
        <w:t>）不得随意更换，如确需更换的，需经采购人书面同意后方替换，且所替换的人员资质不得低于原岗位人员要求。</w:t>
      </w:r>
    </w:p>
    <w:p w14:paraId="60B8132D">
      <w:pPr>
        <w:pStyle w:val="138"/>
        <w:spacing w:line="360" w:lineRule="auto"/>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六、人员管理要求</w:t>
      </w:r>
    </w:p>
    <w:p w14:paraId="46208B7F">
      <w:pPr>
        <w:pStyle w:val="138"/>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1.</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与派驻服务人员不发生任何劳动和雇佣关系，派驻服务人员由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自行管理，并按法律法规和地方政府的规定支付服务人员的工资、福利、保险、奖金、加班费等一切费用。</w:t>
      </w:r>
    </w:p>
    <w:p w14:paraId="3707A615">
      <w:pPr>
        <w:pStyle w:val="138"/>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2.</w:t>
      </w: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加班期间要求提供相关物业管理服务的，</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应按上班期间要求，保质保量地做好保障工作。根据学院通知要求布置的临时性、突击性的值班、清洁等服务任务，</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应无条件接受并增派人员按时按质按量完成任务，发生的费用由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自行在投标报价时考虑，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自行消化，</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不再另行支付服务费。</w:t>
      </w:r>
    </w:p>
    <w:p w14:paraId="17F9721E">
      <w:pPr>
        <w:pStyle w:val="138"/>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的派驻服务人员应遵守安全操作规程，若工作时发生人身伤害等工伤事故，由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无涉。</w:t>
      </w:r>
    </w:p>
    <w:p w14:paraId="389F9B12">
      <w:pPr>
        <w:pStyle w:val="138"/>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4.</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全部工作人员应专职服务本项目，如遇特殊情况需借用本项目工作人员，须报请</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批准，并保证本项目正常运行。</w:t>
      </w:r>
    </w:p>
    <w:p w14:paraId="362EAF5F">
      <w:pPr>
        <w:pStyle w:val="138"/>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5.</w:t>
      </w:r>
      <w:r>
        <w:rPr>
          <w:rFonts w:hint="eastAsia" w:ascii="宋体" w:hAnsi="宋体" w:eastAsia="宋体" w:cs="宋体"/>
          <w:color w:val="auto"/>
          <w:sz w:val="21"/>
          <w:szCs w:val="21"/>
          <w:highlight w:val="none"/>
        </w:rPr>
        <w:t>投诉处理率100%，且及时、妥善，有完整的记录档案。</w:t>
      </w:r>
    </w:p>
    <w:p w14:paraId="34673851">
      <w:pPr>
        <w:pStyle w:val="138"/>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6.</w:t>
      </w:r>
      <w:r>
        <w:rPr>
          <w:rFonts w:hint="eastAsia" w:ascii="宋体" w:hAnsi="宋体" w:eastAsia="宋体" w:cs="宋体"/>
          <w:color w:val="auto"/>
          <w:sz w:val="21"/>
          <w:szCs w:val="21"/>
          <w:highlight w:val="none"/>
        </w:rPr>
        <w:t>学院与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签订合同后将</w:t>
      </w:r>
      <w:r>
        <w:rPr>
          <w:rFonts w:hint="eastAsia" w:ascii="宋体" w:hAnsi="宋体" w:cs="宋体"/>
          <w:color w:val="auto"/>
          <w:sz w:val="21"/>
          <w:szCs w:val="21"/>
          <w:highlight w:val="none"/>
          <w:lang w:eastAsia="zh-CN"/>
        </w:rPr>
        <w:t>依据</w:t>
      </w: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eastAsia="zh-CN"/>
        </w:rPr>
        <w:t>考核</w:t>
      </w:r>
      <w:r>
        <w:rPr>
          <w:rFonts w:hint="eastAsia" w:ascii="宋体" w:hAnsi="宋体" w:eastAsia="宋体" w:cs="宋体"/>
          <w:color w:val="auto"/>
          <w:sz w:val="21"/>
          <w:szCs w:val="21"/>
          <w:highlight w:val="none"/>
        </w:rPr>
        <w:t>标准</w:t>
      </w:r>
      <w:r>
        <w:rPr>
          <w:rFonts w:hint="eastAsia" w:ascii="宋体" w:hAnsi="宋体" w:cs="宋体"/>
          <w:color w:val="auto"/>
          <w:sz w:val="21"/>
          <w:szCs w:val="21"/>
          <w:highlight w:val="none"/>
          <w:lang w:eastAsia="zh-CN"/>
        </w:rPr>
        <w:t>进行考核</w:t>
      </w:r>
      <w:r>
        <w:rPr>
          <w:rFonts w:hint="eastAsia" w:ascii="宋体" w:hAnsi="宋体" w:eastAsia="宋体" w:cs="宋体"/>
          <w:color w:val="auto"/>
          <w:sz w:val="21"/>
          <w:szCs w:val="21"/>
          <w:highlight w:val="none"/>
        </w:rPr>
        <w:t>，主要是学院对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在项目实施过程中工作质量及服务态度的评价，并将</w:t>
      </w:r>
      <w:r>
        <w:rPr>
          <w:rFonts w:hint="eastAsia" w:ascii="宋体" w:hAnsi="宋体" w:cs="宋体"/>
          <w:color w:val="auto"/>
          <w:sz w:val="21"/>
          <w:szCs w:val="21"/>
          <w:highlight w:val="none"/>
          <w:lang w:eastAsia="zh-CN"/>
        </w:rPr>
        <w:t>考核结果</w:t>
      </w:r>
      <w:r>
        <w:rPr>
          <w:rFonts w:hint="eastAsia" w:ascii="宋体" w:hAnsi="宋体" w:eastAsia="宋体" w:cs="宋体"/>
          <w:color w:val="auto"/>
          <w:sz w:val="21"/>
          <w:szCs w:val="21"/>
          <w:highlight w:val="none"/>
        </w:rPr>
        <w:t>作为物业管理费计发、赔偿的依据。出现人员配备不足或人员不称职的情况，</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必须在7天内配齐或更换，如有拖延，学院有权按缺员人数、天数扣减物业管理费；根据学院对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服务质量</w:t>
      </w:r>
      <w:r>
        <w:rPr>
          <w:rFonts w:hint="eastAsia" w:ascii="宋体" w:hAnsi="宋体" w:cs="宋体"/>
          <w:color w:val="auto"/>
          <w:sz w:val="21"/>
          <w:szCs w:val="21"/>
          <w:highlight w:val="none"/>
          <w:lang w:eastAsia="zh-CN"/>
        </w:rPr>
        <w:t>考核</w:t>
      </w:r>
      <w:r>
        <w:rPr>
          <w:rFonts w:hint="eastAsia" w:ascii="宋体" w:hAnsi="宋体" w:eastAsia="宋体" w:cs="宋体"/>
          <w:color w:val="auto"/>
          <w:sz w:val="21"/>
          <w:szCs w:val="21"/>
          <w:highlight w:val="none"/>
        </w:rPr>
        <w:t>结果，如</w:t>
      </w:r>
      <w:r>
        <w:rPr>
          <w:rFonts w:hint="eastAsia" w:ascii="宋体" w:hAnsi="宋体" w:cs="宋体"/>
          <w:color w:val="auto"/>
          <w:sz w:val="21"/>
          <w:szCs w:val="21"/>
          <w:highlight w:val="none"/>
          <w:lang w:eastAsia="zh-CN"/>
        </w:rPr>
        <w:t>考核不合格的</w:t>
      </w:r>
      <w:r>
        <w:rPr>
          <w:rFonts w:hint="eastAsia" w:ascii="宋体" w:hAnsi="宋体" w:eastAsia="宋体" w:cs="宋体"/>
          <w:color w:val="auto"/>
          <w:sz w:val="21"/>
          <w:szCs w:val="21"/>
          <w:highlight w:val="none"/>
        </w:rPr>
        <w:t>，学院将向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发出整改通知，三个月内累计三次仍未按要求整改的，学院有权终止合同，由此造成的后果由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负责；因</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责任事故造成学院和个人财物损失应照价赔偿。</w:t>
      </w:r>
    </w:p>
    <w:p w14:paraId="7257A140">
      <w:pPr>
        <w:pStyle w:val="138"/>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7.</w:t>
      </w:r>
      <w:r>
        <w:rPr>
          <w:rFonts w:hint="eastAsia" w:ascii="宋体" w:hAnsi="宋体" w:eastAsia="宋体" w:cs="宋体"/>
          <w:color w:val="auto"/>
          <w:sz w:val="21"/>
          <w:szCs w:val="21"/>
          <w:highlight w:val="none"/>
        </w:rPr>
        <w:t>鼓励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在符合岗位条件下，优先招用符合条件的本地就业困难人员和参战复退就业困难人员。</w:t>
      </w:r>
    </w:p>
    <w:p w14:paraId="63B1BDD2">
      <w:pPr>
        <w:pStyle w:val="138"/>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8.</w:t>
      </w:r>
      <w:r>
        <w:rPr>
          <w:rFonts w:hint="eastAsia" w:ascii="宋体" w:hAnsi="宋体" w:eastAsia="宋体" w:cs="宋体"/>
          <w:color w:val="auto"/>
          <w:sz w:val="21"/>
          <w:szCs w:val="21"/>
          <w:highlight w:val="none"/>
        </w:rPr>
        <w:t>学校寒、暑假期间，在保证校园安全及清洁卫生符合要求的情况下，保安、保洁人员及管理人员上班人数报后勤保卫处备案，同时物业费用做相应调整核减。</w:t>
      </w:r>
    </w:p>
    <w:p w14:paraId="08EC71C2">
      <w:pPr>
        <w:pStyle w:val="138"/>
        <w:spacing w:line="360" w:lineRule="auto"/>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七、付款方式</w:t>
      </w:r>
    </w:p>
    <w:p w14:paraId="3D6B9BC1">
      <w:pPr>
        <w:pStyle w:val="138"/>
        <w:spacing w:line="360" w:lineRule="auto"/>
        <w:ind w:firstLine="420" w:firstLineChars="200"/>
        <w:jc w:val="left"/>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服务费按月结算。</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于每月支付上月服务费，如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提供服务不足一个月时按日计算。</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须在每月底开具正式税务发票原件交</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每月五日前，提交上月详细的物业管理服务人员出勤表（以当月合同在册、在岗人员为准），供</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审核，办理付款审批手续。如有缺岗的，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 xml:space="preserve">按其岗位实际缺岗天数扣减日工资。 </w:t>
      </w:r>
    </w:p>
    <w:p w14:paraId="5CC378A7">
      <w:pPr>
        <w:pStyle w:val="138"/>
        <w:spacing w:line="360" w:lineRule="auto"/>
        <w:jc w:val="left"/>
        <w:outlineLvl w:val="1"/>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八</w:t>
      </w:r>
      <w:r>
        <w:rPr>
          <w:rFonts w:hint="eastAsia" w:ascii="宋体" w:hAnsi="宋体" w:eastAsia="宋体" w:cs="宋体"/>
          <w:b/>
          <w:color w:val="auto"/>
          <w:sz w:val="21"/>
          <w:szCs w:val="21"/>
          <w:highlight w:val="none"/>
        </w:rPr>
        <w:t>、其他事项说明</w:t>
      </w:r>
    </w:p>
    <w:p w14:paraId="3BD1224E">
      <w:pPr>
        <w:pStyle w:val="1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1、本项目整体服务期限为两年，合同一年一签，其中中央空调维保服务期限从2025年9月1日至2026年11月30日。</w:t>
      </w:r>
    </w:p>
    <w:p w14:paraId="5C0DCB02">
      <w:pPr>
        <w:pStyle w:val="44"/>
        <w:tabs>
          <w:tab w:val="left" w:pos="630"/>
        </w:tabs>
        <w:spacing w:after="0" w:line="360" w:lineRule="auto"/>
        <w:ind w:left="0" w:leftChars="0"/>
        <w:rPr>
          <w:rFonts w:hint="eastAsia" w:ascii="宋体" w:hAnsi="宋体" w:eastAsia="宋体" w:cs="宋体"/>
          <w:color w:val="auto"/>
          <w:szCs w:val="21"/>
          <w:highlight w:val="none"/>
          <w:u w:val="none"/>
          <w:lang w:val="en-US" w:eastAsia="zh-CN"/>
        </w:rPr>
      </w:pPr>
      <w:r>
        <w:rPr>
          <w:rFonts w:hint="eastAsia" w:ascii="宋体" w:hAnsi="宋体" w:cs="宋体"/>
          <w:color w:val="auto"/>
          <w:sz w:val="21"/>
          <w:szCs w:val="21"/>
          <w:highlight w:val="none"/>
          <w:lang w:val="en-US" w:eastAsia="zh-CN"/>
        </w:rPr>
        <w:t>2、</w:t>
      </w:r>
      <w:r>
        <w:rPr>
          <w:rFonts w:hint="eastAsia" w:ascii="宋体" w:hAnsi="宋体" w:cs="宋体"/>
          <w:color w:val="auto"/>
          <w:szCs w:val="21"/>
          <w:highlight w:val="none"/>
          <w:u w:val="none"/>
        </w:rPr>
        <w:t>本项目</w:t>
      </w:r>
      <w:r>
        <w:rPr>
          <w:rFonts w:hint="eastAsia" w:ascii="宋体" w:hAnsi="宋体" w:cs="宋体"/>
          <w:color w:val="auto"/>
          <w:szCs w:val="21"/>
          <w:highlight w:val="none"/>
          <w:u w:val="none"/>
          <w:lang w:eastAsia="zh-CN"/>
        </w:rPr>
        <w:t>设最高投标限价</w:t>
      </w:r>
      <w:r>
        <w:rPr>
          <w:rFonts w:hint="eastAsia" w:ascii="宋体" w:hAnsi="宋体" w:cs="宋体"/>
          <w:color w:val="auto"/>
          <w:szCs w:val="21"/>
          <w:highlight w:val="none"/>
          <w:u w:val="none"/>
          <w:lang w:val="en-US" w:eastAsia="zh-CN"/>
        </w:rPr>
        <w:t>4390000元/年，</w:t>
      </w:r>
      <w:r>
        <w:rPr>
          <w:rFonts w:hint="eastAsia" w:ascii="宋体" w:hAnsi="宋体" w:cs="宋体"/>
          <w:color w:val="auto"/>
          <w:szCs w:val="21"/>
          <w:highlight w:val="none"/>
        </w:rPr>
        <w:t>其中电梯</w:t>
      </w:r>
      <w:r>
        <w:rPr>
          <w:rFonts w:hint="eastAsia" w:ascii="宋体" w:hAnsi="宋体" w:cs="宋体"/>
          <w:color w:val="auto"/>
          <w:szCs w:val="21"/>
          <w:highlight w:val="none"/>
          <w:lang w:eastAsia="zh-CN"/>
        </w:rPr>
        <w:t>维保</w:t>
      </w:r>
      <w:r>
        <w:rPr>
          <w:rFonts w:hint="eastAsia" w:ascii="宋体" w:hAnsi="宋体" w:cs="宋体"/>
          <w:color w:val="auto"/>
          <w:szCs w:val="21"/>
          <w:highlight w:val="none"/>
          <w:lang w:val="en-US" w:eastAsia="zh-CN"/>
        </w:rPr>
        <w:t>最高限价</w:t>
      </w:r>
      <w:r>
        <w:rPr>
          <w:rFonts w:hint="eastAsia" w:ascii="宋体" w:hAnsi="宋体" w:cs="宋体"/>
          <w:color w:val="auto"/>
          <w:szCs w:val="21"/>
          <w:highlight w:val="none"/>
          <w:lang w:eastAsia="zh-CN"/>
        </w:rPr>
        <w:t>为</w:t>
      </w:r>
      <w:r>
        <w:rPr>
          <w:rFonts w:hint="eastAsia" w:ascii="宋体" w:hAnsi="宋体" w:cs="宋体"/>
          <w:color w:val="auto"/>
          <w:szCs w:val="21"/>
          <w:highlight w:val="none"/>
        </w:rPr>
        <w:t>36</w:t>
      </w:r>
      <w:r>
        <w:rPr>
          <w:rFonts w:hint="eastAsia" w:ascii="宋体" w:hAnsi="宋体" w:cs="宋体"/>
          <w:color w:val="auto"/>
          <w:szCs w:val="21"/>
          <w:highlight w:val="none"/>
          <w:lang w:val="en-US" w:eastAsia="zh-CN"/>
        </w:rPr>
        <w:t>000</w:t>
      </w:r>
      <w:r>
        <w:rPr>
          <w:rFonts w:hint="eastAsia" w:ascii="宋体" w:hAnsi="宋体" w:cs="宋体"/>
          <w:color w:val="auto"/>
          <w:szCs w:val="21"/>
          <w:highlight w:val="none"/>
        </w:rPr>
        <w:t>元/年</w:t>
      </w:r>
      <w:r>
        <w:rPr>
          <w:rFonts w:hint="eastAsia" w:ascii="宋体" w:hAnsi="宋体" w:cs="宋体"/>
          <w:color w:val="auto"/>
          <w:szCs w:val="21"/>
          <w:highlight w:val="none"/>
          <w:lang w:eastAsia="zh-CN"/>
        </w:rPr>
        <w:t>，中央</w:t>
      </w:r>
      <w:r>
        <w:rPr>
          <w:rFonts w:hint="eastAsia" w:ascii="宋体" w:hAnsi="宋体" w:cs="宋体"/>
          <w:color w:val="auto"/>
          <w:szCs w:val="21"/>
          <w:highlight w:val="none"/>
        </w:rPr>
        <w:t>空调</w:t>
      </w:r>
      <w:r>
        <w:rPr>
          <w:rFonts w:hint="eastAsia" w:ascii="宋体" w:hAnsi="宋体" w:cs="宋体"/>
          <w:color w:val="auto"/>
          <w:szCs w:val="21"/>
          <w:highlight w:val="none"/>
          <w:lang w:eastAsia="zh-CN"/>
        </w:rPr>
        <w:t>维保</w:t>
      </w:r>
      <w:r>
        <w:rPr>
          <w:rFonts w:hint="eastAsia" w:ascii="宋体" w:hAnsi="宋体" w:cs="宋体"/>
          <w:color w:val="auto"/>
          <w:szCs w:val="21"/>
          <w:highlight w:val="none"/>
          <w:lang w:val="en-US" w:eastAsia="zh-CN"/>
        </w:rPr>
        <w:t>最高限价</w:t>
      </w:r>
      <w:r>
        <w:rPr>
          <w:rFonts w:hint="eastAsia" w:ascii="宋体" w:hAnsi="宋体" w:cs="宋体"/>
          <w:color w:val="auto"/>
          <w:szCs w:val="21"/>
          <w:highlight w:val="none"/>
          <w:lang w:eastAsia="zh-CN"/>
        </w:rPr>
        <w:t>为</w:t>
      </w:r>
      <w:r>
        <w:rPr>
          <w:rFonts w:hint="eastAsia" w:ascii="宋体" w:hAnsi="宋体" w:cs="宋体"/>
          <w:color w:val="auto"/>
          <w:szCs w:val="21"/>
          <w:highlight w:val="none"/>
        </w:rPr>
        <w:t>119</w:t>
      </w:r>
      <w:r>
        <w:rPr>
          <w:rFonts w:hint="eastAsia" w:ascii="宋体" w:hAnsi="宋体" w:cs="宋体"/>
          <w:color w:val="auto"/>
          <w:szCs w:val="21"/>
          <w:highlight w:val="none"/>
          <w:lang w:val="en-US" w:eastAsia="zh-CN"/>
        </w:rPr>
        <w:t>000</w:t>
      </w:r>
      <w:r>
        <w:rPr>
          <w:rFonts w:hint="eastAsia" w:ascii="宋体" w:hAnsi="宋体" w:cs="宋体"/>
          <w:color w:val="auto"/>
          <w:szCs w:val="21"/>
          <w:highlight w:val="none"/>
          <w:lang w:eastAsia="zh-CN"/>
        </w:rPr>
        <w:t>元</w:t>
      </w:r>
      <w:r>
        <w:rPr>
          <w:rFonts w:hint="eastAsia" w:ascii="宋体" w:hAnsi="宋体" w:cs="宋体"/>
          <w:color w:val="auto"/>
          <w:szCs w:val="21"/>
          <w:highlight w:val="none"/>
          <w:lang w:val="en-US" w:eastAsia="zh-CN"/>
        </w:rPr>
        <w:t>/年，其他物业服务最高限价为4235000元/年</w:t>
      </w:r>
      <w:r>
        <w:rPr>
          <w:rFonts w:hint="eastAsia" w:ascii="宋体" w:hAnsi="宋体" w:cs="宋体"/>
          <w:color w:val="auto"/>
          <w:szCs w:val="21"/>
          <w:highlight w:val="none"/>
        </w:rPr>
        <w:t>。</w:t>
      </w:r>
      <w:r>
        <w:rPr>
          <w:rFonts w:hint="eastAsia" w:ascii="宋体" w:hAnsi="宋体" w:cs="宋体"/>
          <w:color w:val="auto"/>
          <w:szCs w:val="21"/>
          <w:highlight w:val="none"/>
          <w:lang w:eastAsia="zh-CN"/>
        </w:rPr>
        <w:t>投标人报价不得超过最高投标限价及各分项服务最高投标限价，否则视为</w:t>
      </w:r>
      <w:r>
        <w:rPr>
          <w:rFonts w:hint="eastAsia" w:ascii="宋体" w:hAnsi="宋体" w:cs="宋体"/>
          <w:b/>
          <w:bCs/>
          <w:color w:val="auto"/>
          <w:szCs w:val="21"/>
          <w:highlight w:val="none"/>
          <w:lang w:eastAsia="zh-CN"/>
        </w:rPr>
        <w:t>无效投标</w:t>
      </w:r>
      <w:r>
        <w:rPr>
          <w:rFonts w:hint="eastAsia" w:ascii="宋体" w:hAnsi="宋体" w:cs="宋体"/>
          <w:color w:val="auto"/>
          <w:szCs w:val="21"/>
          <w:highlight w:val="none"/>
          <w:lang w:eastAsia="zh-CN"/>
        </w:rPr>
        <w:t>。其中第一年的中央空调维保服务不足一年，各投标人在投标报价时仍按一年进行报价，在合同结算时根据实际服务期限，按实结算。</w:t>
      </w:r>
    </w:p>
    <w:p w14:paraId="28326B7F">
      <w:pPr>
        <w:pStyle w:val="1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本次物业管理服务费用含人工费用（含工资、加班费、职工福利、基本养老保险、医疗保险、失业保险、工伤保险、生育保险、防暑降温、服装费等）材料及工具费用、办公费用、管理费、税金、利润、不可预见费用（如应对应急突发事件发生的费用），以及物业服务内容相关工作范围内的所有费用。</w:t>
      </w:r>
    </w:p>
    <w:p w14:paraId="4837ED4B">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投标人可自行对业主单位的物业管理范围和周围环境进行勘察，以便投标人获取有关编制投标文件和签署合同所涉及现场的资料，中标单位不得以不完全了解物业现场情况为由，提出任何形式的增加物业管理费用或索赔要求。投标人踏勘现场所发生的一切费用和责任概由投标人自负。招标人不单独或分别组织任何一个投标人进行现场踏勘。</w:t>
      </w:r>
    </w:p>
    <w:p w14:paraId="6DECE024">
      <w:pPr>
        <w:pStyle w:val="1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5、参与投标的单位应遵纪守法，具有良好的社会信誉，且法定代表人近三年内无刑事处罚记录，投标人须在投标人文件中提供承诺函，格式自拟。</w:t>
      </w:r>
    </w:p>
    <w:p w14:paraId="7F928DAC">
      <w:pPr>
        <w:pStyle w:val="1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对于被盗案件，经公安机关鉴定属于外来犯罪分子以撬窗、破门等手段入室作案的，物业管理公司应承担相应的责任；对于因物业公司巡查不到位，致使隐患发现、排除不及时所造成的消防事故，或其它因人为疏忽造成车辆被盗等安全事故，物业管理公司也应承担相应的责任。</w:t>
      </w:r>
    </w:p>
    <w:p w14:paraId="31E40B7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、本项目的履约验收为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自行组织验收；验收标准依据《株洲市政府采购项目履约验收管理暂行办法》（株财发【2020】9号）。</w:t>
      </w:r>
    </w:p>
    <w:p w14:paraId="4AF8B1A7">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带“★”号条款为实质性条款，不得出现任何偏离，否则投标无效；对于上述项目要求，投标人应在投标文件中进行回应，并作出承诺及说明。</w:t>
      </w:r>
    </w:p>
    <w:p w14:paraId="2C11F93D">
      <w:pPr>
        <w:rPr>
          <w:rFonts w:hint="eastAsia" w:ascii="宋体" w:hAnsi="宋体" w:eastAsia="宋体" w:cs="宋体"/>
          <w:b/>
          <w:bCs/>
          <w:color w:val="auto"/>
          <w:sz w:val="21"/>
          <w:szCs w:val="21"/>
          <w:highlight w:val="none"/>
          <w:lang w:val="en-US" w:eastAsia="zh-CN"/>
        </w:rPr>
      </w:pPr>
    </w:p>
    <w:p w14:paraId="5F08DB9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附件1：湖铁职院安保管理考核表</w:t>
      </w:r>
    </w:p>
    <w:p w14:paraId="36907CA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附表2：湖铁职院物业公司保洁管理考核表</w:t>
      </w:r>
    </w:p>
    <w:p w14:paraId="0C4F9AB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附表3：湖铁职院物业公司会务管理考核表</w:t>
      </w:r>
    </w:p>
    <w:p w14:paraId="1789925D">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附表4：湖铁职院物业公司维修管理考核表</w:t>
      </w:r>
    </w:p>
    <w:p w14:paraId="24F64CB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附表5：湖铁职院物业公司宿舍管理考核表</w:t>
      </w:r>
    </w:p>
    <w:p w14:paraId="7EC25D9A">
      <w:pPr>
        <w:pStyle w:val="44"/>
        <w:rPr>
          <w:rFonts w:hint="eastAsia"/>
          <w:color w:val="auto"/>
          <w:highlight w:val="none"/>
        </w:rPr>
        <w:sectPr>
          <w:footerReference r:id="rId7" w:type="default"/>
          <w:pgSz w:w="11906" w:h="16838"/>
          <w:pgMar w:top="1417" w:right="1587" w:bottom="1417" w:left="1587" w:header="850" w:footer="397" w:gutter="0"/>
          <w:pgBorders>
            <w:top w:val="none" w:sz="0" w:space="0"/>
            <w:left w:val="none" w:sz="0" w:space="0"/>
            <w:bottom w:val="none" w:sz="0" w:space="0"/>
            <w:right w:val="none" w:sz="0" w:space="0"/>
          </w:pgBorders>
          <w:pgNumType w:fmt="decimal"/>
          <w:cols w:space="720" w:num="1"/>
          <w:rtlGutter w:val="0"/>
          <w:docGrid w:type="lines" w:linePitch="323" w:charSpace="0"/>
        </w:sectPr>
      </w:pPr>
    </w:p>
    <w:p w14:paraId="6477CD1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附件1：湖铁职院安保管理考核表</w:t>
      </w:r>
    </w:p>
    <w:p w14:paraId="1DDAC9C5">
      <w:pPr>
        <w:widowControl/>
        <w:jc w:val="center"/>
        <w:rPr>
          <w:rFonts w:hint="eastAsia"/>
          <w:b/>
          <w:color w:val="auto"/>
          <w:sz w:val="18"/>
          <w:szCs w:val="18"/>
          <w:highlight w:val="none"/>
          <w:lang w:val="en-US" w:eastAsia="zh-CN"/>
        </w:rPr>
      </w:pPr>
      <w:r>
        <w:rPr>
          <w:rFonts w:hint="eastAsia"/>
          <w:b/>
          <w:color w:val="auto"/>
          <w:sz w:val="36"/>
          <w:szCs w:val="36"/>
          <w:highlight w:val="none"/>
          <w:lang w:val="en-US" w:eastAsia="zh-CN"/>
        </w:rPr>
        <w:t xml:space="preserve">      湖铁职院安保</w:t>
      </w:r>
      <w:r>
        <w:rPr>
          <w:rFonts w:hint="eastAsia"/>
          <w:b/>
          <w:color w:val="auto"/>
          <w:sz w:val="36"/>
          <w:szCs w:val="36"/>
          <w:highlight w:val="none"/>
        </w:rPr>
        <w:t>管理考核</w:t>
      </w:r>
      <w:r>
        <w:rPr>
          <w:rFonts w:hint="eastAsia"/>
          <w:b/>
          <w:color w:val="auto"/>
          <w:sz w:val="36"/>
          <w:szCs w:val="36"/>
          <w:highlight w:val="none"/>
          <w:lang w:eastAsia="zh-CN"/>
        </w:rPr>
        <w:t>表</w:t>
      </w:r>
      <w:r>
        <w:rPr>
          <w:rFonts w:hint="eastAsia"/>
          <w:b/>
          <w:color w:val="auto"/>
          <w:sz w:val="36"/>
          <w:szCs w:val="36"/>
          <w:highlight w:val="none"/>
          <w:lang w:val="en-US" w:eastAsia="zh-CN"/>
        </w:rPr>
        <w:t xml:space="preserve">     </w:t>
      </w:r>
      <w:r>
        <w:rPr>
          <w:rFonts w:hint="eastAsia"/>
          <w:b/>
          <w:color w:val="auto"/>
          <w:sz w:val="18"/>
          <w:szCs w:val="18"/>
          <w:highlight w:val="none"/>
          <w:lang w:val="en-US" w:eastAsia="zh-CN"/>
        </w:rPr>
        <w:t>考核时间：      年       月</w:t>
      </w:r>
    </w:p>
    <w:tbl>
      <w:tblPr>
        <w:tblStyle w:val="45"/>
        <w:tblW w:w="1504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85"/>
        <w:gridCol w:w="1079"/>
        <w:gridCol w:w="9286"/>
        <w:gridCol w:w="1091"/>
        <w:gridCol w:w="1091"/>
        <w:gridCol w:w="1809"/>
      </w:tblGrid>
      <w:tr w14:paraId="59621A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685" w:type="dxa"/>
            <w:tcBorders>
              <w:tl2br w:val="nil"/>
              <w:tr2bl w:val="nil"/>
            </w:tcBorders>
            <w:shd w:val="clear" w:color="auto" w:fill="FFFFFF"/>
            <w:noWrap w:val="0"/>
            <w:vAlign w:val="center"/>
          </w:tcPr>
          <w:p w14:paraId="5D33C253">
            <w:pPr>
              <w:jc w:val="center"/>
              <w:rPr>
                <w:b/>
                <w:bCs w:val="0"/>
                <w:color w:val="auto"/>
                <w:sz w:val="24"/>
                <w:szCs w:val="24"/>
                <w:highlight w:val="none"/>
              </w:rPr>
            </w:pPr>
            <w:r>
              <w:rPr>
                <w:rFonts w:hint="eastAsia"/>
                <w:b/>
                <w:bCs w:val="0"/>
                <w:color w:val="auto"/>
                <w:sz w:val="24"/>
                <w:szCs w:val="24"/>
                <w:highlight w:val="none"/>
              </w:rPr>
              <w:t>序</w:t>
            </w:r>
          </w:p>
        </w:tc>
        <w:tc>
          <w:tcPr>
            <w:tcW w:w="1079" w:type="dxa"/>
            <w:tcBorders>
              <w:tl2br w:val="nil"/>
              <w:tr2bl w:val="nil"/>
            </w:tcBorders>
            <w:shd w:val="clear" w:color="auto" w:fill="FFFFFF"/>
            <w:noWrap w:val="0"/>
            <w:vAlign w:val="center"/>
          </w:tcPr>
          <w:p w14:paraId="1DDB766C">
            <w:pPr>
              <w:jc w:val="center"/>
              <w:rPr>
                <w:b/>
                <w:bCs w:val="0"/>
                <w:color w:val="auto"/>
                <w:sz w:val="24"/>
                <w:szCs w:val="24"/>
                <w:highlight w:val="none"/>
              </w:rPr>
            </w:pPr>
            <w:r>
              <w:rPr>
                <w:rFonts w:hint="eastAsia"/>
                <w:b/>
                <w:bCs w:val="0"/>
                <w:color w:val="auto"/>
                <w:sz w:val="24"/>
                <w:szCs w:val="24"/>
                <w:highlight w:val="none"/>
              </w:rPr>
              <w:t>考核项</w:t>
            </w:r>
          </w:p>
        </w:tc>
        <w:tc>
          <w:tcPr>
            <w:tcW w:w="9286" w:type="dxa"/>
            <w:tcBorders>
              <w:tl2br w:val="nil"/>
              <w:tr2bl w:val="nil"/>
            </w:tcBorders>
            <w:shd w:val="clear" w:color="auto" w:fill="FFFFFF"/>
            <w:noWrap w:val="0"/>
            <w:vAlign w:val="center"/>
          </w:tcPr>
          <w:p w14:paraId="0CEDA4BA">
            <w:pPr>
              <w:jc w:val="center"/>
              <w:rPr>
                <w:b/>
                <w:bCs w:val="0"/>
                <w:color w:val="auto"/>
                <w:sz w:val="24"/>
                <w:szCs w:val="24"/>
                <w:highlight w:val="none"/>
              </w:rPr>
            </w:pPr>
            <w:r>
              <w:rPr>
                <w:rFonts w:hint="eastAsia"/>
                <w:b/>
                <w:bCs w:val="0"/>
                <w:color w:val="auto"/>
                <w:sz w:val="24"/>
                <w:szCs w:val="24"/>
                <w:highlight w:val="none"/>
              </w:rPr>
              <w:t>考</w:t>
            </w:r>
            <w:r>
              <w:rPr>
                <w:rFonts w:hint="eastAsia"/>
                <w:b/>
                <w:bCs w:val="0"/>
                <w:color w:val="auto"/>
                <w:sz w:val="24"/>
                <w:szCs w:val="24"/>
                <w:highlight w:val="none"/>
                <w:lang w:val="en-US" w:eastAsia="zh-CN"/>
              </w:rPr>
              <w:t xml:space="preserve">    </w:t>
            </w:r>
            <w:r>
              <w:rPr>
                <w:rFonts w:hint="eastAsia"/>
                <w:b/>
                <w:bCs w:val="0"/>
                <w:color w:val="auto"/>
                <w:sz w:val="24"/>
                <w:szCs w:val="24"/>
                <w:highlight w:val="none"/>
              </w:rPr>
              <w:t>核</w:t>
            </w:r>
            <w:r>
              <w:rPr>
                <w:rFonts w:hint="eastAsia"/>
                <w:b/>
                <w:bCs w:val="0"/>
                <w:color w:val="auto"/>
                <w:sz w:val="24"/>
                <w:szCs w:val="24"/>
                <w:highlight w:val="none"/>
                <w:lang w:val="en-US" w:eastAsia="zh-CN"/>
              </w:rPr>
              <w:t xml:space="preserve">    </w:t>
            </w:r>
            <w:r>
              <w:rPr>
                <w:rFonts w:hint="eastAsia"/>
                <w:b/>
                <w:bCs w:val="0"/>
                <w:color w:val="auto"/>
                <w:sz w:val="24"/>
                <w:szCs w:val="24"/>
                <w:highlight w:val="none"/>
              </w:rPr>
              <w:t>细</w:t>
            </w:r>
            <w:r>
              <w:rPr>
                <w:rFonts w:hint="eastAsia"/>
                <w:b/>
                <w:bCs w:val="0"/>
                <w:color w:val="auto"/>
                <w:sz w:val="24"/>
                <w:szCs w:val="24"/>
                <w:highlight w:val="none"/>
                <w:lang w:val="en-US" w:eastAsia="zh-CN"/>
              </w:rPr>
              <w:t xml:space="preserve">    </w:t>
            </w:r>
            <w:r>
              <w:rPr>
                <w:rFonts w:hint="eastAsia"/>
                <w:b/>
                <w:bCs w:val="0"/>
                <w:color w:val="auto"/>
                <w:sz w:val="24"/>
                <w:szCs w:val="24"/>
                <w:highlight w:val="none"/>
              </w:rPr>
              <w:t>则</w:t>
            </w:r>
          </w:p>
        </w:tc>
        <w:tc>
          <w:tcPr>
            <w:tcW w:w="1091" w:type="dxa"/>
            <w:tcBorders>
              <w:tl2br w:val="nil"/>
              <w:tr2bl w:val="nil"/>
            </w:tcBorders>
            <w:shd w:val="clear" w:color="auto" w:fill="FFFFFF"/>
            <w:noWrap w:val="0"/>
            <w:vAlign w:val="center"/>
          </w:tcPr>
          <w:p w14:paraId="538CA5C4">
            <w:pPr>
              <w:jc w:val="center"/>
              <w:rPr>
                <w:b/>
                <w:bCs w:val="0"/>
                <w:color w:val="auto"/>
                <w:sz w:val="24"/>
                <w:szCs w:val="24"/>
                <w:highlight w:val="none"/>
              </w:rPr>
            </w:pPr>
            <w:r>
              <w:rPr>
                <w:rFonts w:hint="eastAsia"/>
                <w:b/>
                <w:bCs w:val="0"/>
                <w:color w:val="auto"/>
                <w:sz w:val="24"/>
                <w:szCs w:val="24"/>
                <w:highlight w:val="none"/>
              </w:rPr>
              <w:t>占</w:t>
            </w:r>
            <w:r>
              <w:rPr>
                <w:rFonts w:hint="eastAsia"/>
                <w:b/>
                <w:bCs w:val="0"/>
                <w:color w:val="auto"/>
                <w:sz w:val="24"/>
                <w:szCs w:val="24"/>
                <w:highlight w:val="none"/>
                <w:lang w:val="en-US" w:eastAsia="zh-CN"/>
              </w:rPr>
              <w:t xml:space="preserve">  </w:t>
            </w:r>
            <w:r>
              <w:rPr>
                <w:rFonts w:hint="eastAsia"/>
                <w:b/>
                <w:bCs w:val="0"/>
                <w:color w:val="auto"/>
                <w:sz w:val="24"/>
                <w:szCs w:val="24"/>
                <w:highlight w:val="none"/>
              </w:rPr>
              <w:t>分</w:t>
            </w:r>
          </w:p>
        </w:tc>
        <w:tc>
          <w:tcPr>
            <w:tcW w:w="1091" w:type="dxa"/>
            <w:tcBorders>
              <w:tl2br w:val="nil"/>
              <w:tr2bl w:val="nil"/>
            </w:tcBorders>
            <w:shd w:val="clear" w:color="auto" w:fill="FFFFFF"/>
            <w:noWrap w:val="0"/>
            <w:vAlign w:val="center"/>
          </w:tcPr>
          <w:p w14:paraId="2BEDD675">
            <w:pPr>
              <w:jc w:val="center"/>
              <w:rPr>
                <w:b/>
                <w:bCs w:val="0"/>
                <w:color w:val="auto"/>
                <w:sz w:val="24"/>
                <w:szCs w:val="24"/>
                <w:highlight w:val="none"/>
              </w:rPr>
            </w:pPr>
            <w:r>
              <w:rPr>
                <w:rFonts w:hint="eastAsia"/>
                <w:b/>
                <w:bCs w:val="0"/>
                <w:color w:val="auto"/>
                <w:sz w:val="24"/>
                <w:szCs w:val="24"/>
                <w:highlight w:val="none"/>
              </w:rPr>
              <w:t>得</w:t>
            </w:r>
            <w:r>
              <w:rPr>
                <w:rFonts w:hint="eastAsia"/>
                <w:b/>
                <w:bCs w:val="0"/>
                <w:color w:val="auto"/>
                <w:sz w:val="24"/>
                <w:szCs w:val="24"/>
                <w:highlight w:val="none"/>
                <w:lang w:val="en-US" w:eastAsia="zh-CN"/>
              </w:rPr>
              <w:t xml:space="preserve">  </w:t>
            </w:r>
            <w:r>
              <w:rPr>
                <w:rFonts w:hint="eastAsia"/>
                <w:b/>
                <w:bCs w:val="0"/>
                <w:color w:val="auto"/>
                <w:sz w:val="24"/>
                <w:szCs w:val="24"/>
                <w:highlight w:val="none"/>
              </w:rPr>
              <w:t>分</w:t>
            </w:r>
          </w:p>
        </w:tc>
        <w:tc>
          <w:tcPr>
            <w:tcW w:w="1809" w:type="dxa"/>
            <w:tcBorders>
              <w:tl2br w:val="nil"/>
              <w:tr2bl w:val="nil"/>
            </w:tcBorders>
            <w:shd w:val="clear" w:color="auto" w:fill="FFFFFF"/>
            <w:noWrap w:val="0"/>
            <w:vAlign w:val="center"/>
          </w:tcPr>
          <w:p w14:paraId="577B462B">
            <w:pPr>
              <w:jc w:val="both"/>
              <w:rPr>
                <w:b/>
                <w:bCs w:val="0"/>
                <w:color w:val="auto"/>
                <w:sz w:val="24"/>
                <w:szCs w:val="24"/>
                <w:highlight w:val="none"/>
              </w:rPr>
            </w:pPr>
            <w:r>
              <w:rPr>
                <w:rFonts w:hint="eastAsia"/>
                <w:b/>
                <w:bCs w:val="0"/>
                <w:color w:val="auto"/>
                <w:sz w:val="21"/>
                <w:szCs w:val="21"/>
                <w:highlight w:val="none"/>
              </w:rPr>
              <w:t>扣</w:t>
            </w:r>
            <w:r>
              <w:rPr>
                <w:rFonts w:hint="eastAsia"/>
                <w:b/>
                <w:bCs w:val="0"/>
                <w:color w:val="auto"/>
                <w:sz w:val="21"/>
                <w:szCs w:val="21"/>
                <w:highlight w:val="none"/>
                <w:lang w:val="en-US" w:eastAsia="zh-CN"/>
              </w:rPr>
              <w:t xml:space="preserve">  </w:t>
            </w:r>
            <w:r>
              <w:rPr>
                <w:rFonts w:hint="eastAsia"/>
                <w:b/>
                <w:bCs w:val="0"/>
                <w:color w:val="auto"/>
                <w:sz w:val="21"/>
                <w:szCs w:val="21"/>
                <w:highlight w:val="none"/>
              </w:rPr>
              <w:t>分</w:t>
            </w:r>
            <w:r>
              <w:rPr>
                <w:rFonts w:hint="eastAsia"/>
                <w:b/>
                <w:bCs w:val="0"/>
                <w:color w:val="auto"/>
                <w:sz w:val="21"/>
                <w:szCs w:val="21"/>
                <w:highlight w:val="none"/>
                <w:lang w:val="en-US" w:eastAsia="zh-CN"/>
              </w:rPr>
              <w:t xml:space="preserve">  </w:t>
            </w:r>
            <w:r>
              <w:rPr>
                <w:rFonts w:hint="eastAsia"/>
                <w:b/>
                <w:bCs w:val="0"/>
                <w:color w:val="auto"/>
                <w:sz w:val="21"/>
                <w:szCs w:val="21"/>
                <w:highlight w:val="none"/>
              </w:rPr>
              <w:t>标</w:t>
            </w:r>
            <w:r>
              <w:rPr>
                <w:rFonts w:hint="eastAsia"/>
                <w:b/>
                <w:bCs w:val="0"/>
                <w:color w:val="auto"/>
                <w:sz w:val="21"/>
                <w:szCs w:val="21"/>
                <w:highlight w:val="none"/>
                <w:lang w:val="en-US" w:eastAsia="zh-CN"/>
              </w:rPr>
              <w:t xml:space="preserve">  </w:t>
            </w:r>
            <w:r>
              <w:rPr>
                <w:rFonts w:hint="eastAsia"/>
                <w:b/>
                <w:bCs w:val="0"/>
                <w:color w:val="auto"/>
                <w:sz w:val="21"/>
                <w:szCs w:val="21"/>
                <w:highlight w:val="none"/>
              </w:rPr>
              <w:t>准</w:t>
            </w:r>
          </w:p>
        </w:tc>
      </w:tr>
      <w:tr w14:paraId="5946C9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restart"/>
            <w:tcBorders>
              <w:tl2br w:val="nil"/>
              <w:tr2bl w:val="nil"/>
            </w:tcBorders>
            <w:shd w:val="clear" w:color="auto" w:fill="FFFFFF"/>
            <w:noWrap w:val="0"/>
            <w:vAlign w:val="center"/>
          </w:tcPr>
          <w:p w14:paraId="58E0DDF5">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eastAsia="宋体"/>
                <w:b w:val="0"/>
                <w:color w:val="auto"/>
                <w:highlight w:val="none"/>
                <w:lang w:val="en-US" w:eastAsia="zh-CN"/>
              </w:rPr>
            </w:pPr>
            <w:r>
              <w:rPr>
                <w:rFonts w:hint="eastAsia"/>
                <w:b w:val="0"/>
                <w:color w:val="auto"/>
                <w:highlight w:val="none"/>
                <w:lang w:val="en-US" w:eastAsia="zh-CN"/>
              </w:rPr>
              <w:t>1</w:t>
            </w:r>
          </w:p>
        </w:tc>
        <w:tc>
          <w:tcPr>
            <w:tcW w:w="1079" w:type="dxa"/>
            <w:vMerge w:val="restart"/>
            <w:tcBorders>
              <w:tl2br w:val="nil"/>
              <w:tr2bl w:val="nil"/>
            </w:tcBorders>
            <w:shd w:val="clear" w:color="auto" w:fill="FFFFFF"/>
            <w:noWrap w:val="0"/>
            <w:vAlign w:val="top"/>
          </w:tcPr>
          <w:p w14:paraId="5ADCC6A0">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64407833">
            <w:pPr>
              <w:pStyle w:val="139"/>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ascii="宋体" w:hAnsi="宋体" w:eastAsia="宋体" w:cs="宋体"/>
                <w:b w:val="0"/>
                <w:color w:val="auto"/>
                <w:kern w:val="0"/>
                <w:sz w:val="21"/>
                <w:szCs w:val="21"/>
                <w:highlight w:val="none"/>
              </w:rPr>
            </w:pPr>
            <w:r>
              <w:rPr>
                <w:rFonts w:hint="eastAsia" w:hAnsi="宋体"/>
                <w:color w:val="auto"/>
                <w:sz w:val="21"/>
                <w:szCs w:val="21"/>
                <w:highlight w:val="none"/>
                <w:lang w:val="en-US" w:eastAsia="zh-CN"/>
              </w:rPr>
              <w:t>1.</w:t>
            </w:r>
            <w:r>
              <w:rPr>
                <w:rFonts w:hint="eastAsia" w:hAnsi="宋体"/>
                <w:color w:val="auto"/>
                <w:sz w:val="21"/>
                <w:szCs w:val="21"/>
                <w:highlight w:val="none"/>
              </w:rPr>
              <w:t>对一般外来的访问、办事人员，建立询问登记制度，外来人员进入学生宿舍须登记并征得被访人同意，方能进入。</w:t>
            </w:r>
          </w:p>
        </w:tc>
        <w:tc>
          <w:tcPr>
            <w:tcW w:w="1091" w:type="dxa"/>
            <w:tcBorders>
              <w:tl2br w:val="nil"/>
              <w:tr2bl w:val="nil"/>
            </w:tcBorders>
            <w:shd w:val="clear" w:color="auto" w:fill="FFFFFF"/>
            <w:noWrap w:val="0"/>
            <w:vAlign w:val="center"/>
          </w:tcPr>
          <w:p w14:paraId="1C2C89D5">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6F5C3DC6">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3F149047">
            <w:pPr>
              <w:keepNext w:val="0"/>
              <w:keepLines w:val="0"/>
              <w:pageBreakBefore w:val="0"/>
              <w:kinsoku/>
              <w:wordWrap/>
              <w:overflowPunct/>
              <w:topLinePunct w:val="0"/>
              <w:autoSpaceDE/>
              <w:autoSpaceDN/>
              <w:bidi w:val="0"/>
              <w:adjustRightInd/>
              <w:snapToGrid/>
              <w:spacing w:line="15" w:lineRule="auto"/>
              <w:textAlignment w:val="auto"/>
              <w:rPr>
                <w:rFonts w:hint="eastAsia" w:eastAsia="宋体"/>
                <w:b w:val="0"/>
                <w:color w:val="auto"/>
                <w:highlight w:val="none"/>
                <w:lang w:eastAsia="zh-CN"/>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1F2A24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38C41486">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719962DE">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0DBF29BC">
            <w:pPr>
              <w:pStyle w:val="139"/>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ascii="宋体" w:hAnsi="宋体" w:eastAsia="宋体" w:cs="宋体"/>
                <w:b w:val="0"/>
                <w:color w:val="auto"/>
                <w:kern w:val="0"/>
                <w:sz w:val="21"/>
                <w:szCs w:val="21"/>
                <w:highlight w:val="none"/>
                <w:lang w:val="en-US" w:eastAsia="zh-CN"/>
              </w:rPr>
            </w:pPr>
            <w:r>
              <w:rPr>
                <w:rFonts w:hint="eastAsia" w:hAnsi="宋体"/>
                <w:color w:val="auto"/>
                <w:sz w:val="21"/>
                <w:szCs w:val="21"/>
                <w:highlight w:val="none"/>
                <w:lang w:val="en-US" w:eastAsia="zh-CN"/>
              </w:rPr>
              <w:t>2.</w:t>
            </w:r>
            <w:r>
              <w:rPr>
                <w:rFonts w:hint="eastAsia" w:hAnsi="宋体"/>
                <w:color w:val="auto"/>
                <w:sz w:val="21"/>
                <w:szCs w:val="21"/>
                <w:highlight w:val="none"/>
              </w:rPr>
              <w:t>及时制止在办公及公共场所喧哗嘈闹，校园内无闲杂人员随意游走。做好进出人员的询问登记。</w:t>
            </w:r>
          </w:p>
        </w:tc>
        <w:tc>
          <w:tcPr>
            <w:tcW w:w="1091" w:type="dxa"/>
            <w:tcBorders>
              <w:tl2br w:val="nil"/>
              <w:tr2bl w:val="nil"/>
            </w:tcBorders>
            <w:shd w:val="clear" w:color="auto" w:fill="FFFFFF"/>
            <w:noWrap w:val="0"/>
            <w:vAlign w:val="center"/>
          </w:tcPr>
          <w:p w14:paraId="5D113C2C">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744C4DF6">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274E10EC">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0A77D8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10972577">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21F512BB">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77A6C9D0">
            <w:pPr>
              <w:pStyle w:val="139"/>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ascii="宋体" w:hAnsi="宋体" w:eastAsia="宋体" w:cs="宋体"/>
                <w:b w:val="0"/>
                <w:color w:val="auto"/>
                <w:kern w:val="0"/>
                <w:sz w:val="21"/>
                <w:szCs w:val="21"/>
                <w:highlight w:val="none"/>
              </w:rPr>
            </w:pPr>
            <w:r>
              <w:rPr>
                <w:rFonts w:hint="eastAsia" w:hAnsi="宋体"/>
                <w:color w:val="auto"/>
                <w:sz w:val="21"/>
                <w:szCs w:val="21"/>
                <w:highlight w:val="none"/>
                <w:lang w:val="en-US" w:eastAsia="zh-CN"/>
              </w:rPr>
              <w:t>3.</w:t>
            </w:r>
            <w:r>
              <w:rPr>
                <w:rFonts w:hint="eastAsia" w:hAnsi="宋体"/>
                <w:color w:val="auto"/>
                <w:sz w:val="21"/>
                <w:szCs w:val="21"/>
                <w:highlight w:val="none"/>
              </w:rPr>
              <w:t>重要出入口24小时设人值班、实时监控。</w:t>
            </w:r>
          </w:p>
        </w:tc>
        <w:tc>
          <w:tcPr>
            <w:tcW w:w="1091" w:type="dxa"/>
            <w:tcBorders>
              <w:tl2br w:val="nil"/>
              <w:tr2bl w:val="nil"/>
            </w:tcBorders>
            <w:shd w:val="clear" w:color="auto" w:fill="FFFFFF"/>
            <w:noWrap w:val="0"/>
            <w:vAlign w:val="center"/>
          </w:tcPr>
          <w:p w14:paraId="2473BF5F">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5A70601C">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20C18FEF">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452BA3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4FC8F4B9">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70F67555">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5B66E1E5">
            <w:pPr>
              <w:pStyle w:val="139"/>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ascii="宋体" w:hAnsi="宋体" w:eastAsia="宋体" w:cs="宋体"/>
                <w:b w:val="0"/>
                <w:color w:val="auto"/>
                <w:kern w:val="0"/>
                <w:sz w:val="21"/>
                <w:szCs w:val="21"/>
                <w:highlight w:val="none"/>
              </w:rPr>
            </w:pPr>
            <w:r>
              <w:rPr>
                <w:rFonts w:hint="eastAsia" w:hAnsi="宋体"/>
                <w:color w:val="auto"/>
                <w:sz w:val="21"/>
                <w:szCs w:val="21"/>
                <w:highlight w:val="none"/>
                <w:lang w:val="en-US" w:eastAsia="zh-CN"/>
              </w:rPr>
              <w:t>4.</w:t>
            </w:r>
            <w:r>
              <w:rPr>
                <w:rFonts w:hint="eastAsia" w:hAnsi="宋体"/>
                <w:color w:val="auto"/>
                <w:sz w:val="21"/>
                <w:szCs w:val="21"/>
                <w:highlight w:val="none"/>
              </w:rPr>
              <w:t>加强管理，预防重大火灾、刑事和交通事故的发生。对突发事件有应急处理程序和措施，一旦发现事件苗头必须立即报告甲方，防止事态进一步恶化，协助保护现场。</w:t>
            </w:r>
          </w:p>
        </w:tc>
        <w:tc>
          <w:tcPr>
            <w:tcW w:w="1091" w:type="dxa"/>
            <w:tcBorders>
              <w:tl2br w:val="nil"/>
              <w:tr2bl w:val="nil"/>
            </w:tcBorders>
            <w:shd w:val="clear" w:color="auto" w:fill="FFFFFF"/>
            <w:noWrap w:val="0"/>
            <w:vAlign w:val="center"/>
          </w:tcPr>
          <w:p w14:paraId="2A0F9903">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2A04EE15">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11D7BC27">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6961DF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6570DA7B">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39E8E5B3">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1F35D526">
            <w:pPr>
              <w:pStyle w:val="139"/>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ascii="宋体" w:hAnsi="宋体" w:eastAsia="宋体" w:cs="宋体"/>
                <w:b w:val="0"/>
                <w:color w:val="auto"/>
                <w:kern w:val="0"/>
                <w:sz w:val="21"/>
                <w:szCs w:val="21"/>
                <w:highlight w:val="none"/>
              </w:rPr>
            </w:pPr>
            <w:r>
              <w:rPr>
                <w:rFonts w:hint="eastAsia" w:hAnsi="宋体"/>
                <w:color w:val="auto"/>
                <w:sz w:val="21"/>
                <w:szCs w:val="21"/>
                <w:highlight w:val="none"/>
                <w:lang w:val="en-US" w:eastAsia="zh-CN"/>
              </w:rPr>
              <w:t>5.</w:t>
            </w:r>
            <w:r>
              <w:rPr>
                <w:rFonts w:hint="eastAsia" w:hAnsi="宋体"/>
                <w:color w:val="auto"/>
                <w:sz w:val="21"/>
                <w:szCs w:val="21"/>
                <w:highlight w:val="none"/>
              </w:rPr>
              <w:t>建立稳定的保安队伍（保安人员上岗须经院后勤保卫处审核批准），24小时值班巡逻，确保日常固定岗和流动岗的值班巡逻人数；</w:t>
            </w:r>
          </w:p>
        </w:tc>
        <w:tc>
          <w:tcPr>
            <w:tcW w:w="1091" w:type="dxa"/>
            <w:tcBorders>
              <w:tl2br w:val="nil"/>
              <w:tr2bl w:val="nil"/>
            </w:tcBorders>
            <w:shd w:val="clear" w:color="auto" w:fill="FFFFFF"/>
            <w:noWrap w:val="0"/>
            <w:vAlign w:val="center"/>
          </w:tcPr>
          <w:p w14:paraId="0D83611E">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5470BF16">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441031FA">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221D22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0E81C9FF">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2C1E00A3">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2A79A098">
            <w:pPr>
              <w:pStyle w:val="139"/>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ascii="宋体" w:hAnsi="宋体" w:eastAsia="宋体" w:cs="宋体"/>
                <w:b w:val="0"/>
                <w:color w:val="auto"/>
                <w:kern w:val="0"/>
                <w:sz w:val="21"/>
                <w:szCs w:val="21"/>
                <w:highlight w:val="none"/>
              </w:rPr>
            </w:pPr>
            <w:r>
              <w:rPr>
                <w:rFonts w:hint="eastAsia" w:hAnsi="宋体"/>
                <w:color w:val="auto"/>
                <w:sz w:val="21"/>
                <w:szCs w:val="21"/>
                <w:highlight w:val="none"/>
                <w:lang w:val="en-US" w:eastAsia="zh-CN"/>
              </w:rPr>
              <w:t>6.</w:t>
            </w:r>
            <w:r>
              <w:rPr>
                <w:rFonts w:hint="eastAsia" w:hAnsi="宋体"/>
                <w:color w:val="auto"/>
                <w:sz w:val="21"/>
                <w:szCs w:val="21"/>
                <w:highlight w:val="none"/>
              </w:rPr>
              <w:t>流动岗的机动巡逻人员须按学院要求按时巡逻和登记；</w:t>
            </w:r>
          </w:p>
        </w:tc>
        <w:tc>
          <w:tcPr>
            <w:tcW w:w="1091" w:type="dxa"/>
            <w:tcBorders>
              <w:tl2br w:val="nil"/>
              <w:tr2bl w:val="nil"/>
            </w:tcBorders>
            <w:shd w:val="clear" w:color="auto" w:fill="FFFFFF"/>
            <w:noWrap w:val="0"/>
            <w:vAlign w:val="center"/>
          </w:tcPr>
          <w:p w14:paraId="69289F9F">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3DAAF544">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3881FABC">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74FEAE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0CEE3266">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center"/>
          </w:tcPr>
          <w:p w14:paraId="65E0BA25">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6139F5A2">
            <w:pPr>
              <w:pStyle w:val="139"/>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ascii="宋体" w:hAnsi="宋体" w:eastAsia="宋体" w:cs="宋体"/>
                <w:b w:val="0"/>
                <w:color w:val="auto"/>
                <w:kern w:val="0"/>
                <w:sz w:val="21"/>
                <w:szCs w:val="21"/>
                <w:highlight w:val="none"/>
              </w:rPr>
            </w:pPr>
            <w:r>
              <w:rPr>
                <w:rFonts w:hint="eastAsia" w:hAnsi="宋体"/>
                <w:color w:val="auto"/>
                <w:sz w:val="21"/>
                <w:szCs w:val="21"/>
                <w:highlight w:val="none"/>
                <w:lang w:val="en-US" w:eastAsia="zh-CN"/>
              </w:rPr>
              <w:t>7.</w:t>
            </w:r>
            <w:r>
              <w:rPr>
                <w:rFonts w:hint="eastAsia" w:hAnsi="宋体"/>
                <w:color w:val="auto"/>
                <w:sz w:val="21"/>
                <w:szCs w:val="21"/>
                <w:highlight w:val="none"/>
              </w:rPr>
              <w:t>教学楼的每层楼须每2小时巡逻一次，确保人员和财产的安全；</w:t>
            </w:r>
          </w:p>
        </w:tc>
        <w:tc>
          <w:tcPr>
            <w:tcW w:w="1091" w:type="dxa"/>
            <w:tcBorders>
              <w:tl2br w:val="nil"/>
              <w:tr2bl w:val="nil"/>
            </w:tcBorders>
            <w:shd w:val="clear" w:color="auto" w:fill="FFFFFF"/>
            <w:noWrap w:val="0"/>
            <w:vAlign w:val="center"/>
          </w:tcPr>
          <w:p w14:paraId="21B298EA">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5FFDB293">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0E46994F">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6EB4E2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7D65F3C9">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16694B6C">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76D3C942">
            <w:pPr>
              <w:pStyle w:val="139"/>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ascii="宋体" w:hAnsi="宋体" w:eastAsia="宋体" w:cs="宋体"/>
                <w:b w:val="0"/>
                <w:color w:val="auto"/>
                <w:kern w:val="0"/>
                <w:sz w:val="21"/>
                <w:szCs w:val="21"/>
                <w:highlight w:val="none"/>
              </w:rPr>
            </w:pPr>
            <w:r>
              <w:rPr>
                <w:rFonts w:hint="eastAsia" w:hAnsi="宋体"/>
                <w:color w:val="auto"/>
                <w:sz w:val="21"/>
                <w:szCs w:val="21"/>
                <w:highlight w:val="none"/>
                <w:lang w:val="en-US" w:eastAsia="zh-CN"/>
              </w:rPr>
              <w:t>8.</w:t>
            </w:r>
            <w:r>
              <w:rPr>
                <w:rFonts w:hint="eastAsia" w:hAnsi="宋体"/>
                <w:color w:val="auto"/>
                <w:sz w:val="21"/>
                <w:szCs w:val="21"/>
                <w:highlight w:val="none"/>
              </w:rPr>
              <w:t>劝解不按学院作息时间在校园逗留的学生回宿舍休息。</w:t>
            </w:r>
          </w:p>
        </w:tc>
        <w:tc>
          <w:tcPr>
            <w:tcW w:w="1091" w:type="dxa"/>
            <w:tcBorders>
              <w:tl2br w:val="nil"/>
              <w:tr2bl w:val="nil"/>
            </w:tcBorders>
            <w:shd w:val="clear" w:color="auto" w:fill="FFFFFF"/>
            <w:noWrap w:val="0"/>
            <w:vAlign w:val="center"/>
          </w:tcPr>
          <w:p w14:paraId="3F8E731D">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2E7C202C">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1A5FB4D1">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145271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5EF9FB49">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eastAsia="宋体"/>
                <w:b w:val="0"/>
                <w:color w:val="auto"/>
                <w:highlight w:val="none"/>
                <w:lang w:val="en-US" w:eastAsia="zh-CN"/>
              </w:rPr>
            </w:pPr>
          </w:p>
        </w:tc>
        <w:tc>
          <w:tcPr>
            <w:tcW w:w="1079" w:type="dxa"/>
            <w:vMerge w:val="continue"/>
            <w:tcBorders>
              <w:tl2br w:val="nil"/>
              <w:tr2bl w:val="nil"/>
            </w:tcBorders>
            <w:shd w:val="clear" w:color="auto" w:fill="FFFFFF"/>
            <w:noWrap w:val="0"/>
            <w:vAlign w:val="center"/>
          </w:tcPr>
          <w:p w14:paraId="69D6B5E9">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3C617DB6">
            <w:pPr>
              <w:pStyle w:val="139"/>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ascii="宋体" w:hAnsi="宋体" w:eastAsia="宋体" w:cs="宋体"/>
                <w:b w:val="0"/>
                <w:color w:val="auto"/>
                <w:kern w:val="0"/>
                <w:sz w:val="21"/>
                <w:szCs w:val="21"/>
                <w:highlight w:val="none"/>
              </w:rPr>
            </w:pPr>
            <w:r>
              <w:rPr>
                <w:rFonts w:hint="eastAsia" w:hAnsi="宋体"/>
                <w:color w:val="auto"/>
                <w:sz w:val="21"/>
                <w:szCs w:val="21"/>
                <w:highlight w:val="none"/>
                <w:lang w:val="en-US" w:eastAsia="zh-CN"/>
              </w:rPr>
              <w:t>9.</w:t>
            </w:r>
            <w:r>
              <w:rPr>
                <w:rFonts w:hint="eastAsia" w:hAnsi="宋体"/>
                <w:color w:val="auto"/>
                <w:sz w:val="21"/>
                <w:szCs w:val="21"/>
                <w:highlight w:val="none"/>
              </w:rPr>
              <w:t>及时发现并制止破坏校区内各种设施的行为，保障各种设施及人员的生命财产安全，如因乙方原因造成事故，乙方承担全部责任；</w:t>
            </w:r>
          </w:p>
        </w:tc>
        <w:tc>
          <w:tcPr>
            <w:tcW w:w="1091" w:type="dxa"/>
            <w:tcBorders>
              <w:tl2br w:val="nil"/>
              <w:tr2bl w:val="nil"/>
            </w:tcBorders>
            <w:shd w:val="clear" w:color="auto" w:fill="FFFFFF"/>
            <w:noWrap w:val="0"/>
            <w:vAlign w:val="center"/>
          </w:tcPr>
          <w:p w14:paraId="3F279164">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10B2040D">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5291B0A0">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5ECA5D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33AA3781">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72F87050">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135E46CF">
            <w:pPr>
              <w:pStyle w:val="139"/>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ascii="宋体" w:hAnsi="宋体" w:eastAsia="宋体" w:cs="宋体"/>
                <w:b w:val="0"/>
                <w:color w:val="auto"/>
                <w:kern w:val="0"/>
                <w:sz w:val="21"/>
                <w:szCs w:val="21"/>
                <w:highlight w:val="none"/>
              </w:rPr>
            </w:pPr>
            <w:r>
              <w:rPr>
                <w:rFonts w:hint="eastAsia" w:hAnsi="宋体"/>
                <w:color w:val="auto"/>
                <w:sz w:val="21"/>
                <w:szCs w:val="21"/>
                <w:highlight w:val="none"/>
                <w:lang w:val="en-US" w:eastAsia="zh-CN"/>
              </w:rPr>
              <w:t>10.</w:t>
            </w:r>
            <w:r>
              <w:rPr>
                <w:rFonts w:hint="eastAsia" w:hAnsi="宋体"/>
                <w:color w:val="auto"/>
                <w:sz w:val="21"/>
                <w:szCs w:val="21"/>
                <w:highlight w:val="none"/>
              </w:rPr>
              <w:t>坚决制止违法犯罪行为和违反校园管理规定的不良行为，妥善处理治安问题，维护校园良好的治安秩序；</w:t>
            </w:r>
          </w:p>
        </w:tc>
        <w:tc>
          <w:tcPr>
            <w:tcW w:w="1091" w:type="dxa"/>
            <w:tcBorders>
              <w:tl2br w:val="nil"/>
              <w:tr2bl w:val="nil"/>
            </w:tcBorders>
            <w:shd w:val="clear" w:color="auto" w:fill="FFFFFF"/>
            <w:noWrap w:val="0"/>
            <w:vAlign w:val="center"/>
          </w:tcPr>
          <w:p w14:paraId="7CBD1D7F">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1421FECB">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0CCD4B13">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5B0F1E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3145965E">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67F50350">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728E7219">
            <w:pPr>
              <w:pStyle w:val="139"/>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ascii="宋体" w:hAnsi="宋体" w:eastAsia="宋体" w:cs="宋体"/>
                <w:b w:val="0"/>
                <w:color w:val="auto"/>
                <w:kern w:val="0"/>
                <w:sz w:val="21"/>
                <w:szCs w:val="21"/>
                <w:highlight w:val="none"/>
              </w:rPr>
            </w:pPr>
            <w:r>
              <w:rPr>
                <w:rFonts w:hint="eastAsia" w:hAnsi="宋体"/>
                <w:color w:val="auto"/>
                <w:sz w:val="21"/>
                <w:szCs w:val="21"/>
                <w:highlight w:val="none"/>
                <w:lang w:val="en-US" w:eastAsia="zh-CN"/>
              </w:rPr>
              <w:t>11.</w:t>
            </w:r>
            <w:r>
              <w:rPr>
                <w:rFonts w:hint="eastAsia" w:hAnsi="宋体"/>
                <w:color w:val="auto"/>
                <w:sz w:val="21"/>
                <w:szCs w:val="21"/>
                <w:highlight w:val="none"/>
              </w:rPr>
              <w:t>严格执行“四防”制度（防火、防盗、防破坏、防事故），对存在的不安全隐患要及时排除，难于排除的，应及时向学院后勤保卫处汇报，同时采取有效措施确保安全；</w:t>
            </w:r>
          </w:p>
        </w:tc>
        <w:tc>
          <w:tcPr>
            <w:tcW w:w="1091" w:type="dxa"/>
            <w:tcBorders>
              <w:tl2br w:val="nil"/>
              <w:tr2bl w:val="nil"/>
            </w:tcBorders>
            <w:shd w:val="clear" w:color="auto" w:fill="FFFFFF"/>
            <w:noWrap w:val="0"/>
            <w:vAlign w:val="center"/>
          </w:tcPr>
          <w:p w14:paraId="78DDACCB">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1DD08964">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5BCDC287">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4E6369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3B464638">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260FA5B0">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3E0F2DB5">
            <w:pPr>
              <w:pStyle w:val="139"/>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ascii="宋体" w:hAnsi="宋体" w:eastAsia="宋体" w:cs="宋体"/>
                <w:b w:val="0"/>
                <w:color w:val="auto"/>
                <w:kern w:val="0"/>
                <w:sz w:val="21"/>
                <w:szCs w:val="21"/>
                <w:highlight w:val="none"/>
              </w:rPr>
            </w:pPr>
            <w:r>
              <w:rPr>
                <w:rFonts w:hint="eastAsia" w:hAnsi="宋体"/>
                <w:color w:val="auto"/>
                <w:sz w:val="21"/>
                <w:szCs w:val="21"/>
                <w:highlight w:val="none"/>
                <w:lang w:val="en-US" w:eastAsia="zh-CN"/>
              </w:rPr>
              <w:t>12.</w:t>
            </w:r>
            <w:r>
              <w:rPr>
                <w:rFonts w:hint="eastAsia" w:hAnsi="宋体"/>
                <w:color w:val="auto"/>
                <w:sz w:val="21"/>
                <w:szCs w:val="21"/>
                <w:highlight w:val="none"/>
              </w:rPr>
              <w:t>对已发生的刑事、治安案件，及时向后勤保卫处及公安部门报告并保护案发现场，协助公安、保卫部门查处案件；</w:t>
            </w:r>
          </w:p>
        </w:tc>
        <w:tc>
          <w:tcPr>
            <w:tcW w:w="1091" w:type="dxa"/>
            <w:tcBorders>
              <w:tl2br w:val="nil"/>
              <w:tr2bl w:val="nil"/>
            </w:tcBorders>
            <w:shd w:val="clear" w:color="auto" w:fill="FFFFFF"/>
            <w:noWrap w:val="0"/>
            <w:vAlign w:val="center"/>
          </w:tcPr>
          <w:p w14:paraId="1E815761">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03F9ADDE">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38426D4E">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3755CE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25CC88C3">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03C8CBE7">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5BF5CCE8">
            <w:pPr>
              <w:pStyle w:val="139"/>
              <w:keepNext w:val="0"/>
              <w:keepLines w:val="0"/>
              <w:pageBreakBefore w:val="0"/>
              <w:numPr>
                <w:ilvl w:val="0"/>
                <w:numId w:val="0"/>
              </w:numPr>
              <w:kinsoku/>
              <w:wordWrap/>
              <w:overflowPunct/>
              <w:topLinePunct w:val="0"/>
              <w:bidi w:val="0"/>
              <w:adjustRightInd/>
              <w:snapToGrid/>
              <w:spacing w:line="15" w:lineRule="auto"/>
              <w:textAlignment w:val="auto"/>
              <w:rPr>
                <w:rFonts w:hint="eastAsia" w:ascii="宋体" w:hAnsi="宋体" w:eastAsia="宋体" w:cs="宋体"/>
                <w:b w:val="0"/>
                <w:color w:val="auto"/>
                <w:kern w:val="0"/>
                <w:sz w:val="21"/>
                <w:szCs w:val="21"/>
                <w:highlight w:val="none"/>
              </w:rPr>
            </w:pPr>
            <w:r>
              <w:rPr>
                <w:rFonts w:hint="eastAsia" w:hAnsi="宋体"/>
                <w:color w:val="auto"/>
                <w:sz w:val="21"/>
                <w:szCs w:val="21"/>
                <w:highlight w:val="none"/>
                <w:lang w:val="en-US" w:eastAsia="zh-CN"/>
              </w:rPr>
              <w:t>13.</w:t>
            </w:r>
            <w:r>
              <w:rPr>
                <w:rFonts w:hint="eastAsia" w:hAnsi="宋体"/>
                <w:color w:val="auto"/>
                <w:sz w:val="21"/>
                <w:szCs w:val="21"/>
                <w:highlight w:val="none"/>
              </w:rPr>
              <w:t>接受群众报案，凡涉及师生员工涉嫌违法，需送公安机关处理的，必须事先报告学院后勤保卫处。</w:t>
            </w:r>
          </w:p>
        </w:tc>
        <w:tc>
          <w:tcPr>
            <w:tcW w:w="1091" w:type="dxa"/>
            <w:tcBorders>
              <w:tl2br w:val="nil"/>
              <w:tr2bl w:val="nil"/>
            </w:tcBorders>
            <w:shd w:val="clear" w:color="auto" w:fill="FFFFFF"/>
            <w:noWrap w:val="0"/>
            <w:vAlign w:val="center"/>
          </w:tcPr>
          <w:p w14:paraId="2373ED88">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2AD4DA31">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4F281C3F">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6640A0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restart"/>
            <w:tcBorders>
              <w:tl2br w:val="nil"/>
              <w:tr2bl w:val="nil"/>
            </w:tcBorders>
            <w:shd w:val="clear" w:color="auto" w:fill="FFFFFF"/>
            <w:noWrap w:val="0"/>
            <w:vAlign w:val="top"/>
          </w:tcPr>
          <w:p w14:paraId="7917694B">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22EE93FE">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18C2DB8F">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33B8FFB1">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175B66F5">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69B2D4E5">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5FCE0733">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3CB8810B">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5BB31449">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eastAsia="宋体"/>
                <w:b w:val="0"/>
                <w:color w:val="auto"/>
                <w:highlight w:val="none"/>
                <w:lang w:val="en-US" w:eastAsia="zh-CN"/>
              </w:rPr>
            </w:pPr>
            <w:r>
              <w:rPr>
                <w:rFonts w:hint="eastAsia"/>
                <w:b w:val="0"/>
                <w:color w:val="auto"/>
                <w:highlight w:val="none"/>
                <w:lang w:val="en-US" w:eastAsia="zh-CN"/>
              </w:rPr>
              <w:t>2</w:t>
            </w:r>
          </w:p>
        </w:tc>
        <w:tc>
          <w:tcPr>
            <w:tcW w:w="1079" w:type="dxa"/>
            <w:vMerge w:val="restart"/>
            <w:tcBorders>
              <w:tl2br w:val="nil"/>
              <w:tr2bl w:val="nil"/>
            </w:tcBorders>
            <w:shd w:val="clear" w:color="auto" w:fill="FFFFFF"/>
            <w:noWrap w:val="0"/>
            <w:vAlign w:val="top"/>
          </w:tcPr>
          <w:p w14:paraId="25B6B881">
            <w:pPr>
              <w:pStyle w:val="139"/>
              <w:keepNext w:val="0"/>
              <w:keepLines w:val="0"/>
              <w:pageBreakBefore w:val="0"/>
              <w:numPr>
                <w:ilvl w:val="0"/>
                <w:numId w:val="0"/>
              </w:numPr>
              <w:kinsoku/>
              <w:wordWrap/>
              <w:overflowPunct/>
              <w:topLinePunct w:val="0"/>
              <w:bidi w:val="0"/>
              <w:adjustRightInd/>
              <w:snapToGrid/>
              <w:spacing w:line="15" w:lineRule="auto"/>
              <w:jc w:val="center"/>
              <w:textAlignment w:val="auto"/>
              <w:rPr>
                <w:rFonts w:hint="eastAsia" w:hAnsi="宋体"/>
                <w:color w:val="auto"/>
                <w:sz w:val="21"/>
                <w:szCs w:val="21"/>
                <w:highlight w:val="none"/>
              </w:rPr>
            </w:pPr>
          </w:p>
          <w:p w14:paraId="1FF3BB60">
            <w:pPr>
              <w:pStyle w:val="139"/>
              <w:keepNext w:val="0"/>
              <w:keepLines w:val="0"/>
              <w:pageBreakBefore w:val="0"/>
              <w:numPr>
                <w:ilvl w:val="0"/>
                <w:numId w:val="0"/>
              </w:numPr>
              <w:kinsoku/>
              <w:wordWrap/>
              <w:overflowPunct/>
              <w:topLinePunct w:val="0"/>
              <w:bidi w:val="0"/>
              <w:adjustRightInd/>
              <w:snapToGrid/>
              <w:spacing w:line="15" w:lineRule="auto"/>
              <w:jc w:val="center"/>
              <w:textAlignment w:val="auto"/>
              <w:rPr>
                <w:rFonts w:hint="eastAsia" w:hAnsi="宋体"/>
                <w:color w:val="auto"/>
                <w:sz w:val="21"/>
                <w:szCs w:val="21"/>
                <w:highlight w:val="none"/>
              </w:rPr>
            </w:pPr>
          </w:p>
          <w:p w14:paraId="4DC603A1">
            <w:pPr>
              <w:pStyle w:val="139"/>
              <w:keepNext w:val="0"/>
              <w:keepLines w:val="0"/>
              <w:pageBreakBefore w:val="0"/>
              <w:numPr>
                <w:ilvl w:val="0"/>
                <w:numId w:val="0"/>
              </w:numPr>
              <w:kinsoku/>
              <w:wordWrap/>
              <w:overflowPunct/>
              <w:topLinePunct w:val="0"/>
              <w:bidi w:val="0"/>
              <w:adjustRightInd/>
              <w:snapToGrid/>
              <w:spacing w:line="15" w:lineRule="auto"/>
              <w:jc w:val="center"/>
              <w:textAlignment w:val="auto"/>
              <w:rPr>
                <w:rFonts w:hint="eastAsia" w:hAnsi="宋体"/>
                <w:color w:val="auto"/>
                <w:sz w:val="21"/>
                <w:szCs w:val="21"/>
                <w:highlight w:val="none"/>
              </w:rPr>
            </w:pPr>
          </w:p>
          <w:p w14:paraId="71A13583">
            <w:pPr>
              <w:pStyle w:val="139"/>
              <w:keepNext w:val="0"/>
              <w:keepLines w:val="0"/>
              <w:pageBreakBefore w:val="0"/>
              <w:numPr>
                <w:ilvl w:val="0"/>
                <w:numId w:val="0"/>
              </w:numPr>
              <w:kinsoku/>
              <w:wordWrap/>
              <w:overflowPunct/>
              <w:topLinePunct w:val="0"/>
              <w:bidi w:val="0"/>
              <w:adjustRightInd/>
              <w:snapToGrid/>
              <w:spacing w:line="15" w:lineRule="auto"/>
              <w:jc w:val="center"/>
              <w:textAlignment w:val="auto"/>
              <w:rPr>
                <w:rFonts w:hint="eastAsia" w:hAnsi="宋体"/>
                <w:color w:val="auto"/>
                <w:sz w:val="21"/>
                <w:szCs w:val="21"/>
                <w:highlight w:val="none"/>
              </w:rPr>
            </w:pPr>
          </w:p>
          <w:p w14:paraId="0A8023E6">
            <w:pPr>
              <w:pStyle w:val="139"/>
              <w:keepNext w:val="0"/>
              <w:keepLines w:val="0"/>
              <w:pageBreakBefore w:val="0"/>
              <w:numPr>
                <w:ilvl w:val="0"/>
                <w:numId w:val="0"/>
              </w:numPr>
              <w:kinsoku/>
              <w:wordWrap/>
              <w:overflowPunct/>
              <w:topLinePunct w:val="0"/>
              <w:bidi w:val="0"/>
              <w:adjustRightInd/>
              <w:snapToGrid/>
              <w:spacing w:line="15" w:lineRule="auto"/>
              <w:jc w:val="center"/>
              <w:textAlignment w:val="auto"/>
              <w:rPr>
                <w:rFonts w:hint="eastAsia" w:hAnsi="宋体"/>
                <w:color w:val="auto"/>
                <w:sz w:val="21"/>
                <w:szCs w:val="21"/>
                <w:highlight w:val="none"/>
              </w:rPr>
            </w:pPr>
          </w:p>
          <w:p w14:paraId="3ED24B6C">
            <w:pPr>
              <w:pStyle w:val="139"/>
              <w:keepNext w:val="0"/>
              <w:keepLines w:val="0"/>
              <w:pageBreakBefore w:val="0"/>
              <w:numPr>
                <w:ilvl w:val="0"/>
                <w:numId w:val="0"/>
              </w:numPr>
              <w:kinsoku/>
              <w:wordWrap/>
              <w:overflowPunct/>
              <w:topLinePunct w:val="0"/>
              <w:bidi w:val="0"/>
              <w:adjustRightInd/>
              <w:snapToGrid/>
              <w:spacing w:line="15" w:lineRule="auto"/>
              <w:jc w:val="center"/>
              <w:textAlignment w:val="auto"/>
              <w:rPr>
                <w:rFonts w:hint="eastAsia" w:hAnsi="宋体"/>
                <w:color w:val="auto"/>
                <w:sz w:val="21"/>
                <w:szCs w:val="21"/>
                <w:highlight w:val="none"/>
              </w:rPr>
            </w:pPr>
          </w:p>
          <w:p w14:paraId="6033A036">
            <w:pPr>
              <w:pStyle w:val="139"/>
              <w:keepNext w:val="0"/>
              <w:keepLines w:val="0"/>
              <w:pageBreakBefore w:val="0"/>
              <w:numPr>
                <w:ilvl w:val="0"/>
                <w:numId w:val="0"/>
              </w:numPr>
              <w:kinsoku/>
              <w:wordWrap/>
              <w:overflowPunct/>
              <w:topLinePunct w:val="0"/>
              <w:bidi w:val="0"/>
              <w:adjustRightInd/>
              <w:snapToGrid/>
              <w:spacing w:line="15" w:lineRule="auto"/>
              <w:jc w:val="center"/>
              <w:textAlignment w:val="auto"/>
              <w:rPr>
                <w:rFonts w:hint="eastAsia" w:hAnsi="宋体"/>
                <w:color w:val="auto"/>
                <w:sz w:val="21"/>
                <w:szCs w:val="21"/>
                <w:highlight w:val="none"/>
              </w:rPr>
            </w:pPr>
            <w:r>
              <w:rPr>
                <w:rFonts w:hint="eastAsia" w:hAnsi="宋体"/>
                <w:color w:val="auto"/>
                <w:sz w:val="21"/>
                <w:szCs w:val="21"/>
                <w:highlight w:val="none"/>
              </w:rPr>
              <w:t>消防管理</w:t>
            </w:r>
          </w:p>
          <w:p w14:paraId="68C37760">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13143271">
            <w:pPr>
              <w:pStyle w:val="139"/>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1.</w:t>
            </w:r>
            <w:r>
              <w:rPr>
                <w:rFonts w:hint="eastAsia" w:hAnsi="宋体"/>
                <w:color w:val="auto"/>
                <w:sz w:val="21"/>
                <w:szCs w:val="21"/>
                <w:highlight w:val="none"/>
              </w:rPr>
              <w:t>负责</w:t>
            </w:r>
            <w:r>
              <w:rPr>
                <w:rFonts w:hint="eastAsia" w:hAnsi="宋体"/>
                <w:color w:val="auto"/>
                <w:sz w:val="21"/>
                <w:szCs w:val="21"/>
                <w:highlight w:val="none"/>
                <w:lang w:eastAsia="zh-CN"/>
              </w:rPr>
              <w:t>校</w:t>
            </w:r>
            <w:r>
              <w:rPr>
                <w:rFonts w:hint="eastAsia" w:hAnsi="宋体"/>
                <w:color w:val="auto"/>
                <w:sz w:val="21"/>
                <w:szCs w:val="21"/>
                <w:highlight w:val="none"/>
              </w:rPr>
              <w:t>方的全部消防设施、设备的使用、管理及火灾的报警和救助工作，并制定较为完善的消防应急方案。</w:t>
            </w:r>
          </w:p>
        </w:tc>
        <w:tc>
          <w:tcPr>
            <w:tcW w:w="1091" w:type="dxa"/>
            <w:tcBorders>
              <w:tl2br w:val="nil"/>
              <w:tr2bl w:val="nil"/>
            </w:tcBorders>
            <w:shd w:val="clear" w:color="auto" w:fill="FFFFFF"/>
            <w:noWrap w:val="0"/>
            <w:vAlign w:val="center"/>
          </w:tcPr>
          <w:p w14:paraId="29716A4B">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42C223EC">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6E7ED970">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677F92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3B76FD11">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5850EF4C">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3A88D100">
            <w:pPr>
              <w:pStyle w:val="139"/>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2.</w:t>
            </w:r>
            <w:r>
              <w:rPr>
                <w:rFonts w:hint="eastAsia" w:hAnsi="宋体"/>
                <w:color w:val="auto"/>
                <w:sz w:val="21"/>
                <w:szCs w:val="21"/>
                <w:highlight w:val="none"/>
              </w:rPr>
              <w:t>认真贯彻“安全第一，预防为主”的方针，设立消防组织机构、职责、规章制度和工作程序，落实各级消防责任人。全面熟练掌握消防报警、干式灭火（气体）、湿式灭火（喷淋）、防排烟及消防栓五个系统的作用、位置和操作方法。</w:t>
            </w:r>
          </w:p>
        </w:tc>
        <w:tc>
          <w:tcPr>
            <w:tcW w:w="1091" w:type="dxa"/>
            <w:tcBorders>
              <w:tl2br w:val="nil"/>
              <w:tr2bl w:val="nil"/>
            </w:tcBorders>
            <w:shd w:val="clear" w:color="auto" w:fill="FFFFFF"/>
            <w:noWrap w:val="0"/>
            <w:vAlign w:val="center"/>
          </w:tcPr>
          <w:p w14:paraId="68600A67">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09F835E6">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1945FAC5">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6AF6B3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7729F888">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649390F8">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7C2FF621">
            <w:pPr>
              <w:pStyle w:val="139"/>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3.</w:t>
            </w:r>
            <w:r>
              <w:rPr>
                <w:rFonts w:hint="eastAsia" w:hAnsi="宋体"/>
                <w:color w:val="auto"/>
                <w:sz w:val="21"/>
                <w:szCs w:val="21"/>
                <w:highlight w:val="none"/>
              </w:rPr>
              <w:t>按公共建筑消防管理规定，负责对消防设备和设施的保养，定期和不定期进行全面检查，确保消防设备和设施随时处于正常工作状态。乙方须负责消防系统的各项巡检工作，做好消防巡检工作记录，并将记录资料和检测结果提供给甲方备案。办公区域和公共区域配装的各种灭火器材、防毒面具、烟感、喷淋设施以及楼梯、走道和出口的安全疏散指示、应急照明、通风设施等由乙方负责日常检查，</w:t>
            </w:r>
            <w:r>
              <w:rPr>
                <w:rFonts w:hint="eastAsia" w:hAnsi="宋体"/>
                <w:color w:val="auto"/>
                <w:sz w:val="21"/>
                <w:szCs w:val="21"/>
                <w:highlight w:val="none"/>
                <w:lang w:eastAsia="zh-CN"/>
              </w:rPr>
              <w:t>校</w:t>
            </w:r>
            <w:r>
              <w:rPr>
                <w:rFonts w:hint="eastAsia" w:hAnsi="宋体"/>
                <w:color w:val="auto"/>
                <w:sz w:val="21"/>
                <w:szCs w:val="21"/>
                <w:highlight w:val="none"/>
              </w:rPr>
              <w:t>方负责维修、补充。</w:t>
            </w:r>
          </w:p>
        </w:tc>
        <w:tc>
          <w:tcPr>
            <w:tcW w:w="1091" w:type="dxa"/>
            <w:tcBorders>
              <w:tl2br w:val="nil"/>
              <w:tr2bl w:val="nil"/>
            </w:tcBorders>
            <w:shd w:val="clear" w:color="auto" w:fill="FFFFFF"/>
            <w:noWrap w:val="0"/>
            <w:vAlign w:val="center"/>
          </w:tcPr>
          <w:p w14:paraId="227100EF">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316AE10C">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57F4597A">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685C61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09D3D03B">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0F4F051D">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0B345F6A">
            <w:pPr>
              <w:pStyle w:val="139"/>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4.</w:t>
            </w:r>
            <w:r>
              <w:rPr>
                <w:rFonts w:hint="eastAsia" w:hAnsi="宋体"/>
                <w:color w:val="auto"/>
                <w:sz w:val="21"/>
                <w:szCs w:val="21"/>
                <w:highlight w:val="none"/>
              </w:rPr>
              <w:t>全天24小时消防中心设人值班，24小时消防主机监管。出现消防报警时1分钟辨别消防报警的信息，5分钟后到达报警点。</w:t>
            </w:r>
          </w:p>
        </w:tc>
        <w:tc>
          <w:tcPr>
            <w:tcW w:w="1091" w:type="dxa"/>
            <w:tcBorders>
              <w:tl2br w:val="nil"/>
              <w:tr2bl w:val="nil"/>
            </w:tcBorders>
            <w:shd w:val="clear" w:color="auto" w:fill="FFFFFF"/>
            <w:noWrap w:val="0"/>
            <w:vAlign w:val="center"/>
          </w:tcPr>
          <w:p w14:paraId="360099F6">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0B0ADAA3">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7196EF3F">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7AF513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7FF1E2EE">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44666E8A">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25369924">
            <w:pPr>
              <w:pStyle w:val="139"/>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5.</w:t>
            </w:r>
            <w:r>
              <w:rPr>
                <w:rFonts w:hint="eastAsia" w:hAnsi="宋体"/>
                <w:color w:val="auto"/>
                <w:sz w:val="21"/>
                <w:szCs w:val="21"/>
                <w:highlight w:val="none"/>
              </w:rPr>
              <w:t>建立义务消防队伍，出现消防事故5分钟内应有5人以上到达现场，进行必要的扑救。</w:t>
            </w:r>
          </w:p>
        </w:tc>
        <w:tc>
          <w:tcPr>
            <w:tcW w:w="1091" w:type="dxa"/>
            <w:tcBorders>
              <w:tl2br w:val="nil"/>
              <w:tr2bl w:val="nil"/>
            </w:tcBorders>
            <w:shd w:val="clear" w:color="auto" w:fill="FFFFFF"/>
            <w:noWrap w:val="0"/>
            <w:vAlign w:val="center"/>
          </w:tcPr>
          <w:p w14:paraId="1FF62D13">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456FC9B7">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2377B1C1">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2986C1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68FA32F9">
            <w:pPr>
              <w:pStyle w:val="44"/>
              <w:keepNext w:val="0"/>
              <w:keepLines w:val="0"/>
              <w:pageBreakBefore w:val="0"/>
              <w:kinsoku/>
              <w:wordWrap/>
              <w:overflowPunct/>
              <w:topLinePunct w:val="0"/>
              <w:bidi w:val="0"/>
              <w:adjustRightInd/>
              <w:snapToGrid/>
              <w:spacing w:line="15" w:lineRule="auto"/>
              <w:ind w:left="0" w:leftChars="0" w:firstLine="0" w:firstLineChars="0"/>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045B830B">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318C3059">
            <w:pPr>
              <w:pStyle w:val="139"/>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6.</w:t>
            </w:r>
            <w:r>
              <w:rPr>
                <w:rFonts w:hint="eastAsia" w:hAnsi="宋体"/>
                <w:color w:val="auto"/>
                <w:sz w:val="21"/>
                <w:szCs w:val="21"/>
                <w:highlight w:val="none"/>
              </w:rPr>
              <w:t>每周进行一次全部消防设备、设施巡视检查工作，并做好记录，及时整改火险隐患，监控动火和易燃易爆用品存放情况，保持消防区及楼梯走道和出口畅通。重大节日或活动前配合</w:t>
            </w:r>
            <w:r>
              <w:rPr>
                <w:rFonts w:hint="eastAsia" w:hAnsi="宋体"/>
                <w:color w:val="auto"/>
                <w:sz w:val="21"/>
                <w:szCs w:val="21"/>
                <w:highlight w:val="none"/>
                <w:lang w:eastAsia="zh-CN"/>
              </w:rPr>
              <w:t>校</w:t>
            </w:r>
            <w:r>
              <w:rPr>
                <w:rFonts w:hint="eastAsia" w:hAnsi="宋体"/>
                <w:color w:val="auto"/>
                <w:sz w:val="21"/>
                <w:szCs w:val="21"/>
                <w:highlight w:val="none"/>
              </w:rPr>
              <w:t>方进行节日消防安全大检查，并按</w:t>
            </w:r>
            <w:r>
              <w:rPr>
                <w:rFonts w:hint="eastAsia" w:hAnsi="宋体"/>
                <w:color w:val="auto"/>
                <w:sz w:val="21"/>
                <w:szCs w:val="21"/>
                <w:highlight w:val="none"/>
                <w:lang w:eastAsia="zh-CN"/>
              </w:rPr>
              <w:t>校</w:t>
            </w:r>
            <w:r>
              <w:rPr>
                <w:rFonts w:hint="eastAsia" w:hAnsi="宋体"/>
                <w:color w:val="auto"/>
                <w:sz w:val="21"/>
                <w:szCs w:val="21"/>
                <w:highlight w:val="none"/>
              </w:rPr>
              <w:t>方要求及时进行整改。</w:t>
            </w:r>
          </w:p>
        </w:tc>
        <w:tc>
          <w:tcPr>
            <w:tcW w:w="1091" w:type="dxa"/>
            <w:tcBorders>
              <w:tl2br w:val="nil"/>
              <w:tr2bl w:val="nil"/>
            </w:tcBorders>
            <w:shd w:val="clear" w:color="auto" w:fill="FFFFFF"/>
            <w:noWrap w:val="0"/>
            <w:vAlign w:val="center"/>
          </w:tcPr>
          <w:p w14:paraId="686B039F">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05B4EB49">
            <w:pPr>
              <w:keepNext w:val="0"/>
              <w:keepLines w:val="0"/>
              <w:pageBreakBefore w:val="0"/>
              <w:kinsoku/>
              <w:wordWrap/>
              <w:overflowPunct/>
              <w:topLinePunct w:val="0"/>
              <w:autoSpaceDE/>
              <w:autoSpaceDN/>
              <w:bidi w:val="0"/>
              <w:adjustRightInd/>
              <w:snapToGrid/>
              <w:spacing w:line="15" w:lineRule="auto"/>
              <w:jc w:val="both"/>
              <w:textAlignment w:val="auto"/>
              <w:rPr>
                <w:b w:val="0"/>
                <w:color w:val="auto"/>
                <w:highlight w:val="none"/>
              </w:rPr>
            </w:pPr>
          </w:p>
        </w:tc>
        <w:tc>
          <w:tcPr>
            <w:tcW w:w="1809" w:type="dxa"/>
            <w:tcBorders>
              <w:tl2br w:val="nil"/>
              <w:tr2bl w:val="nil"/>
            </w:tcBorders>
            <w:shd w:val="clear" w:color="auto" w:fill="FFFFFF"/>
            <w:noWrap w:val="0"/>
            <w:vAlign w:val="center"/>
          </w:tcPr>
          <w:p w14:paraId="05DF3C91">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47FFCE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5919815E">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3C830C78">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6A4D66F5">
            <w:pPr>
              <w:pStyle w:val="139"/>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7.</w:t>
            </w:r>
            <w:r>
              <w:rPr>
                <w:rFonts w:hint="eastAsia" w:hAnsi="宋体"/>
                <w:color w:val="auto"/>
                <w:sz w:val="21"/>
                <w:szCs w:val="21"/>
                <w:highlight w:val="none"/>
              </w:rPr>
              <w:t>做好其它防火灭火工作及消防配套设施的维护。</w:t>
            </w:r>
          </w:p>
        </w:tc>
        <w:tc>
          <w:tcPr>
            <w:tcW w:w="1091" w:type="dxa"/>
            <w:tcBorders>
              <w:tl2br w:val="nil"/>
              <w:tr2bl w:val="nil"/>
            </w:tcBorders>
            <w:shd w:val="clear" w:color="auto" w:fill="FFFFFF"/>
            <w:noWrap w:val="0"/>
            <w:vAlign w:val="center"/>
          </w:tcPr>
          <w:p w14:paraId="1F99A9B5">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7A252F7C">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0D500E08">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3662FB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restart"/>
            <w:tcBorders>
              <w:tl2br w:val="nil"/>
              <w:tr2bl w:val="nil"/>
            </w:tcBorders>
            <w:shd w:val="clear" w:color="auto" w:fill="FFFFFF"/>
            <w:noWrap w:val="0"/>
            <w:vAlign w:val="top"/>
          </w:tcPr>
          <w:p w14:paraId="1B6DA4A6">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57B8999E">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35A8A500">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627DA4FD">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4ECDE75B">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43026110">
            <w:pPr>
              <w:keepNext w:val="0"/>
              <w:keepLines w:val="0"/>
              <w:pageBreakBefore w:val="0"/>
              <w:kinsoku/>
              <w:wordWrap/>
              <w:overflowPunct/>
              <w:topLinePunct w:val="0"/>
              <w:autoSpaceDE/>
              <w:autoSpaceDN/>
              <w:bidi w:val="0"/>
              <w:adjustRightInd/>
              <w:snapToGrid/>
              <w:spacing w:line="15" w:lineRule="auto"/>
              <w:ind w:firstLine="210" w:firstLineChars="100"/>
              <w:jc w:val="both"/>
              <w:textAlignment w:val="auto"/>
              <w:rPr>
                <w:rFonts w:hint="eastAsia" w:eastAsia="宋体"/>
                <w:b w:val="0"/>
                <w:color w:val="auto"/>
                <w:highlight w:val="none"/>
                <w:lang w:val="en-US" w:eastAsia="zh-CN"/>
              </w:rPr>
            </w:pPr>
            <w:r>
              <w:rPr>
                <w:rFonts w:hint="eastAsia"/>
                <w:b w:val="0"/>
                <w:color w:val="auto"/>
                <w:highlight w:val="none"/>
                <w:lang w:val="en-US" w:eastAsia="zh-CN"/>
              </w:rPr>
              <w:t>3</w:t>
            </w:r>
          </w:p>
        </w:tc>
        <w:tc>
          <w:tcPr>
            <w:tcW w:w="1079" w:type="dxa"/>
            <w:vMerge w:val="restart"/>
            <w:tcBorders>
              <w:tl2br w:val="nil"/>
              <w:tr2bl w:val="nil"/>
            </w:tcBorders>
            <w:shd w:val="clear" w:color="auto" w:fill="FFFFFF"/>
            <w:noWrap w:val="0"/>
            <w:vAlign w:val="top"/>
          </w:tcPr>
          <w:p w14:paraId="0E2A118A">
            <w:pPr>
              <w:pStyle w:val="139"/>
              <w:keepNext w:val="0"/>
              <w:keepLines w:val="0"/>
              <w:pageBreakBefore w:val="0"/>
              <w:numPr>
                <w:ilvl w:val="0"/>
                <w:numId w:val="0"/>
              </w:numPr>
              <w:kinsoku/>
              <w:wordWrap/>
              <w:overflowPunct/>
              <w:topLinePunct w:val="0"/>
              <w:bidi w:val="0"/>
              <w:adjustRightInd/>
              <w:snapToGrid/>
              <w:spacing w:line="15" w:lineRule="auto"/>
              <w:jc w:val="center"/>
              <w:textAlignment w:val="auto"/>
              <w:rPr>
                <w:rFonts w:hint="eastAsia" w:hAnsi="宋体"/>
                <w:color w:val="auto"/>
                <w:sz w:val="21"/>
                <w:szCs w:val="21"/>
                <w:highlight w:val="none"/>
              </w:rPr>
            </w:pPr>
          </w:p>
          <w:p w14:paraId="66ACBD48">
            <w:pPr>
              <w:pStyle w:val="139"/>
              <w:keepNext w:val="0"/>
              <w:keepLines w:val="0"/>
              <w:pageBreakBefore w:val="0"/>
              <w:numPr>
                <w:ilvl w:val="0"/>
                <w:numId w:val="0"/>
              </w:numPr>
              <w:kinsoku/>
              <w:wordWrap/>
              <w:overflowPunct/>
              <w:topLinePunct w:val="0"/>
              <w:bidi w:val="0"/>
              <w:adjustRightInd/>
              <w:snapToGrid/>
              <w:spacing w:line="15" w:lineRule="auto"/>
              <w:jc w:val="center"/>
              <w:textAlignment w:val="auto"/>
              <w:rPr>
                <w:rFonts w:hint="eastAsia" w:hAnsi="宋体"/>
                <w:color w:val="auto"/>
                <w:sz w:val="21"/>
                <w:szCs w:val="21"/>
                <w:highlight w:val="none"/>
              </w:rPr>
            </w:pPr>
          </w:p>
          <w:p w14:paraId="0FF864FF">
            <w:pPr>
              <w:pStyle w:val="139"/>
              <w:keepNext w:val="0"/>
              <w:keepLines w:val="0"/>
              <w:pageBreakBefore w:val="0"/>
              <w:numPr>
                <w:ilvl w:val="0"/>
                <w:numId w:val="0"/>
              </w:numPr>
              <w:kinsoku/>
              <w:wordWrap/>
              <w:overflowPunct/>
              <w:topLinePunct w:val="0"/>
              <w:bidi w:val="0"/>
              <w:adjustRightInd/>
              <w:snapToGrid/>
              <w:spacing w:line="15" w:lineRule="auto"/>
              <w:jc w:val="center"/>
              <w:textAlignment w:val="auto"/>
              <w:rPr>
                <w:rFonts w:hint="eastAsia" w:hAnsi="宋体"/>
                <w:color w:val="auto"/>
                <w:sz w:val="21"/>
                <w:szCs w:val="21"/>
                <w:highlight w:val="none"/>
              </w:rPr>
            </w:pPr>
          </w:p>
          <w:p w14:paraId="5B58859F">
            <w:pPr>
              <w:pStyle w:val="139"/>
              <w:keepNext w:val="0"/>
              <w:keepLines w:val="0"/>
              <w:pageBreakBefore w:val="0"/>
              <w:numPr>
                <w:ilvl w:val="0"/>
                <w:numId w:val="0"/>
              </w:numPr>
              <w:kinsoku/>
              <w:wordWrap/>
              <w:overflowPunct/>
              <w:topLinePunct w:val="0"/>
              <w:bidi w:val="0"/>
              <w:adjustRightInd/>
              <w:snapToGrid/>
              <w:spacing w:line="15" w:lineRule="auto"/>
              <w:jc w:val="center"/>
              <w:textAlignment w:val="auto"/>
              <w:rPr>
                <w:rFonts w:hint="eastAsia" w:hAnsi="宋体"/>
                <w:color w:val="auto"/>
                <w:sz w:val="21"/>
                <w:szCs w:val="21"/>
                <w:highlight w:val="none"/>
              </w:rPr>
            </w:pPr>
          </w:p>
          <w:p w14:paraId="6FAAD824">
            <w:pPr>
              <w:pStyle w:val="139"/>
              <w:keepNext w:val="0"/>
              <w:keepLines w:val="0"/>
              <w:pageBreakBefore w:val="0"/>
              <w:numPr>
                <w:ilvl w:val="0"/>
                <w:numId w:val="0"/>
              </w:numPr>
              <w:kinsoku/>
              <w:wordWrap/>
              <w:overflowPunct/>
              <w:topLinePunct w:val="0"/>
              <w:bidi w:val="0"/>
              <w:adjustRightInd/>
              <w:snapToGrid/>
              <w:spacing w:line="15" w:lineRule="auto"/>
              <w:jc w:val="center"/>
              <w:textAlignment w:val="auto"/>
              <w:rPr>
                <w:rFonts w:hint="eastAsia" w:hAnsi="宋体"/>
                <w:color w:val="auto"/>
                <w:sz w:val="21"/>
                <w:szCs w:val="21"/>
                <w:highlight w:val="none"/>
              </w:rPr>
            </w:pPr>
            <w:r>
              <w:rPr>
                <w:rFonts w:hint="eastAsia" w:hAnsi="宋体"/>
                <w:color w:val="auto"/>
                <w:sz w:val="21"/>
                <w:szCs w:val="21"/>
                <w:highlight w:val="none"/>
              </w:rPr>
              <w:t>校园秩</w:t>
            </w:r>
          </w:p>
          <w:p w14:paraId="6C557223">
            <w:pPr>
              <w:pStyle w:val="139"/>
              <w:keepNext w:val="0"/>
              <w:keepLines w:val="0"/>
              <w:pageBreakBefore w:val="0"/>
              <w:numPr>
                <w:ilvl w:val="0"/>
                <w:numId w:val="0"/>
              </w:numPr>
              <w:kinsoku/>
              <w:wordWrap/>
              <w:overflowPunct/>
              <w:topLinePunct w:val="0"/>
              <w:bidi w:val="0"/>
              <w:adjustRightInd/>
              <w:snapToGrid/>
              <w:spacing w:line="15" w:lineRule="auto"/>
              <w:jc w:val="center"/>
              <w:textAlignment w:val="auto"/>
              <w:rPr>
                <w:rFonts w:hint="eastAsia" w:hAnsi="宋体"/>
                <w:color w:val="auto"/>
                <w:sz w:val="21"/>
                <w:szCs w:val="21"/>
                <w:highlight w:val="none"/>
              </w:rPr>
            </w:pPr>
            <w:r>
              <w:rPr>
                <w:rFonts w:hint="eastAsia" w:hAnsi="宋体"/>
                <w:color w:val="auto"/>
                <w:sz w:val="21"/>
                <w:szCs w:val="21"/>
                <w:highlight w:val="none"/>
              </w:rPr>
              <w:t>序管理</w:t>
            </w:r>
          </w:p>
          <w:p w14:paraId="697D91AB">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0AC47D56">
            <w:pPr>
              <w:pStyle w:val="139"/>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1.</w:t>
            </w:r>
            <w:r>
              <w:rPr>
                <w:rFonts w:hint="eastAsia" w:hAnsi="宋体"/>
                <w:color w:val="auto"/>
                <w:sz w:val="21"/>
                <w:szCs w:val="21"/>
                <w:highlight w:val="none"/>
              </w:rPr>
              <w:t>及时制止送外卖、乱摆卖、乱张贴、乱涂画、乱丢乱扔、乱拉乱接、攀树摘果、践踏草坪，以及在湖泊捉鱼捕鱼、戏水等现象；</w:t>
            </w:r>
          </w:p>
        </w:tc>
        <w:tc>
          <w:tcPr>
            <w:tcW w:w="1091" w:type="dxa"/>
            <w:tcBorders>
              <w:tl2br w:val="nil"/>
              <w:tr2bl w:val="nil"/>
            </w:tcBorders>
            <w:shd w:val="clear" w:color="auto" w:fill="FFFFFF"/>
            <w:noWrap w:val="0"/>
            <w:vAlign w:val="center"/>
          </w:tcPr>
          <w:p w14:paraId="42C3F773">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65556F52">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4917A601">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386222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55163977">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13B5D445">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4A051443">
            <w:pPr>
              <w:pStyle w:val="139"/>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2.</w:t>
            </w:r>
            <w:r>
              <w:rPr>
                <w:rFonts w:hint="eastAsia" w:hAnsi="宋体"/>
                <w:color w:val="auto"/>
                <w:sz w:val="21"/>
                <w:szCs w:val="21"/>
                <w:highlight w:val="none"/>
              </w:rPr>
              <w:t>发现非法活动应及时报告后勤保卫处，并协助取证、收缴违法宣传品；</w:t>
            </w:r>
          </w:p>
        </w:tc>
        <w:tc>
          <w:tcPr>
            <w:tcW w:w="1091" w:type="dxa"/>
            <w:tcBorders>
              <w:tl2br w:val="nil"/>
              <w:tr2bl w:val="nil"/>
            </w:tcBorders>
            <w:shd w:val="clear" w:color="auto" w:fill="FFFFFF"/>
            <w:noWrap w:val="0"/>
            <w:vAlign w:val="center"/>
          </w:tcPr>
          <w:p w14:paraId="432C18C3">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7C19B06A">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4C538611">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7AA2A1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0D8DD6CD">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172B1195">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6DCBD441">
            <w:pPr>
              <w:pStyle w:val="139"/>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3.</w:t>
            </w:r>
            <w:r>
              <w:rPr>
                <w:rFonts w:hint="eastAsia" w:hAnsi="宋体"/>
                <w:color w:val="auto"/>
                <w:sz w:val="21"/>
                <w:szCs w:val="21"/>
                <w:highlight w:val="none"/>
              </w:rPr>
              <w:t>做好学校大型校事、外事活动的安全保卫工作（治安防范、交通安全、防火安全），完成学校职能部门交办的各项安全防范工作；</w:t>
            </w:r>
          </w:p>
        </w:tc>
        <w:tc>
          <w:tcPr>
            <w:tcW w:w="1091" w:type="dxa"/>
            <w:tcBorders>
              <w:tl2br w:val="nil"/>
              <w:tr2bl w:val="nil"/>
            </w:tcBorders>
            <w:shd w:val="clear" w:color="auto" w:fill="FFFFFF"/>
            <w:noWrap w:val="0"/>
            <w:vAlign w:val="center"/>
          </w:tcPr>
          <w:p w14:paraId="26CD9BDC">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00022C40">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56281155">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4D2F81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3DBE2FBB">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296CCE4D">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5942C9F6">
            <w:pPr>
              <w:pStyle w:val="139"/>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4.</w:t>
            </w:r>
            <w:r>
              <w:rPr>
                <w:rFonts w:hint="eastAsia" w:hAnsi="宋体"/>
                <w:color w:val="auto"/>
                <w:sz w:val="21"/>
                <w:szCs w:val="21"/>
                <w:highlight w:val="none"/>
              </w:rPr>
              <w:t>协助做好校区维稳、防范突发事件等方面的专项工作。出现事故或突发事件应在接报后5分钟内到达现场处理，并及时报告后勤保卫处；</w:t>
            </w:r>
          </w:p>
        </w:tc>
        <w:tc>
          <w:tcPr>
            <w:tcW w:w="1091" w:type="dxa"/>
            <w:tcBorders>
              <w:tl2br w:val="nil"/>
              <w:tr2bl w:val="nil"/>
            </w:tcBorders>
            <w:shd w:val="clear" w:color="auto" w:fill="FFFFFF"/>
            <w:noWrap w:val="0"/>
            <w:vAlign w:val="center"/>
          </w:tcPr>
          <w:p w14:paraId="2B1163A6">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67428D1C">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307A0E02">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65C634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092583D1">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1411C49D">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5F6660E6">
            <w:pPr>
              <w:pStyle w:val="139"/>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5.</w:t>
            </w:r>
            <w:r>
              <w:rPr>
                <w:rFonts w:hint="eastAsia" w:hAnsi="宋体"/>
                <w:color w:val="auto"/>
                <w:sz w:val="21"/>
                <w:szCs w:val="21"/>
                <w:highlight w:val="none"/>
              </w:rPr>
              <w:t>协助学院开展治安防范、交通、消防安全等方面宣传、教育工作；</w:t>
            </w:r>
          </w:p>
        </w:tc>
        <w:tc>
          <w:tcPr>
            <w:tcW w:w="1091" w:type="dxa"/>
            <w:tcBorders>
              <w:tl2br w:val="nil"/>
              <w:tr2bl w:val="nil"/>
            </w:tcBorders>
            <w:shd w:val="clear" w:color="auto" w:fill="FFFFFF"/>
            <w:noWrap w:val="0"/>
            <w:vAlign w:val="center"/>
          </w:tcPr>
          <w:p w14:paraId="58489C88">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25FB67BA">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09918D19">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2CE1B2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7CB9E4E6">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554145F2">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2A423227">
            <w:pPr>
              <w:pStyle w:val="139"/>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6.</w:t>
            </w:r>
            <w:r>
              <w:rPr>
                <w:rFonts w:hint="eastAsia" w:hAnsi="宋体"/>
                <w:color w:val="auto"/>
                <w:sz w:val="21"/>
                <w:szCs w:val="21"/>
                <w:highlight w:val="none"/>
              </w:rPr>
              <w:t>接受公安机关、政府有关管理部门的业务检查、监督和指导，接受保卫处的业务指导与监督，每月向保卫处报告校区的安全保卫情况。</w:t>
            </w:r>
          </w:p>
        </w:tc>
        <w:tc>
          <w:tcPr>
            <w:tcW w:w="1091" w:type="dxa"/>
            <w:tcBorders>
              <w:tl2br w:val="nil"/>
              <w:tr2bl w:val="nil"/>
            </w:tcBorders>
            <w:shd w:val="clear" w:color="auto" w:fill="FFFFFF"/>
            <w:noWrap w:val="0"/>
            <w:vAlign w:val="center"/>
          </w:tcPr>
          <w:p w14:paraId="2FCB8E95">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05681378">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5A8C1CFE">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3B86F0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restart"/>
            <w:tcBorders>
              <w:tl2br w:val="nil"/>
              <w:tr2bl w:val="nil"/>
            </w:tcBorders>
            <w:shd w:val="clear" w:color="auto" w:fill="FFFFFF"/>
            <w:noWrap w:val="0"/>
            <w:vAlign w:val="top"/>
          </w:tcPr>
          <w:p w14:paraId="03DEA340">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22D69B05">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3165E2D9">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4217884B">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4342D803">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4E99B945">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74D69732">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eastAsia="宋体"/>
                <w:b w:val="0"/>
                <w:color w:val="auto"/>
                <w:highlight w:val="none"/>
                <w:lang w:val="en-US" w:eastAsia="zh-CN"/>
              </w:rPr>
            </w:pPr>
            <w:r>
              <w:rPr>
                <w:rFonts w:hint="eastAsia"/>
                <w:b w:val="0"/>
                <w:color w:val="auto"/>
                <w:highlight w:val="none"/>
                <w:lang w:val="en-US" w:eastAsia="zh-CN"/>
              </w:rPr>
              <w:t>4</w:t>
            </w:r>
          </w:p>
        </w:tc>
        <w:tc>
          <w:tcPr>
            <w:tcW w:w="1079" w:type="dxa"/>
            <w:vMerge w:val="restart"/>
            <w:tcBorders>
              <w:tl2br w:val="nil"/>
              <w:tr2bl w:val="nil"/>
            </w:tcBorders>
            <w:shd w:val="clear" w:color="auto" w:fill="FFFFFF"/>
            <w:noWrap w:val="0"/>
            <w:vAlign w:val="top"/>
          </w:tcPr>
          <w:p w14:paraId="5D75F118">
            <w:pPr>
              <w:pStyle w:val="139"/>
              <w:keepNext w:val="0"/>
              <w:keepLines w:val="0"/>
              <w:pageBreakBefore w:val="0"/>
              <w:numPr>
                <w:ilvl w:val="0"/>
                <w:numId w:val="0"/>
              </w:numPr>
              <w:kinsoku/>
              <w:wordWrap/>
              <w:overflowPunct/>
              <w:topLinePunct w:val="0"/>
              <w:bidi w:val="0"/>
              <w:adjustRightInd/>
              <w:snapToGrid/>
              <w:spacing w:line="15" w:lineRule="auto"/>
              <w:textAlignment w:val="auto"/>
              <w:rPr>
                <w:rFonts w:hint="eastAsia" w:hAnsi="宋体"/>
                <w:color w:val="auto"/>
                <w:sz w:val="21"/>
                <w:szCs w:val="21"/>
                <w:highlight w:val="none"/>
              </w:rPr>
            </w:pPr>
          </w:p>
          <w:p w14:paraId="1521AF5D">
            <w:pPr>
              <w:pStyle w:val="139"/>
              <w:keepNext w:val="0"/>
              <w:keepLines w:val="0"/>
              <w:pageBreakBefore w:val="0"/>
              <w:numPr>
                <w:ilvl w:val="0"/>
                <w:numId w:val="0"/>
              </w:numPr>
              <w:kinsoku/>
              <w:wordWrap/>
              <w:overflowPunct/>
              <w:topLinePunct w:val="0"/>
              <w:bidi w:val="0"/>
              <w:adjustRightInd/>
              <w:snapToGrid/>
              <w:spacing w:line="15" w:lineRule="auto"/>
              <w:textAlignment w:val="auto"/>
              <w:rPr>
                <w:rFonts w:hint="eastAsia" w:hAnsi="宋体"/>
                <w:color w:val="auto"/>
                <w:sz w:val="21"/>
                <w:szCs w:val="21"/>
                <w:highlight w:val="none"/>
              </w:rPr>
            </w:pPr>
          </w:p>
          <w:p w14:paraId="0F557F08">
            <w:pPr>
              <w:pStyle w:val="139"/>
              <w:keepNext w:val="0"/>
              <w:keepLines w:val="0"/>
              <w:pageBreakBefore w:val="0"/>
              <w:numPr>
                <w:ilvl w:val="0"/>
                <w:numId w:val="0"/>
              </w:numPr>
              <w:kinsoku/>
              <w:wordWrap/>
              <w:overflowPunct/>
              <w:topLinePunct w:val="0"/>
              <w:bidi w:val="0"/>
              <w:adjustRightInd/>
              <w:snapToGrid/>
              <w:spacing w:line="15" w:lineRule="auto"/>
              <w:textAlignment w:val="auto"/>
              <w:rPr>
                <w:rFonts w:hint="eastAsia" w:hAnsi="宋体"/>
                <w:color w:val="auto"/>
                <w:sz w:val="21"/>
                <w:szCs w:val="21"/>
                <w:highlight w:val="none"/>
              </w:rPr>
            </w:pPr>
          </w:p>
          <w:p w14:paraId="6B7EFDEF">
            <w:pPr>
              <w:pStyle w:val="139"/>
              <w:keepNext w:val="0"/>
              <w:keepLines w:val="0"/>
              <w:pageBreakBefore w:val="0"/>
              <w:numPr>
                <w:ilvl w:val="0"/>
                <w:numId w:val="0"/>
              </w:numPr>
              <w:kinsoku/>
              <w:wordWrap/>
              <w:overflowPunct/>
              <w:topLinePunct w:val="0"/>
              <w:bidi w:val="0"/>
              <w:adjustRightInd/>
              <w:snapToGrid/>
              <w:spacing w:line="15" w:lineRule="auto"/>
              <w:jc w:val="center"/>
              <w:textAlignment w:val="auto"/>
              <w:rPr>
                <w:rFonts w:hint="eastAsia" w:hAnsi="宋体"/>
                <w:color w:val="auto"/>
                <w:sz w:val="21"/>
                <w:szCs w:val="21"/>
                <w:highlight w:val="none"/>
              </w:rPr>
            </w:pPr>
          </w:p>
          <w:p w14:paraId="628BCADC">
            <w:pPr>
              <w:pStyle w:val="139"/>
              <w:keepNext w:val="0"/>
              <w:keepLines w:val="0"/>
              <w:pageBreakBefore w:val="0"/>
              <w:numPr>
                <w:ilvl w:val="0"/>
                <w:numId w:val="0"/>
              </w:numPr>
              <w:kinsoku/>
              <w:wordWrap/>
              <w:overflowPunct/>
              <w:topLinePunct w:val="0"/>
              <w:bidi w:val="0"/>
              <w:adjustRightInd/>
              <w:snapToGrid/>
              <w:spacing w:line="15" w:lineRule="auto"/>
              <w:jc w:val="center"/>
              <w:textAlignment w:val="auto"/>
              <w:rPr>
                <w:rFonts w:hint="eastAsia" w:hAnsi="宋体"/>
                <w:color w:val="auto"/>
                <w:sz w:val="21"/>
                <w:szCs w:val="21"/>
                <w:highlight w:val="none"/>
              </w:rPr>
            </w:pPr>
            <w:r>
              <w:rPr>
                <w:rFonts w:hint="eastAsia" w:hAnsi="宋体"/>
                <w:color w:val="auto"/>
                <w:sz w:val="21"/>
                <w:szCs w:val="21"/>
                <w:highlight w:val="none"/>
              </w:rPr>
              <w:t>门卫、交通管理</w:t>
            </w:r>
          </w:p>
          <w:p w14:paraId="722A8C10">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1D16B3ED">
            <w:pPr>
              <w:pStyle w:val="139"/>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1.</w:t>
            </w:r>
            <w:r>
              <w:rPr>
                <w:rFonts w:hint="eastAsia" w:hAnsi="宋体"/>
                <w:color w:val="auto"/>
                <w:sz w:val="21"/>
                <w:szCs w:val="21"/>
                <w:highlight w:val="none"/>
              </w:rPr>
              <w:t>值班保安必须穿戴保安制服佩戴执勤标志；</w:t>
            </w:r>
          </w:p>
        </w:tc>
        <w:tc>
          <w:tcPr>
            <w:tcW w:w="1091" w:type="dxa"/>
            <w:tcBorders>
              <w:tl2br w:val="nil"/>
              <w:tr2bl w:val="nil"/>
            </w:tcBorders>
            <w:shd w:val="clear" w:color="auto" w:fill="FFFFFF"/>
            <w:noWrap w:val="0"/>
            <w:vAlign w:val="center"/>
          </w:tcPr>
          <w:p w14:paraId="7707B171">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52684EDE">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4160B506">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12FF51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32F54834">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2D62CEFE">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3872D5D2">
            <w:pPr>
              <w:pStyle w:val="139"/>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2.</w:t>
            </w:r>
            <w:r>
              <w:rPr>
                <w:rFonts w:hint="eastAsia" w:hAnsi="宋体"/>
                <w:color w:val="auto"/>
                <w:sz w:val="21"/>
                <w:szCs w:val="21"/>
                <w:highlight w:val="none"/>
              </w:rPr>
              <w:t>严格执行学院门卫、交通管理规定。做好进出校区人员及车辆的检查、登记、管理工作（包括进出物品、外来人员、施工人员等）；</w:t>
            </w:r>
          </w:p>
        </w:tc>
        <w:tc>
          <w:tcPr>
            <w:tcW w:w="1091" w:type="dxa"/>
            <w:tcBorders>
              <w:tl2br w:val="nil"/>
              <w:tr2bl w:val="nil"/>
            </w:tcBorders>
            <w:shd w:val="clear" w:color="auto" w:fill="FFFFFF"/>
            <w:noWrap w:val="0"/>
            <w:vAlign w:val="center"/>
          </w:tcPr>
          <w:p w14:paraId="27309ADE">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347EB382">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0549AA15">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575D64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21421F4D">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40BE619B">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73F61484">
            <w:pPr>
              <w:pStyle w:val="139"/>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3.</w:t>
            </w:r>
            <w:r>
              <w:rPr>
                <w:rFonts w:hint="eastAsia" w:hAnsi="宋体"/>
                <w:color w:val="auto"/>
                <w:sz w:val="21"/>
                <w:szCs w:val="21"/>
                <w:highlight w:val="none"/>
              </w:rPr>
              <w:t>管理机动车、非机动车，杜绝乱停乱放等现象，确保整齐有序；</w:t>
            </w:r>
          </w:p>
        </w:tc>
        <w:tc>
          <w:tcPr>
            <w:tcW w:w="1091" w:type="dxa"/>
            <w:tcBorders>
              <w:tl2br w:val="nil"/>
              <w:tr2bl w:val="nil"/>
            </w:tcBorders>
            <w:shd w:val="clear" w:color="auto" w:fill="FFFFFF"/>
            <w:noWrap w:val="0"/>
            <w:vAlign w:val="center"/>
          </w:tcPr>
          <w:p w14:paraId="7DC94873">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7ECE78EE">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392A7B47">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4CBD95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0F7ED526">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675ACAC7">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28AA14D5">
            <w:pPr>
              <w:pStyle w:val="139"/>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4.</w:t>
            </w:r>
            <w:r>
              <w:rPr>
                <w:rFonts w:hint="eastAsia" w:hAnsi="宋体"/>
                <w:color w:val="auto"/>
                <w:sz w:val="21"/>
                <w:szCs w:val="21"/>
                <w:highlight w:val="none"/>
              </w:rPr>
              <w:t>对违反门卫、交通管理规定的车辆，需送交警部门处理的应事先报告学院后勤保卫处；</w:t>
            </w:r>
          </w:p>
        </w:tc>
        <w:tc>
          <w:tcPr>
            <w:tcW w:w="1091" w:type="dxa"/>
            <w:tcBorders>
              <w:tl2br w:val="nil"/>
              <w:tr2bl w:val="nil"/>
            </w:tcBorders>
            <w:shd w:val="clear" w:color="auto" w:fill="FFFFFF"/>
            <w:noWrap w:val="0"/>
            <w:vAlign w:val="center"/>
          </w:tcPr>
          <w:p w14:paraId="65964A18">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1</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0EE1DFFC">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54754D32">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1CE8A2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7F29BDC8">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76E83B82">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10B5C4D6">
            <w:pPr>
              <w:pStyle w:val="139"/>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5.</w:t>
            </w:r>
            <w:r>
              <w:rPr>
                <w:rFonts w:hint="eastAsia" w:hAnsi="宋体"/>
                <w:color w:val="auto"/>
                <w:sz w:val="21"/>
                <w:szCs w:val="21"/>
                <w:highlight w:val="none"/>
              </w:rPr>
              <w:t>保护交通事故现场，报告并协助交警部门处理交通事故；</w:t>
            </w:r>
          </w:p>
        </w:tc>
        <w:tc>
          <w:tcPr>
            <w:tcW w:w="1091" w:type="dxa"/>
            <w:tcBorders>
              <w:tl2br w:val="nil"/>
              <w:tr2bl w:val="nil"/>
            </w:tcBorders>
            <w:shd w:val="clear" w:color="auto" w:fill="FFFFFF"/>
            <w:noWrap w:val="0"/>
            <w:vAlign w:val="center"/>
          </w:tcPr>
          <w:p w14:paraId="10589D1C">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1</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60DED8DE">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2062730F">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08B446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2AEE1DA8">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43D4A436">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155414A0">
            <w:pPr>
              <w:pStyle w:val="139"/>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6.</w:t>
            </w:r>
            <w:r>
              <w:rPr>
                <w:rFonts w:hint="eastAsia" w:hAnsi="宋体"/>
                <w:color w:val="auto"/>
                <w:sz w:val="21"/>
                <w:szCs w:val="21"/>
                <w:highlight w:val="none"/>
              </w:rPr>
              <w:t>负责校区的交通指挥，在校区重要活动期间加强交通疏导；</w:t>
            </w:r>
          </w:p>
        </w:tc>
        <w:tc>
          <w:tcPr>
            <w:tcW w:w="1091" w:type="dxa"/>
            <w:tcBorders>
              <w:tl2br w:val="nil"/>
              <w:tr2bl w:val="nil"/>
            </w:tcBorders>
            <w:shd w:val="clear" w:color="auto" w:fill="FFFFFF"/>
            <w:noWrap w:val="0"/>
            <w:vAlign w:val="center"/>
          </w:tcPr>
          <w:p w14:paraId="585BE204">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66B5BBC5">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5E866695">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17EC88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5E559E30">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65850832">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59FDAB29">
            <w:pPr>
              <w:pStyle w:val="139"/>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7.</w:t>
            </w:r>
            <w:r>
              <w:rPr>
                <w:rFonts w:hint="eastAsia" w:hAnsi="宋体"/>
                <w:color w:val="auto"/>
                <w:sz w:val="21"/>
                <w:szCs w:val="21"/>
                <w:highlight w:val="none"/>
              </w:rPr>
              <w:t>维护校园内良好的交通秩序，确保师生员工交通安全；</w:t>
            </w:r>
          </w:p>
        </w:tc>
        <w:tc>
          <w:tcPr>
            <w:tcW w:w="1091" w:type="dxa"/>
            <w:tcBorders>
              <w:tl2br w:val="nil"/>
              <w:tr2bl w:val="nil"/>
            </w:tcBorders>
            <w:shd w:val="clear" w:color="auto" w:fill="FFFFFF"/>
            <w:noWrap w:val="0"/>
            <w:vAlign w:val="center"/>
          </w:tcPr>
          <w:p w14:paraId="210571A0">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329DCB07">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7CEFE73D">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4867BD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685" w:type="dxa"/>
            <w:vMerge w:val="continue"/>
            <w:tcBorders>
              <w:tl2br w:val="nil"/>
              <w:tr2bl w:val="nil"/>
            </w:tcBorders>
            <w:shd w:val="clear" w:color="auto" w:fill="FFFFFF"/>
            <w:noWrap w:val="0"/>
            <w:vAlign w:val="top"/>
          </w:tcPr>
          <w:p w14:paraId="61FD7262">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eastAsia="宋体"/>
                <w:b w:val="0"/>
                <w:color w:val="auto"/>
                <w:highlight w:val="none"/>
                <w:lang w:val="en-US" w:eastAsia="zh-CN"/>
              </w:rPr>
            </w:pPr>
          </w:p>
        </w:tc>
        <w:tc>
          <w:tcPr>
            <w:tcW w:w="1079" w:type="dxa"/>
            <w:vMerge w:val="continue"/>
            <w:tcBorders>
              <w:tl2br w:val="nil"/>
              <w:tr2bl w:val="nil"/>
            </w:tcBorders>
            <w:shd w:val="clear" w:color="auto" w:fill="FFFFFF"/>
            <w:noWrap w:val="0"/>
            <w:vAlign w:val="center"/>
          </w:tcPr>
          <w:p w14:paraId="3492A516">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03A62002">
            <w:pPr>
              <w:pStyle w:val="139"/>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8.</w:t>
            </w:r>
            <w:r>
              <w:rPr>
                <w:rFonts w:hint="eastAsia" w:hAnsi="宋体"/>
                <w:color w:val="auto"/>
                <w:sz w:val="21"/>
                <w:szCs w:val="21"/>
                <w:highlight w:val="none"/>
              </w:rPr>
              <w:t>发现校园周边涉及师生员工的交通事故，要及时报警并报学院后勤保卫处。</w:t>
            </w:r>
          </w:p>
        </w:tc>
        <w:tc>
          <w:tcPr>
            <w:tcW w:w="1091" w:type="dxa"/>
            <w:tcBorders>
              <w:tl2br w:val="nil"/>
              <w:tr2bl w:val="nil"/>
            </w:tcBorders>
            <w:shd w:val="clear" w:color="auto" w:fill="FFFFFF"/>
            <w:noWrap w:val="0"/>
            <w:vAlign w:val="center"/>
          </w:tcPr>
          <w:p w14:paraId="6086A1E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color w:val="auto"/>
                <w:kern w:val="0"/>
                <w:sz w:val="21"/>
                <w:szCs w:val="21"/>
                <w:highlight w:val="none"/>
                <w:lang w:val="en-US" w:eastAsia="zh-CN"/>
              </w:rPr>
            </w:pPr>
            <w:r>
              <w:rPr>
                <w:rFonts w:hint="eastAsia" w:ascii="宋体" w:hAnsi="宋体" w:eastAsia="宋体" w:cs="宋体"/>
                <w:b w:val="0"/>
                <w:color w:val="auto"/>
                <w:kern w:val="0"/>
                <w:sz w:val="21"/>
                <w:szCs w:val="21"/>
                <w:highlight w:val="none"/>
                <w:lang w:val="en-US" w:eastAsia="zh-CN"/>
              </w:rPr>
              <w:t>2</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361C0A6B">
            <w:pPr>
              <w:keepNext w:val="0"/>
              <w:keepLines w:val="0"/>
              <w:pageBreakBefore w:val="0"/>
              <w:kinsoku/>
              <w:wordWrap/>
              <w:overflowPunct/>
              <w:topLinePunct w:val="0"/>
              <w:autoSpaceDE/>
              <w:autoSpaceDN/>
              <w:bidi w:val="0"/>
              <w:adjustRightInd/>
              <w:snapToGrid/>
              <w:spacing w:line="240"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70D63951">
            <w:pPr>
              <w:keepNext w:val="0"/>
              <w:keepLines w:val="0"/>
              <w:pageBreakBefore w:val="0"/>
              <w:kinsoku/>
              <w:wordWrap/>
              <w:overflowPunct/>
              <w:topLinePunct w:val="0"/>
              <w:autoSpaceDE/>
              <w:autoSpaceDN/>
              <w:bidi w:val="0"/>
              <w:adjustRightInd/>
              <w:snapToGrid/>
              <w:spacing w:line="240"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7C9AD2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685" w:type="dxa"/>
            <w:vMerge w:val="continue"/>
            <w:tcBorders>
              <w:tl2br w:val="nil"/>
              <w:tr2bl w:val="nil"/>
            </w:tcBorders>
            <w:shd w:val="clear" w:color="auto" w:fill="FFFFFF"/>
            <w:noWrap w:val="0"/>
            <w:vAlign w:val="top"/>
          </w:tcPr>
          <w:p w14:paraId="473CBEEC">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eastAsia="宋体"/>
                <w:b w:val="0"/>
                <w:color w:val="auto"/>
                <w:highlight w:val="none"/>
                <w:lang w:val="en-US" w:eastAsia="zh-CN"/>
              </w:rPr>
            </w:pPr>
          </w:p>
        </w:tc>
        <w:tc>
          <w:tcPr>
            <w:tcW w:w="1079" w:type="dxa"/>
            <w:vMerge w:val="continue"/>
            <w:tcBorders>
              <w:tl2br w:val="nil"/>
              <w:tr2bl w:val="nil"/>
            </w:tcBorders>
            <w:shd w:val="clear" w:color="auto" w:fill="FFFFFF"/>
            <w:noWrap w:val="0"/>
            <w:vAlign w:val="center"/>
          </w:tcPr>
          <w:p w14:paraId="29937E2A">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37E2E383">
            <w:pPr>
              <w:pStyle w:val="139"/>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9.</w:t>
            </w:r>
            <w:r>
              <w:rPr>
                <w:rFonts w:hint="eastAsia" w:hAnsi="宋体"/>
                <w:color w:val="auto"/>
                <w:sz w:val="21"/>
                <w:szCs w:val="21"/>
                <w:highlight w:val="none"/>
              </w:rPr>
              <w:t>负责校园门禁系统的日常维护和管理，以及报修。</w:t>
            </w:r>
          </w:p>
        </w:tc>
        <w:tc>
          <w:tcPr>
            <w:tcW w:w="1091" w:type="dxa"/>
            <w:tcBorders>
              <w:tl2br w:val="nil"/>
              <w:tr2bl w:val="nil"/>
            </w:tcBorders>
            <w:shd w:val="clear" w:color="auto" w:fill="FFFFFF"/>
            <w:noWrap w:val="0"/>
            <w:vAlign w:val="center"/>
          </w:tcPr>
          <w:p w14:paraId="5BB223C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color w:val="auto"/>
                <w:kern w:val="0"/>
                <w:sz w:val="21"/>
                <w:szCs w:val="21"/>
                <w:highlight w:val="none"/>
                <w:lang w:val="en-US" w:eastAsia="zh-CN"/>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459DB0F7">
            <w:pPr>
              <w:keepNext w:val="0"/>
              <w:keepLines w:val="0"/>
              <w:pageBreakBefore w:val="0"/>
              <w:kinsoku/>
              <w:wordWrap/>
              <w:overflowPunct/>
              <w:topLinePunct w:val="0"/>
              <w:autoSpaceDE/>
              <w:autoSpaceDN/>
              <w:bidi w:val="0"/>
              <w:adjustRightInd/>
              <w:snapToGrid/>
              <w:spacing w:line="240"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635FC606">
            <w:pPr>
              <w:keepNext w:val="0"/>
              <w:keepLines w:val="0"/>
              <w:pageBreakBefore w:val="0"/>
              <w:kinsoku/>
              <w:wordWrap/>
              <w:overflowPunct/>
              <w:topLinePunct w:val="0"/>
              <w:autoSpaceDE/>
              <w:autoSpaceDN/>
              <w:bidi w:val="0"/>
              <w:adjustRightInd/>
              <w:snapToGrid/>
              <w:spacing w:line="240"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6F06E3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050" w:type="dxa"/>
            <w:gridSpan w:val="3"/>
            <w:tcBorders>
              <w:tl2br w:val="nil"/>
              <w:tr2bl w:val="nil"/>
            </w:tcBorders>
            <w:shd w:val="clear" w:color="auto" w:fill="FFFFFF"/>
            <w:noWrap w:val="0"/>
            <w:vAlign w:val="center"/>
          </w:tcPr>
          <w:p w14:paraId="4E35F646">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r>
              <w:rPr>
                <w:rFonts w:hint="eastAsia"/>
                <w:b w:val="0"/>
                <w:bCs/>
                <w:color w:val="auto"/>
                <w:highlight w:val="none"/>
              </w:rPr>
              <w:t xml:space="preserve">合  </w:t>
            </w:r>
            <w:r>
              <w:rPr>
                <w:rFonts w:hint="eastAsia"/>
                <w:b w:val="0"/>
                <w:bCs/>
                <w:color w:val="auto"/>
                <w:highlight w:val="none"/>
                <w:lang w:val="en-US" w:eastAsia="zh-CN"/>
              </w:rPr>
              <w:t xml:space="preserve">      </w:t>
            </w:r>
            <w:r>
              <w:rPr>
                <w:rFonts w:hint="eastAsia"/>
                <w:b w:val="0"/>
                <w:bCs/>
                <w:color w:val="auto"/>
                <w:highlight w:val="none"/>
              </w:rPr>
              <w:t xml:space="preserve"> 计</w:t>
            </w:r>
          </w:p>
        </w:tc>
        <w:tc>
          <w:tcPr>
            <w:tcW w:w="1091" w:type="dxa"/>
            <w:tcBorders>
              <w:tl2br w:val="nil"/>
              <w:tr2bl w:val="nil"/>
            </w:tcBorders>
            <w:shd w:val="clear" w:color="auto" w:fill="FFFFFF"/>
            <w:noWrap w:val="0"/>
            <w:vAlign w:val="center"/>
          </w:tcPr>
          <w:p w14:paraId="63C00ABB">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r>
              <w:rPr>
                <w:rFonts w:hint="eastAsia"/>
                <w:b w:val="0"/>
                <w:color w:val="auto"/>
                <w:highlight w:val="none"/>
              </w:rPr>
              <w:t>100分</w:t>
            </w:r>
          </w:p>
        </w:tc>
        <w:tc>
          <w:tcPr>
            <w:tcW w:w="1091" w:type="dxa"/>
            <w:tcBorders>
              <w:tl2br w:val="nil"/>
              <w:tr2bl w:val="nil"/>
            </w:tcBorders>
            <w:shd w:val="clear" w:color="auto" w:fill="FFFFFF"/>
            <w:noWrap w:val="0"/>
            <w:vAlign w:val="center"/>
          </w:tcPr>
          <w:p w14:paraId="73FD7F0B">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64E14212">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r>
      <w:tr w14:paraId="58F7A9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43" w:hRule="atLeast"/>
          <w:jc w:val="center"/>
        </w:trPr>
        <w:tc>
          <w:tcPr>
            <w:tcW w:w="15041" w:type="dxa"/>
            <w:gridSpan w:val="6"/>
            <w:tcBorders>
              <w:tl2br w:val="nil"/>
              <w:tr2bl w:val="nil"/>
            </w:tcBorders>
            <w:shd w:val="clear" w:color="auto" w:fill="FFFFFF"/>
            <w:noWrap w:val="0"/>
            <w:vAlign w:val="center"/>
          </w:tcPr>
          <w:p w14:paraId="03BFCFC7">
            <w:pPr>
              <w:jc w:val="both"/>
              <w:rPr>
                <w:rFonts w:hint="eastAsia"/>
                <w:b w:val="0"/>
                <w:color w:val="auto"/>
                <w:highlight w:val="none"/>
              </w:rPr>
            </w:pPr>
            <w:r>
              <w:rPr>
                <w:rFonts w:hint="eastAsia"/>
                <w:b w:val="0"/>
                <w:color w:val="auto"/>
                <w:highlight w:val="none"/>
              </w:rPr>
              <w:t>考核办法：</w:t>
            </w:r>
          </w:p>
          <w:p w14:paraId="3F90E145">
            <w:pPr>
              <w:ind w:firstLine="840" w:firstLineChars="400"/>
              <w:jc w:val="both"/>
              <w:rPr>
                <w:b w:val="0"/>
                <w:color w:val="auto"/>
                <w:highlight w:val="none"/>
              </w:rPr>
            </w:pPr>
            <w:r>
              <w:rPr>
                <w:rFonts w:hint="eastAsia"/>
                <w:b w:val="0"/>
                <w:color w:val="auto"/>
                <w:highlight w:val="none"/>
              </w:rPr>
              <w:t>①以月为考核周期，每月总计100分</w:t>
            </w:r>
            <w:r>
              <w:rPr>
                <w:rFonts w:hint="eastAsia"/>
                <w:b w:val="0"/>
                <w:color w:val="auto"/>
                <w:highlight w:val="none"/>
                <w:lang w:eastAsia="zh-CN"/>
              </w:rPr>
              <w:t>。校方分项目考核负责人</w:t>
            </w:r>
            <w:r>
              <w:rPr>
                <w:rFonts w:hint="eastAsia"/>
                <w:b w:val="0"/>
                <w:color w:val="auto"/>
                <w:highlight w:val="none"/>
              </w:rPr>
              <w:t>依据考核细则对</w:t>
            </w:r>
            <w:r>
              <w:rPr>
                <w:rFonts w:hint="eastAsia"/>
                <w:b w:val="0"/>
                <w:color w:val="auto"/>
                <w:highlight w:val="none"/>
                <w:lang w:eastAsia="zh-CN"/>
              </w:rPr>
              <w:t>安保员</w:t>
            </w:r>
            <w:r>
              <w:rPr>
                <w:rFonts w:hint="eastAsia"/>
                <w:b w:val="0"/>
                <w:color w:val="auto"/>
                <w:highlight w:val="none"/>
              </w:rPr>
              <w:t>工作进行监督，实行累计扣分制</w:t>
            </w:r>
            <w:r>
              <w:rPr>
                <w:rFonts w:hint="eastAsia"/>
                <w:b w:val="0"/>
                <w:color w:val="auto"/>
                <w:highlight w:val="none"/>
                <w:lang w:eastAsia="zh-CN"/>
              </w:rPr>
              <w:t>。</w:t>
            </w:r>
            <w:r>
              <w:rPr>
                <w:rFonts w:hint="eastAsia"/>
                <w:b w:val="0"/>
                <w:color w:val="auto"/>
                <w:highlight w:val="none"/>
              </w:rPr>
              <w:t>每违纪一次，按扣分标准扣分，重复违纪的，予以重复考核扣分，</w:t>
            </w:r>
            <w:r>
              <w:rPr>
                <w:b w:val="0"/>
                <w:color w:val="auto"/>
                <w:highlight w:val="none"/>
              </w:rPr>
              <w:t xml:space="preserve"> </w:t>
            </w:r>
            <w:r>
              <w:rPr>
                <w:rFonts w:hint="eastAsia"/>
                <w:b w:val="0"/>
                <w:color w:val="auto"/>
                <w:highlight w:val="none"/>
              </w:rPr>
              <w:t>如此累计得出</w:t>
            </w:r>
            <w:r>
              <w:rPr>
                <w:rFonts w:hint="eastAsia"/>
                <w:b w:val="0"/>
                <w:color w:val="auto"/>
                <w:highlight w:val="none"/>
                <w:lang w:eastAsia="zh-CN"/>
              </w:rPr>
              <w:t>安保岗位</w:t>
            </w:r>
            <w:r>
              <w:rPr>
                <w:rFonts w:hint="eastAsia"/>
                <w:b w:val="0"/>
                <w:color w:val="auto"/>
                <w:highlight w:val="none"/>
              </w:rPr>
              <w:t>每月最终考核得分。</w:t>
            </w:r>
          </w:p>
          <w:p w14:paraId="7FF65D1F">
            <w:pPr>
              <w:ind w:firstLine="840" w:firstLineChars="400"/>
              <w:jc w:val="both"/>
              <w:rPr>
                <w:b w:val="0"/>
                <w:color w:val="auto"/>
                <w:highlight w:val="none"/>
              </w:rPr>
            </w:pPr>
            <w:r>
              <w:rPr>
                <w:rFonts w:hint="eastAsia"/>
                <w:b w:val="0"/>
                <w:color w:val="auto"/>
                <w:highlight w:val="none"/>
              </w:rPr>
              <w:t>②</w:t>
            </w:r>
            <w:r>
              <w:rPr>
                <w:rFonts w:hint="eastAsia"/>
                <w:b w:val="0"/>
                <w:color w:val="auto"/>
                <w:highlight w:val="none"/>
                <w:lang w:val="en-US" w:eastAsia="zh-CN"/>
              </w:rPr>
              <w:t>90</w:t>
            </w:r>
            <w:r>
              <w:rPr>
                <w:rFonts w:hint="eastAsia"/>
                <w:b w:val="0"/>
                <w:color w:val="auto"/>
                <w:highlight w:val="none"/>
              </w:rPr>
              <w:t>分~100分为</w:t>
            </w:r>
            <w:r>
              <w:rPr>
                <w:rFonts w:hint="eastAsia"/>
                <w:b w:val="0"/>
                <w:color w:val="auto"/>
                <w:highlight w:val="none"/>
                <w:lang w:eastAsia="zh-CN"/>
              </w:rPr>
              <w:t>合格</w:t>
            </w:r>
            <w:r>
              <w:rPr>
                <w:rFonts w:hint="eastAsia"/>
                <w:b w:val="0"/>
                <w:color w:val="auto"/>
                <w:highlight w:val="none"/>
              </w:rPr>
              <w:t>；</w:t>
            </w:r>
            <w:r>
              <w:rPr>
                <w:rFonts w:hint="eastAsia"/>
                <w:b w:val="0"/>
                <w:color w:val="auto"/>
                <w:highlight w:val="none"/>
                <w:lang w:val="en-US" w:eastAsia="zh-CN"/>
              </w:rPr>
              <w:t>90</w:t>
            </w:r>
            <w:r>
              <w:rPr>
                <w:rFonts w:hint="eastAsia"/>
                <w:b w:val="0"/>
                <w:color w:val="auto"/>
                <w:highlight w:val="none"/>
              </w:rPr>
              <w:t>分</w:t>
            </w:r>
            <w:r>
              <w:rPr>
                <w:rFonts w:hint="eastAsia"/>
                <w:b w:val="0"/>
                <w:color w:val="auto"/>
                <w:highlight w:val="none"/>
                <w:lang w:eastAsia="zh-CN"/>
              </w:rPr>
              <w:t>以下</w:t>
            </w:r>
            <w:r>
              <w:rPr>
                <w:rFonts w:hint="eastAsia"/>
                <w:b w:val="0"/>
                <w:color w:val="auto"/>
                <w:highlight w:val="none"/>
              </w:rPr>
              <w:t>为不合格，扣罚</w:t>
            </w:r>
            <w:r>
              <w:rPr>
                <w:rFonts w:hint="eastAsia"/>
                <w:b w:val="0"/>
                <w:color w:val="auto"/>
                <w:highlight w:val="none"/>
                <w:lang w:eastAsia="zh-CN"/>
              </w:rPr>
              <w:t>物业公</w:t>
            </w:r>
            <w:r>
              <w:rPr>
                <w:rFonts w:hint="eastAsia" w:ascii="Calibri" w:hAnsi="Calibri" w:eastAsia="宋体" w:cs="Times New Roman"/>
                <w:b w:val="0"/>
                <w:color w:val="auto"/>
                <w:highlight w:val="none"/>
                <w:lang w:eastAsia="zh-CN"/>
              </w:rPr>
              <w:t>司</w:t>
            </w:r>
            <w:r>
              <w:rPr>
                <w:rFonts w:hint="eastAsia" w:ascii="Calibri" w:hAnsi="Calibri" w:eastAsia="宋体" w:cs="Times New Roman"/>
                <w:b w:val="0"/>
                <w:color w:val="auto"/>
                <w:highlight w:val="none"/>
              </w:rPr>
              <w:t>当月服务费中的1%做为罚金；连续3</w:t>
            </w:r>
            <w:r>
              <w:rPr>
                <w:rFonts w:hint="eastAsia"/>
                <w:b w:val="0"/>
                <w:color w:val="auto"/>
                <w:highlight w:val="none"/>
              </w:rPr>
              <w:t>个月考核在</w:t>
            </w:r>
            <w:r>
              <w:rPr>
                <w:rFonts w:hint="eastAsia"/>
                <w:b w:val="0"/>
                <w:color w:val="auto"/>
                <w:highlight w:val="none"/>
                <w:lang w:val="en-US" w:eastAsia="zh-CN"/>
              </w:rPr>
              <w:t>90</w:t>
            </w:r>
            <w:r>
              <w:rPr>
                <w:rFonts w:hint="eastAsia"/>
                <w:b w:val="0"/>
                <w:color w:val="auto"/>
                <w:highlight w:val="none"/>
              </w:rPr>
              <w:t>分以下的员工，视为不符合本岗位工作要求，</w:t>
            </w:r>
            <w:r>
              <w:rPr>
                <w:rFonts w:hint="eastAsia"/>
                <w:b w:val="0"/>
                <w:color w:val="auto"/>
                <w:highlight w:val="none"/>
                <w:lang w:eastAsia="zh-CN"/>
              </w:rPr>
              <w:t>建议物业公司</w:t>
            </w:r>
            <w:r>
              <w:rPr>
                <w:rFonts w:hint="eastAsia"/>
                <w:b w:val="0"/>
                <w:color w:val="auto"/>
                <w:highlight w:val="none"/>
              </w:rPr>
              <w:t>做辞退处理。</w:t>
            </w:r>
          </w:p>
        </w:tc>
      </w:tr>
    </w:tbl>
    <w:p w14:paraId="07BD87F2">
      <w:pPr>
        <w:ind w:firstLine="420" w:firstLineChars="200"/>
        <w:rPr>
          <w:rFonts w:hint="eastAsia" w:ascii="宋体" w:hAnsi="宋体" w:eastAsia="宋体" w:cs="宋体"/>
          <w:b/>
          <w:color w:val="auto"/>
          <w:sz w:val="36"/>
          <w:szCs w:val="36"/>
          <w:highlight w:val="none"/>
          <w:lang w:val="en-US" w:eastAsia="zh-CN"/>
        </w:rPr>
      </w:pPr>
      <w:r>
        <w:rPr>
          <w:rFonts w:hint="eastAsia" w:ascii="宋体" w:hAnsi="宋体" w:eastAsia="宋体" w:cs="宋体"/>
          <w:b w:val="0"/>
          <w:bCs/>
          <w:color w:val="auto"/>
          <w:sz w:val="21"/>
          <w:szCs w:val="21"/>
          <w:highlight w:val="none"/>
          <w:lang w:val="en-US" w:eastAsia="zh-CN"/>
        </w:rPr>
        <w:t>物业公司负责人</w:t>
      </w:r>
      <w:r>
        <w:rPr>
          <w:rFonts w:hint="eastAsia" w:ascii="宋体" w:hAnsi="宋体" w:eastAsia="宋体" w:cs="宋体"/>
          <w:b w:val="0"/>
          <w:bCs/>
          <w:color w:val="auto"/>
          <w:sz w:val="21"/>
          <w:szCs w:val="21"/>
          <w:highlight w:val="none"/>
        </w:rPr>
        <w:t xml:space="preserve">签名/日期:                             </w:t>
      </w:r>
      <w:r>
        <w:rPr>
          <w:rFonts w:hint="eastAsia" w:ascii="宋体" w:hAnsi="宋体" w:eastAsia="宋体" w:cs="宋体"/>
          <w:b w:val="0"/>
          <w:bCs/>
          <w:color w:val="auto"/>
          <w:sz w:val="21"/>
          <w:szCs w:val="21"/>
          <w:highlight w:val="none"/>
          <w:lang w:val="en-US" w:eastAsia="zh-CN"/>
        </w:rPr>
        <w:t xml:space="preserve">                       校方分项目考核负责人</w:t>
      </w:r>
      <w:r>
        <w:rPr>
          <w:rFonts w:hint="eastAsia" w:ascii="宋体" w:hAnsi="宋体" w:eastAsia="宋体" w:cs="宋体"/>
          <w:b w:val="0"/>
          <w:bCs/>
          <w:color w:val="auto"/>
          <w:sz w:val="21"/>
          <w:szCs w:val="21"/>
          <w:highlight w:val="none"/>
        </w:rPr>
        <w:t xml:space="preserve">签名/日期: </w:t>
      </w:r>
    </w:p>
    <w:p w14:paraId="3FB52740">
      <w:pPr>
        <w:rPr>
          <w:rFonts w:hint="eastAsia"/>
          <w:b/>
          <w:color w:val="auto"/>
          <w:sz w:val="36"/>
          <w:szCs w:val="36"/>
          <w:highlight w:val="none"/>
          <w:lang w:val="en-US" w:eastAsia="zh-CN"/>
        </w:rPr>
      </w:pPr>
      <w:r>
        <w:rPr>
          <w:rFonts w:hint="eastAsia"/>
          <w:b/>
          <w:color w:val="auto"/>
          <w:sz w:val="36"/>
          <w:szCs w:val="36"/>
          <w:highlight w:val="none"/>
          <w:lang w:val="en-US" w:eastAsia="zh-CN"/>
        </w:rPr>
        <w:br w:type="page"/>
      </w:r>
    </w:p>
    <w:p w14:paraId="1EE98A95">
      <w:pPr>
        <w:widowControl/>
        <w:jc w:val="both"/>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附表2：湖铁职院物业公司</w:t>
      </w:r>
      <w:r>
        <w:rPr>
          <w:rFonts w:hint="eastAsia"/>
          <w:b w:val="0"/>
          <w:bCs/>
          <w:color w:val="auto"/>
          <w:sz w:val="21"/>
          <w:szCs w:val="21"/>
          <w:highlight w:val="none"/>
          <w:lang w:eastAsia="zh-CN"/>
        </w:rPr>
        <w:t>保洁</w:t>
      </w:r>
      <w:r>
        <w:rPr>
          <w:rFonts w:hint="eastAsia"/>
          <w:b w:val="0"/>
          <w:bCs/>
          <w:color w:val="auto"/>
          <w:sz w:val="21"/>
          <w:szCs w:val="21"/>
          <w:highlight w:val="none"/>
        </w:rPr>
        <w:t>管理考核</w:t>
      </w:r>
      <w:r>
        <w:rPr>
          <w:rFonts w:hint="eastAsia"/>
          <w:b w:val="0"/>
          <w:bCs/>
          <w:color w:val="auto"/>
          <w:sz w:val="21"/>
          <w:szCs w:val="21"/>
          <w:highlight w:val="none"/>
          <w:lang w:eastAsia="zh-CN"/>
        </w:rPr>
        <w:t>表</w:t>
      </w:r>
    </w:p>
    <w:p w14:paraId="324042F2">
      <w:pPr>
        <w:widowControl/>
        <w:jc w:val="center"/>
        <w:rPr>
          <w:rFonts w:hint="default" w:eastAsia="宋体"/>
          <w:b/>
          <w:color w:val="auto"/>
          <w:sz w:val="36"/>
          <w:szCs w:val="36"/>
          <w:highlight w:val="none"/>
          <w:lang w:val="en-US" w:eastAsia="zh-CN"/>
        </w:rPr>
      </w:pPr>
      <w:r>
        <w:rPr>
          <w:rFonts w:hint="eastAsia"/>
          <w:b/>
          <w:color w:val="auto"/>
          <w:sz w:val="36"/>
          <w:szCs w:val="36"/>
          <w:highlight w:val="none"/>
          <w:lang w:val="en-US" w:eastAsia="zh-CN"/>
        </w:rPr>
        <w:t xml:space="preserve"> 湖铁职院物业公司</w:t>
      </w:r>
      <w:r>
        <w:rPr>
          <w:rFonts w:hint="eastAsia"/>
          <w:b/>
          <w:color w:val="auto"/>
          <w:sz w:val="36"/>
          <w:szCs w:val="36"/>
          <w:highlight w:val="none"/>
          <w:lang w:eastAsia="zh-CN"/>
        </w:rPr>
        <w:t>保洁</w:t>
      </w:r>
      <w:r>
        <w:rPr>
          <w:rFonts w:hint="eastAsia"/>
          <w:b/>
          <w:color w:val="auto"/>
          <w:sz w:val="36"/>
          <w:szCs w:val="36"/>
          <w:highlight w:val="none"/>
        </w:rPr>
        <w:t>管理考核</w:t>
      </w:r>
      <w:r>
        <w:rPr>
          <w:rFonts w:hint="eastAsia"/>
          <w:b/>
          <w:color w:val="auto"/>
          <w:sz w:val="36"/>
          <w:szCs w:val="36"/>
          <w:highlight w:val="none"/>
          <w:lang w:eastAsia="zh-CN"/>
        </w:rPr>
        <w:t>表</w:t>
      </w:r>
      <w:r>
        <w:rPr>
          <w:rFonts w:hint="eastAsia"/>
          <w:b/>
          <w:color w:val="auto"/>
          <w:sz w:val="36"/>
          <w:szCs w:val="36"/>
          <w:highlight w:val="none"/>
          <w:lang w:val="en-US" w:eastAsia="zh-CN"/>
        </w:rPr>
        <w:t xml:space="preserve">         </w:t>
      </w:r>
      <w:r>
        <w:rPr>
          <w:rFonts w:hint="eastAsia"/>
          <w:b/>
          <w:color w:val="auto"/>
          <w:sz w:val="18"/>
          <w:szCs w:val="18"/>
          <w:highlight w:val="none"/>
          <w:lang w:val="en-US" w:eastAsia="zh-CN"/>
        </w:rPr>
        <w:t>考核时间：      年       月</w:t>
      </w:r>
    </w:p>
    <w:tbl>
      <w:tblPr>
        <w:tblStyle w:val="45"/>
        <w:tblW w:w="1504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85"/>
        <w:gridCol w:w="1260"/>
        <w:gridCol w:w="7802"/>
        <w:gridCol w:w="1276"/>
        <w:gridCol w:w="1276"/>
        <w:gridCol w:w="2742"/>
      </w:tblGrid>
      <w:tr w14:paraId="46919C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685" w:type="dxa"/>
            <w:tcBorders>
              <w:tl2br w:val="nil"/>
              <w:tr2bl w:val="nil"/>
            </w:tcBorders>
            <w:noWrap w:val="0"/>
            <w:vAlign w:val="center"/>
          </w:tcPr>
          <w:p w14:paraId="14EC3BA3">
            <w:pPr>
              <w:jc w:val="center"/>
              <w:rPr>
                <w:b/>
                <w:color w:val="auto"/>
                <w:sz w:val="24"/>
                <w:szCs w:val="24"/>
                <w:highlight w:val="none"/>
              </w:rPr>
            </w:pPr>
            <w:r>
              <w:rPr>
                <w:rFonts w:hint="eastAsia"/>
                <w:b/>
                <w:color w:val="auto"/>
                <w:sz w:val="24"/>
                <w:szCs w:val="24"/>
                <w:highlight w:val="none"/>
              </w:rPr>
              <w:t>序</w:t>
            </w:r>
          </w:p>
        </w:tc>
        <w:tc>
          <w:tcPr>
            <w:tcW w:w="1260" w:type="dxa"/>
            <w:tcBorders>
              <w:tl2br w:val="nil"/>
              <w:tr2bl w:val="nil"/>
            </w:tcBorders>
            <w:noWrap w:val="0"/>
            <w:vAlign w:val="center"/>
          </w:tcPr>
          <w:p w14:paraId="33274EF0">
            <w:pPr>
              <w:jc w:val="center"/>
              <w:rPr>
                <w:b/>
                <w:color w:val="auto"/>
                <w:sz w:val="24"/>
                <w:szCs w:val="24"/>
                <w:highlight w:val="none"/>
              </w:rPr>
            </w:pPr>
            <w:r>
              <w:rPr>
                <w:rFonts w:hint="eastAsia"/>
                <w:b/>
                <w:color w:val="auto"/>
                <w:sz w:val="24"/>
                <w:szCs w:val="24"/>
                <w:highlight w:val="none"/>
              </w:rPr>
              <w:t>考核项</w:t>
            </w:r>
          </w:p>
        </w:tc>
        <w:tc>
          <w:tcPr>
            <w:tcW w:w="7802" w:type="dxa"/>
            <w:tcBorders>
              <w:tl2br w:val="nil"/>
              <w:tr2bl w:val="nil"/>
            </w:tcBorders>
            <w:noWrap w:val="0"/>
            <w:vAlign w:val="center"/>
          </w:tcPr>
          <w:p w14:paraId="74058BFC">
            <w:pPr>
              <w:jc w:val="center"/>
              <w:rPr>
                <w:b/>
                <w:color w:val="auto"/>
                <w:sz w:val="24"/>
                <w:szCs w:val="24"/>
                <w:highlight w:val="none"/>
              </w:rPr>
            </w:pPr>
            <w:r>
              <w:rPr>
                <w:rFonts w:hint="eastAsia"/>
                <w:b/>
                <w:color w:val="auto"/>
                <w:sz w:val="24"/>
                <w:szCs w:val="24"/>
                <w:highlight w:val="none"/>
              </w:rPr>
              <w:t>考</w:t>
            </w:r>
            <w:r>
              <w:rPr>
                <w:rFonts w:hint="eastAsia"/>
                <w:b/>
                <w:color w:val="auto"/>
                <w:sz w:val="24"/>
                <w:szCs w:val="24"/>
                <w:highlight w:val="none"/>
                <w:lang w:val="en-US" w:eastAsia="zh-CN"/>
              </w:rPr>
              <w:t xml:space="preserve">    </w:t>
            </w:r>
            <w:r>
              <w:rPr>
                <w:rFonts w:hint="eastAsia"/>
                <w:b/>
                <w:color w:val="auto"/>
                <w:sz w:val="24"/>
                <w:szCs w:val="24"/>
                <w:highlight w:val="none"/>
              </w:rPr>
              <w:t>核</w:t>
            </w:r>
            <w:r>
              <w:rPr>
                <w:rFonts w:hint="eastAsia"/>
                <w:b/>
                <w:color w:val="auto"/>
                <w:sz w:val="24"/>
                <w:szCs w:val="24"/>
                <w:highlight w:val="none"/>
                <w:lang w:val="en-US" w:eastAsia="zh-CN"/>
              </w:rPr>
              <w:t xml:space="preserve">    </w:t>
            </w:r>
            <w:r>
              <w:rPr>
                <w:rFonts w:hint="eastAsia"/>
                <w:b/>
                <w:color w:val="auto"/>
                <w:sz w:val="24"/>
                <w:szCs w:val="24"/>
                <w:highlight w:val="none"/>
              </w:rPr>
              <w:t>细</w:t>
            </w:r>
            <w:r>
              <w:rPr>
                <w:rFonts w:hint="eastAsia"/>
                <w:b/>
                <w:color w:val="auto"/>
                <w:sz w:val="24"/>
                <w:szCs w:val="24"/>
                <w:highlight w:val="none"/>
                <w:lang w:val="en-US" w:eastAsia="zh-CN"/>
              </w:rPr>
              <w:t xml:space="preserve">    </w:t>
            </w:r>
            <w:r>
              <w:rPr>
                <w:rFonts w:hint="eastAsia"/>
                <w:b/>
                <w:color w:val="auto"/>
                <w:sz w:val="24"/>
                <w:szCs w:val="24"/>
                <w:highlight w:val="none"/>
              </w:rPr>
              <w:t>则</w:t>
            </w:r>
          </w:p>
        </w:tc>
        <w:tc>
          <w:tcPr>
            <w:tcW w:w="1276" w:type="dxa"/>
            <w:tcBorders>
              <w:tl2br w:val="nil"/>
              <w:tr2bl w:val="nil"/>
            </w:tcBorders>
            <w:noWrap w:val="0"/>
            <w:vAlign w:val="center"/>
          </w:tcPr>
          <w:p w14:paraId="26AD7DF3">
            <w:pPr>
              <w:jc w:val="center"/>
              <w:rPr>
                <w:b/>
                <w:color w:val="auto"/>
                <w:sz w:val="24"/>
                <w:szCs w:val="24"/>
                <w:highlight w:val="none"/>
              </w:rPr>
            </w:pPr>
            <w:r>
              <w:rPr>
                <w:rFonts w:hint="eastAsia"/>
                <w:b/>
                <w:color w:val="auto"/>
                <w:sz w:val="24"/>
                <w:szCs w:val="24"/>
                <w:highlight w:val="none"/>
              </w:rPr>
              <w:t>占</w:t>
            </w:r>
            <w:r>
              <w:rPr>
                <w:rFonts w:hint="eastAsia"/>
                <w:b/>
                <w:color w:val="auto"/>
                <w:sz w:val="24"/>
                <w:szCs w:val="24"/>
                <w:highlight w:val="none"/>
                <w:lang w:val="en-US" w:eastAsia="zh-CN"/>
              </w:rPr>
              <w:t xml:space="preserve">  </w:t>
            </w:r>
            <w:r>
              <w:rPr>
                <w:rFonts w:hint="eastAsia"/>
                <w:b/>
                <w:color w:val="auto"/>
                <w:sz w:val="24"/>
                <w:szCs w:val="24"/>
                <w:highlight w:val="none"/>
              </w:rPr>
              <w:t>分</w:t>
            </w:r>
          </w:p>
        </w:tc>
        <w:tc>
          <w:tcPr>
            <w:tcW w:w="1276" w:type="dxa"/>
            <w:tcBorders>
              <w:tl2br w:val="nil"/>
              <w:tr2bl w:val="nil"/>
            </w:tcBorders>
            <w:noWrap w:val="0"/>
            <w:vAlign w:val="center"/>
          </w:tcPr>
          <w:p w14:paraId="3B1FE04B">
            <w:pPr>
              <w:jc w:val="center"/>
              <w:rPr>
                <w:b/>
                <w:color w:val="auto"/>
                <w:sz w:val="24"/>
                <w:szCs w:val="24"/>
                <w:highlight w:val="none"/>
              </w:rPr>
            </w:pPr>
            <w:r>
              <w:rPr>
                <w:rFonts w:hint="eastAsia"/>
                <w:b/>
                <w:color w:val="auto"/>
                <w:sz w:val="24"/>
                <w:szCs w:val="24"/>
                <w:highlight w:val="none"/>
              </w:rPr>
              <w:t>得</w:t>
            </w:r>
            <w:r>
              <w:rPr>
                <w:rFonts w:hint="eastAsia"/>
                <w:b/>
                <w:color w:val="auto"/>
                <w:sz w:val="24"/>
                <w:szCs w:val="24"/>
                <w:highlight w:val="none"/>
                <w:lang w:val="en-US" w:eastAsia="zh-CN"/>
              </w:rPr>
              <w:t xml:space="preserve">  </w:t>
            </w:r>
            <w:r>
              <w:rPr>
                <w:rFonts w:hint="eastAsia"/>
                <w:b/>
                <w:color w:val="auto"/>
                <w:sz w:val="24"/>
                <w:szCs w:val="24"/>
                <w:highlight w:val="none"/>
              </w:rPr>
              <w:t>分</w:t>
            </w:r>
          </w:p>
        </w:tc>
        <w:tc>
          <w:tcPr>
            <w:tcW w:w="2742" w:type="dxa"/>
            <w:tcBorders>
              <w:tl2br w:val="nil"/>
              <w:tr2bl w:val="nil"/>
            </w:tcBorders>
            <w:noWrap w:val="0"/>
            <w:vAlign w:val="center"/>
          </w:tcPr>
          <w:p w14:paraId="17B921D0">
            <w:pPr>
              <w:jc w:val="center"/>
              <w:rPr>
                <w:b/>
                <w:color w:val="auto"/>
                <w:sz w:val="24"/>
                <w:szCs w:val="24"/>
                <w:highlight w:val="none"/>
              </w:rPr>
            </w:pPr>
            <w:r>
              <w:rPr>
                <w:rFonts w:hint="eastAsia"/>
                <w:b/>
                <w:color w:val="auto"/>
                <w:sz w:val="24"/>
                <w:szCs w:val="24"/>
                <w:highlight w:val="none"/>
              </w:rPr>
              <w:t>扣</w:t>
            </w:r>
            <w:r>
              <w:rPr>
                <w:rFonts w:hint="eastAsia"/>
                <w:b/>
                <w:color w:val="auto"/>
                <w:sz w:val="24"/>
                <w:szCs w:val="24"/>
                <w:highlight w:val="none"/>
                <w:lang w:val="en-US" w:eastAsia="zh-CN"/>
              </w:rPr>
              <w:t xml:space="preserve">  </w:t>
            </w:r>
            <w:r>
              <w:rPr>
                <w:rFonts w:hint="eastAsia"/>
                <w:b/>
                <w:color w:val="auto"/>
                <w:sz w:val="24"/>
                <w:szCs w:val="24"/>
                <w:highlight w:val="none"/>
              </w:rPr>
              <w:t>分</w:t>
            </w:r>
            <w:r>
              <w:rPr>
                <w:rFonts w:hint="eastAsia"/>
                <w:b/>
                <w:color w:val="auto"/>
                <w:sz w:val="24"/>
                <w:szCs w:val="24"/>
                <w:highlight w:val="none"/>
                <w:lang w:val="en-US" w:eastAsia="zh-CN"/>
              </w:rPr>
              <w:t xml:space="preserve">  </w:t>
            </w:r>
            <w:r>
              <w:rPr>
                <w:rFonts w:hint="eastAsia"/>
                <w:b/>
                <w:color w:val="auto"/>
                <w:sz w:val="24"/>
                <w:szCs w:val="24"/>
                <w:highlight w:val="none"/>
              </w:rPr>
              <w:t>标</w:t>
            </w:r>
            <w:r>
              <w:rPr>
                <w:rFonts w:hint="eastAsia"/>
                <w:b/>
                <w:color w:val="auto"/>
                <w:sz w:val="24"/>
                <w:szCs w:val="24"/>
                <w:highlight w:val="none"/>
                <w:lang w:val="en-US" w:eastAsia="zh-CN"/>
              </w:rPr>
              <w:t xml:space="preserve">  </w:t>
            </w:r>
            <w:r>
              <w:rPr>
                <w:rFonts w:hint="eastAsia"/>
                <w:b/>
                <w:color w:val="auto"/>
                <w:sz w:val="24"/>
                <w:szCs w:val="24"/>
                <w:highlight w:val="none"/>
              </w:rPr>
              <w:t>准</w:t>
            </w:r>
          </w:p>
        </w:tc>
      </w:tr>
      <w:tr w14:paraId="0ADD86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restart"/>
            <w:tcBorders>
              <w:tl2br w:val="nil"/>
              <w:tr2bl w:val="nil"/>
            </w:tcBorders>
            <w:noWrap w:val="0"/>
            <w:vAlign w:val="center"/>
          </w:tcPr>
          <w:p w14:paraId="2EF10C17">
            <w:pPr>
              <w:jc w:val="center"/>
              <w:rPr>
                <w:color w:val="auto"/>
                <w:highlight w:val="none"/>
              </w:rPr>
            </w:pPr>
            <w:r>
              <w:rPr>
                <w:rFonts w:hint="eastAsia"/>
                <w:color w:val="auto"/>
                <w:highlight w:val="none"/>
              </w:rPr>
              <w:t>1</w:t>
            </w:r>
          </w:p>
        </w:tc>
        <w:tc>
          <w:tcPr>
            <w:tcW w:w="1260" w:type="dxa"/>
            <w:vMerge w:val="restart"/>
            <w:tcBorders>
              <w:tl2br w:val="nil"/>
              <w:tr2bl w:val="nil"/>
            </w:tcBorders>
            <w:noWrap w:val="0"/>
            <w:vAlign w:val="center"/>
          </w:tcPr>
          <w:p w14:paraId="3FA5A1D0">
            <w:pPr>
              <w:jc w:val="center"/>
              <w:rPr>
                <w:rFonts w:hint="eastAsia"/>
                <w:color w:val="auto"/>
                <w:highlight w:val="none"/>
              </w:rPr>
            </w:pPr>
            <w:r>
              <w:rPr>
                <w:rFonts w:hint="eastAsia"/>
                <w:color w:val="auto"/>
                <w:highlight w:val="none"/>
              </w:rPr>
              <w:t>室内公共部分</w:t>
            </w:r>
          </w:p>
          <w:p w14:paraId="356DEAE2">
            <w:pPr>
              <w:jc w:val="center"/>
              <w:rPr>
                <w:color w:val="auto"/>
                <w:highlight w:val="none"/>
              </w:rPr>
            </w:pPr>
            <w:r>
              <w:rPr>
                <w:rFonts w:hint="eastAsia"/>
                <w:color w:val="auto"/>
                <w:highlight w:val="none"/>
              </w:rPr>
              <w:t>（35分）</w:t>
            </w:r>
          </w:p>
        </w:tc>
        <w:tc>
          <w:tcPr>
            <w:tcW w:w="7802" w:type="dxa"/>
            <w:tcBorders>
              <w:tl2br w:val="nil"/>
              <w:tr2bl w:val="nil"/>
            </w:tcBorders>
            <w:noWrap w:val="0"/>
            <w:vAlign w:val="center"/>
          </w:tcPr>
          <w:p w14:paraId="7200B416">
            <w:pPr>
              <w:jc w:val="both"/>
              <w:rPr>
                <w:rFonts w:hint="eastAsia" w:eastAsia="宋体"/>
                <w:color w:val="auto"/>
                <w:highlight w:val="none"/>
                <w:lang w:eastAsia="zh-CN"/>
              </w:rPr>
            </w:pPr>
            <w:r>
              <w:rPr>
                <w:rFonts w:hint="eastAsia"/>
                <w:color w:val="auto"/>
                <w:highlight w:val="none"/>
              </w:rPr>
              <w:t>地面整洁光亮，无杂物、烟头、纸屑、无积水、水迹现象。每层楼不超过3处，垃圾滞留时间不超过10分钟。</w:t>
            </w:r>
          </w:p>
        </w:tc>
        <w:tc>
          <w:tcPr>
            <w:tcW w:w="1276" w:type="dxa"/>
            <w:tcBorders>
              <w:tl2br w:val="nil"/>
              <w:tr2bl w:val="nil"/>
            </w:tcBorders>
            <w:noWrap w:val="0"/>
            <w:vAlign w:val="center"/>
          </w:tcPr>
          <w:p w14:paraId="0EA36EBE">
            <w:pPr>
              <w:jc w:val="center"/>
              <w:rPr>
                <w:color w:val="auto"/>
                <w:highlight w:val="none"/>
              </w:rPr>
            </w:pPr>
            <w:r>
              <w:rPr>
                <w:rFonts w:hint="eastAsia"/>
                <w:color w:val="auto"/>
                <w:highlight w:val="none"/>
                <w:lang w:val="en-US" w:eastAsia="zh-CN"/>
              </w:rPr>
              <w:t>5</w:t>
            </w:r>
            <w:r>
              <w:rPr>
                <w:rFonts w:hint="eastAsia"/>
                <w:color w:val="auto"/>
                <w:highlight w:val="none"/>
              </w:rPr>
              <w:t>分</w:t>
            </w:r>
          </w:p>
        </w:tc>
        <w:tc>
          <w:tcPr>
            <w:tcW w:w="1276" w:type="dxa"/>
            <w:tcBorders>
              <w:tl2br w:val="nil"/>
              <w:tr2bl w:val="nil"/>
            </w:tcBorders>
            <w:noWrap w:val="0"/>
            <w:vAlign w:val="top"/>
          </w:tcPr>
          <w:p w14:paraId="075EB134">
            <w:pPr>
              <w:jc w:val="center"/>
              <w:rPr>
                <w:color w:val="auto"/>
                <w:highlight w:val="none"/>
              </w:rPr>
            </w:pPr>
          </w:p>
        </w:tc>
        <w:tc>
          <w:tcPr>
            <w:tcW w:w="2742" w:type="dxa"/>
            <w:tcBorders>
              <w:tl2br w:val="nil"/>
              <w:tr2bl w:val="nil"/>
            </w:tcBorders>
            <w:noWrap w:val="0"/>
            <w:vAlign w:val="center"/>
          </w:tcPr>
          <w:p w14:paraId="511EB8F6">
            <w:pPr>
              <w:jc w:val="center"/>
              <w:rPr>
                <w:rFonts w:hint="eastAsia" w:eastAsia="宋体"/>
                <w:color w:val="auto"/>
                <w:highlight w:val="none"/>
                <w:lang w:eastAsia="zh-CN"/>
              </w:rPr>
            </w:pPr>
            <w:r>
              <w:rPr>
                <w:rFonts w:hint="eastAsia"/>
                <w:color w:val="auto"/>
                <w:highlight w:val="none"/>
              </w:rPr>
              <w:t>发现1次问题扣2分</w:t>
            </w:r>
          </w:p>
        </w:tc>
      </w:tr>
      <w:tr w14:paraId="12CD39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center"/>
          </w:tcPr>
          <w:p w14:paraId="6E0D1890">
            <w:pPr>
              <w:jc w:val="center"/>
              <w:rPr>
                <w:color w:val="auto"/>
                <w:highlight w:val="none"/>
              </w:rPr>
            </w:pPr>
          </w:p>
        </w:tc>
        <w:tc>
          <w:tcPr>
            <w:tcW w:w="1260" w:type="dxa"/>
            <w:vMerge w:val="continue"/>
            <w:tcBorders>
              <w:tl2br w:val="nil"/>
              <w:tr2bl w:val="nil"/>
            </w:tcBorders>
            <w:noWrap w:val="0"/>
            <w:vAlign w:val="center"/>
          </w:tcPr>
          <w:p w14:paraId="0E1F540A">
            <w:pPr>
              <w:jc w:val="center"/>
              <w:rPr>
                <w:color w:val="auto"/>
                <w:highlight w:val="none"/>
              </w:rPr>
            </w:pPr>
          </w:p>
        </w:tc>
        <w:tc>
          <w:tcPr>
            <w:tcW w:w="7802" w:type="dxa"/>
            <w:tcBorders>
              <w:tl2br w:val="nil"/>
              <w:tr2bl w:val="nil"/>
            </w:tcBorders>
            <w:noWrap w:val="0"/>
            <w:vAlign w:val="center"/>
          </w:tcPr>
          <w:p w14:paraId="066F3DFC">
            <w:pPr>
              <w:jc w:val="both"/>
              <w:rPr>
                <w:rFonts w:hint="eastAsia" w:eastAsia="宋体"/>
                <w:color w:val="auto"/>
                <w:highlight w:val="none"/>
                <w:lang w:eastAsia="zh-CN"/>
              </w:rPr>
            </w:pPr>
            <w:r>
              <w:rPr>
                <w:rFonts w:hint="eastAsia"/>
                <w:color w:val="auto"/>
                <w:highlight w:val="none"/>
                <w:lang w:eastAsia="zh-CN"/>
              </w:rPr>
              <w:t>2米以下墙壁、玻璃幕墙及墙体有关附属设施无污迹、无灰尘,纸巾擦拭50公分无污渍。</w:t>
            </w:r>
          </w:p>
        </w:tc>
        <w:tc>
          <w:tcPr>
            <w:tcW w:w="1276" w:type="dxa"/>
            <w:tcBorders>
              <w:tl2br w:val="nil"/>
              <w:tr2bl w:val="nil"/>
            </w:tcBorders>
            <w:noWrap w:val="0"/>
            <w:vAlign w:val="center"/>
          </w:tcPr>
          <w:p w14:paraId="5D3AB1E4">
            <w:pPr>
              <w:jc w:val="center"/>
              <w:rPr>
                <w:color w:val="auto"/>
                <w:highlight w:val="none"/>
              </w:rPr>
            </w:pPr>
            <w:r>
              <w:rPr>
                <w:rFonts w:hint="eastAsia"/>
                <w:color w:val="auto"/>
                <w:highlight w:val="none"/>
                <w:lang w:val="en-US" w:eastAsia="zh-CN"/>
              </w:rPr>
              <w:t>2</w:t>
            </w:r>
            <w:r>
              <w:rPr>
                <w:rFonts w:hint="eastAsia"/>
                <w:color w:val="auto"/>
                <w:highlight w:val="none"/>
              </w:rPr>
              <w:t>分</w:t>
            </w:r>
          </w:p>
        </w:tc>
        <w:tc>
          <w:tcPr>
            <w:tcW w:w="1276" w:type="dxa"/>
            <w:tcBorders>
              <w:tl2br w:val="nil"/>
              <w:tr2bl w:val="nil"/>
            </w:tcBorders>
            <w:noWrap w:val="0"/>
            <w:vAlign w:val="top"/>
          </w:tcPr>
          <w:p w14:paraId="7B73C527">
            <w:pPr>
              <w:jc w:val="center"/>
              <w:rPr>
                <w:color w:val="auto"/>
                <w:highlight w:val="none"/>
              </w:rPr>
            </w:pPr>
          </w:p>
        </w:tc>
        <w:tc>
          <w:tcPr>
            <w:tcW w:w="2742" w:type="dxa"/>
            <w:tcBorders>
              <w:tl2br w:val="nil"/>
              <w:tr2bl w:val="nil"/>
            </w:tcBorders>
            <w:noWrap w:val="0"/>
            <w:vAlign w:val="center"/>
          </w:tcPr>
          <w:p w14:paraId="79C6FEFB">
            <w:pPr>
              <w:jc w:val="center"/>
              <w:rPr>
                <w:color w:val="auto"/>
                <w:highlight w:val="none"/>
              </w:rPr>
            </w:pPr>
            <w:r>
              <w:rPr>
                <w:rFonts w:hint="eastAsia"/>
                <w:color w:val="auto"/>
                <w:highlight w:val="none"/>
              </w:rPr>
              <w:t>发现1次问题扣</w:t>
            </w:r>
            <w:r>
              <w:rPr>
                <w:rFonts w:hint="eastAsia"/>
                <w:color w:val="auto"/>
                <w:highlight w:val="none"/>
                <w:lang w:val="en-US" w:eastAsia="zh-CN"/>
              </w:rPr>
              <w:t>1</w:t>
            </w:r>
            <w:r>
              <w:rPr>
                <w:rFonts w:hint="eastAsia"/>
                <w:color w:val="auto"/>
                <w:highlight w:val="none"/>
              </w:rPr>
              <w:t>分</w:t>
            </w:r>
          </w:p>
        </w:tc>
      </w:tr>
      <w:tr w14:paraId="2658E6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center"/>
          </w:tcPr>
          <w:p w14:paraId="16C4DB80">
            <w:pPr>
              <w:jc w:val="center"/>
              <w:rPr>
                <w:color w:val="auto"/>
                <w:highlight w:val="none"/>
              </w:rPr>
            </w:pPr>
          </w:p>
        </w:tc>
        <w:tc>
          <w:tcPr>
            <w:tcW w:w="1260" w:type="dxa"/>
            <w:vMerge w:val="continue"/>
            <w:tcBorders>
              <w:tl2br w:val="nil"/>
              <w:tr2bl w:val="nil"/>
            </w:tcBorders>
            <w:noWrap w:val="0"/>
            <w:vAlign w:val="center"/>
          </w:tcPr>
          <w:p w14:paraId="07293FEA">
            <w:pPr>
              <w:jc w:val="center"/>
              <w:rPr>
                <w:color w:val="auto"/>
                <w:highlight w:val="none"/>
              </w:rPr>
            </w:pPr>
          </w:p>
        </w:tc>
        <w:tc>
          <w:tcPr>
            <w:tcW w:w="7802" w:type="dxa"/>
            <w:tcBorders>
              <w:tl2br w:val="nil"/>
              <w:tr2bl w:val="nil"/>
            </w:tcBorders>
            <w:noWrap w:val="0"/>
            <w:vAlign w:val="center"/>
          </w:tcPr>
          <w:p w14:paraId="5392ED0C">
            <w:pPr>
              <w:jc w:val="both"/>
              <w:rPr>
                <w:rFonts w:hint="eastAsia" w:eastAsia="宋体"/>
                <w:color w:val="auto"/>
                <w:highlight w:val="none"/>
                <w:lang w:eastAsia="zh-CN"/>
              </w:rPr>
            </w:pPr>
            <w:r>
              <w:rPr>
                <w:rFonts w:hint="eastAsia"/>
                <w:color w:val="auto"/>
                <w:highlight w:val="none"/>
              </w:rPr>
              <w:t>公共设施(排风百叶、灯饰、消防器具、垃圾箱等)、设备无锈迹、无灰尘、污迹等。</w:t>
            </w:r>
          </w:p>
        </w:tc>
        <w:tc>
          <w:tcPr>
            <w:tcW w:w="1276" w:type="dxa"/>
            <w:tcBorders>
              <w:tl2br w:val="nil"/>
              <w:tr2bl w:val="nil"/>
            </w:tcBorders>
            <w:noWrap w:val="0"/>
            <w:vAlign w:val="center"/>
          </w:tcPr>
          <w:p w14:paraId="14660D29">
            <w:pPr>
              <w:jc w:val="center"/>
              <w:rPr>
                <w:color w:val="auto"/>
                <w:highlight w:val="none"/>
              </w:rPr>
            </w:pPr>
            <w:r>
              <w:rPr>
                <w:rFonts w:hint="eastAsia"/>
                <w:color w:val="auto"/>
                <w:highlight w:val="none"/>
              </w:rPr>
              <w:t>5分</w:t>
            </w:r>
          </w:p>
        </w:tc>
        <w:tc>
          <w:tcPr>
            <w:tcW w:w="1276" w:type="dxa"/>
            <w:tcBorders>
              <w:tl2br w:val="nil"/>
              <w:tr2bl w:val="nil"/>
            </w:tcBorders>
            <w:noWrap w:val="0"/>
            <w:vAlign w:val="top"/>
          </w:tcPr>
          <w:p w14:paraId="7AF52E4D">
            <w:pPr>
              <w:jc w:val="center"/>
              <w:rPr>
                <w:color w:val="auto"/>
                <w:highlight w:val="none"/>
              </w:rPr>
            </w:pPr>
          </w:p>
        </w:tc>
        <w:tc>
          <w:tcPr>
            <w:tcW w:w="2742" w:type="dxa"/>
            <w:tcBorders>
              <w:tl2br w:val="nil"/>
              <w:tr2bl w:val="nil"/>
            </w:tcBorders>
            <w:noWrap w:val="0"/>
            <w:vAlign w:val="center"/>
          </w:tcPr>
          <w:p w14:paraId="12997F32">
            <w:pPr>
              <w:jc w:val="center"/>
              <w:rPr>
                <w:color w:val="auto"/>
                <w:highlight w:val="none"/>
              </w:rPr>
            </w:pPr>
            <w:r>
              <w:rPr>
                <w:rFonts w:hint="eastAsia"/>
                <w:color w:val="auto"/>
                <w:highlight w:val="none"/>
              </w:rPr>
              <w:t>发现1次问题扣</w:t>
            </w:r>
            <w:r>
              <w:rPr>
                <w:rFonts w:hint="eastAsia"/>
                <w:color w:val="auto"/>
                <w:highlight w:val="none"/>
                <w:lang w:val="en-US" w:eastAsia="zh-CN"/>
              </w:rPr>
              <w:t>2</w:t>
            </w:r>
            <w:r>
              <w:rPr>
                <w:rFonts w:hint="eastAsia"/>
                <w:color w:val="auto"/>
                <w:highlight w:val="none"/>
              </w:rPr>
              <w:t>分</w:t>
            </w:r>
          </w:p>
        </w:tc>
      </w:tr>
      <w:tr w14:paraId="35C879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center"/>
          </w:tcPr>
          <w:p w14:paraId="0E98DFC7">
            <w:pPr>
              <w:jc w:val="center"/>
              <w:rPr>
                <w:color w:val="auto"/>
                <w:highlight w:val="none"/>
              </w:rPr>
            </w:pPr>
          </w:p>
        </w:tc>
        <w:tc>
          <w:tcPr>
            <w:tcW w:w="1260" w:type="dxa"/>
            <w:vMerge w:val="continue"/>
            <w:tcBorders>
              <w:tl2br w:val="nil"/>
              <w:tr2bl w:val="nil"/>
            </w:tcBorders>
            <w:noWrap w:val="0"/>
            <w:vAlign w:val="center"/>
          </w:tcPr>
          <w:p w14:paraId="49751001">
            <w:pPr>
              <w:jc w:val="center"/>
              <w:rPr>
                <w:color w:val="auto"/>
                <w:highlight w:val="none"/>
              </w:rPr>
            </w:pPr>
          </w:p>
        </w:tc>
        <w:tc>
          <w:tcPr>
            <w:tcW w:w="7802" w:type="dxa"/>
            <w:tcBorders>
              <w:tl2br w:val="nil"/>
              <w:tr2bl w:val="nil"/>
            </w:tcBorders>
            <w:noWrap w:val="0"/>
            <w:vAlign w:val="center"/>
          </w:tcPr>
          <w:p w14:paraId="16243157">
            <w:pPr>
              <w:jc w:val="both"/>
              <w:rPr>
                <w:rFonts w:hint="eastAsia" w:eastAsia="宋体"/>
                <w:color w:val="auto"/>
                <w:highlight w:val="none"/>
                <w:lang w:eastAsia="zh-CN"/>
              </w:rPr>
            </w:pPr>
            <w:r>
              <w:rPr>
                <w:rFonts w:hint="eastAsia"/>
                <w:color w:val="auto"/>
                <w:highlight w:val="none"/>
              </w:rPr>
              <w:t>公共绿化盆景无明显杂物。</w:t>
            </w:r>
          </w:p>
        </w:tc>
        <w:tc>
          <w:tcPr>
            <w:tcW w:w="1276" w:type="dxa"/>
            <w:tcBorders>
              <w:tl2br w:val="nil"/>
              <w:tr2bl w:val="nil"/>
            </w:tcBorders>
            <w:noWrap w:val="0"/>
            <w:vAlign w:val="center"/>
          </w:tcPr>
          <w:p w14:paraId="5A8DB43D">
            <w:pPr>
              <w:jc w:val="center"/>
              <w:rPr>
                <w:color w:val="auto"/>
                <w:highlight w:val="none"/>
              </w:rPr>
            </w:pPr>
            <w:r>
              <w:rPr>
                <w:rFonts w:hint="eastAsia"/>
                <w:color w:val="auto"/>
                <w:highlight w:val="none"/>
                <w:lang w:val="en-US" w:eastAsia="zh-CN"/>
              </w:rPr>
              <w:t>2</w:t>
            </w:r>
            <w:r>
              <w:rPr>
                <w:rFonts w:hint="eastAsia"/>
                <w:color w:val="auto"/>
                <w:highlight w:val="none"/>
              </w:rPr>
              <w:t>分</w:t>
            </w:r>
          </w:p>
        </w:tc>
        <w:tc>
          <w:tcPr>
            <w:tcW w:w="1276" w:type="dxa"/>
            <w:tcBorders>
              <w:tl2br w:val="nil"/>
              <w:tr2bl w:val="nil"/>
            </w:tcBorders>
            <w:noWrap w:val="0"/>
            <w:vAlign w:val="top"/>
          </w:tcPr>
          <w:p w14:paraId="26390088">
            <w:pPr>
              <w:jc w:val="center"/>
              <w:rPr>
                <w:color w:val="auto"/>
                <w:highlight w:val="none"/>
              </w:rPr>
            </w:pPr>
          </w:p>
        </w:tc>
        <w:tc>
          <w:tcPr>
            <w:tcW w:w="2742" w:type="dxa"/>
            <w:tcBorders>
              <w:tl2br w:val="nil"/>
              <w:tr2bl w:val="nil"/>
            </w:tcBorders>
            <w:noWrap w:val="0"/>
            <w:vAlign w:val="center"/>
          </w:tcPr>
          <w:p w14:paraId="5A6B0526">
            <w:pPr>
              <w:jc w:val="center"/>
              <w:rPr>
                <w:rFonts w:hint="eastAsia" w:eastAsia="宋体"/>
                <w:color w:val="auto"/>
                <w:highlight w:val="none"/>
                <w:lang w:eastAsia="zh-CN"/>
              </w:rPr>
            </w:pPr>
            <w:r>
              <w:rPr>
                <w:rFonts w:hint="eastAsia"/>
                <w:color w:val="auto"/>
                <w:highlight w:val="none"/>
              </w:rPr>
              <w:t>发现1次</w:t>
            </w:r>
            <w:r>
              <w:rPr>
                <w:rFonts w:hint="eastAsia"/>
                <w:color w:val="auto"/>
                <w:highlight w:val="none"/>
                <w:lang w:eastAsia="zh-CN"/>
              </w:rPr>
              <w:t>问题</w:t>
            </w:r>
            <w:r>
              <w:rPr>
                <w:rFonts w:hint="eastAsia"/>
                <w:color w:val="auto"/>
                <w:highlight w:val="none"/>
              </w:rPr>
              <w:t>扣</w:t>
            </w:r>
            <w:r>
              <w:rPr>
                <w:rFonts w:hint="eastAsia"/>
                <w:color w:val="auto"/>
                <w:highlight w:val="none"/>
                <w:lang w:val="en-US" w:eastAsia="zh-CN"/>
              </w:rPr>
              <w:t>1</w:t>
            </w:r>
            <w:r>
              <w:rPr>
                <w:rFonts w:hint="eastAsia"/>
                <w:color w:val="auto"/>
                <w:highlight w:val="none"/>
              </w:rPr>
              <w:t>分</w:t>
            </w:r>
          </w:p>
        </w:tc>
      </w:tr>
      <w:tr w14:paraId="06AD3E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center"/>
          </w:tcPr>
          <w:p w14:paraId="107DCFB4">
            <w:pPr>
              <w:jc w:val="center"/>
              <w:rPr>
                <w:color w:val="auto"/>
                <w:highlight w:val="none"/>
              </w:rPr>
            </w:pPr>
          </w:p>
        </w:tc>
        <w:tc>
          <w:tcPr>
            <w:tcW w:w="1260" w:type="dxa"/>
            <w:vMerge w:val="continue"/>
            <w:tcBorders>
              <w:tl2br w:val="nil"/>
              <w:tr2bl w:val="nil"/>
            </w:tcBorders>
            <w:noWrap w:val="0"/>
            <w:vAlign w:val="center"/>
          </w:tcPr>
          <w:p w14:paraId="408F2E16">
            <w:pPr>
              <w:jc w:val="center"/>
              <w:rPr>
                <w:color w:val="auto"/>
                <w:highlight w:val="none"/>
              </w:rPr>
            </w:pPr>
          </w:p>
        </w:tc>
        <w:tc>
          <w:tcPr>
            <w:tcW w:w="7802" w:type="dxa"/>
            <w:tcBorders>
              <w:tl2br w:val="nil"/>
              <w:tr2bl w:val="nil"/>
            </w:tcBorders>
            <w:noWrap w:val="0"/>
            <w:vAlign w:val="center"/>
          </w:tcPr>
          <w:p w14:paraId="5BEAA248">
            <w:pPr>
              <w:jc w:val="both"/>
              <w:rPr>
                <w:rFonts w:hint="eastAsia"/>
                <w:color w:val="auto"/>
                <w:highlight w:val="none"/>
              </w:rPr>
            </w:pPr>
            <w:r>
              <w:rPr>
                <w:rFonts w:hint="eastAsia"/>
                <w:color w:val="auto"/>
                <w:highlight w:val="none"/>
              </w:rPr>
              <w:t>垃圾箱内垃圾不超过容积2/3，箱顶烟头、杂物不超过2个/处。</w:t>
            </w:r>
          </w:p>
        </w:tc>
        <w:tc>
          <w:tcPr>
            <w:tcW w:w="1276" w:type="dxa"/>
            <w:tcBorders>
              <w:tl2br w:val="nil"/>
              <w:tr2bl w:val="nil"/>
            </w:tcBorders>
            <w:noWrap w:val="0"/>
            <w:vAlign w:val="center"/>
          </w:tcPr>
          <w:p w14:paraId="65124C8D">
            <w:pPr>
              <w:jc w:val="center"/>
              <w:rPr>
                <w:rFonts w:hint="eastAsia"/>
                <w:color w:val="auto"/>
                <w:highlight w:val="none"/>
              </w:rPr>
            </w:pPr>
            <w:r>
              <w:rPr>
                <w:rFonts w:hint="eastAsia"/>
                <w:color w:val="auto"/>
                <w:highlight w:val="none"/>
                <w:lang w:val="en-US" w:eastAsia="zh-CN"/>
              </w:rPr>
              <w:t>5</w:t>
            </w:r>
            <w:r>
              <w:rPr>
                <w:rFonts w:hint="eastAsia"/>
                <w:color w:val="auto"/>
                <w:highlight w:val="none"/>
              </w:rPr>
              <w:t>分</w:t>
            </w:r>
          </w:p>
        </w:tc>
        <w:tc>
          <w:tcPr>
            <w:tcW w:w="1276" w:type="dxa"/>
            <w:tcBorders>
              <w:tl2br w:val="nil"/>
              <w:tr2bl w:val="nil"/>
            </w:tcBorders>
            <w:noWrap w:val="0"/>
            <w:vAlign w:val="top"/>
          </w:tcPr>
          <w:p w14:paraId="3F123994">
            <w:pPr>
              <w:jc w:val="center"/>
              <w:rPr>
                <w:color w:val="auto"/>
                <w:highlight w:val="none"/>
              </w:rPr>
            </w:pPr>
          </w:p>
        </w:tc>
        <w:tc>
          <w:tcPr>
            <w:tcW w:w="2742" w:type="dxa"/>
            <w:tcBorders>
              <w:tl2br w:val="nil"/>
              <w:tr2bl w:val="nil"/>
            </w:tcBorders>
            <w:noWrap w:val="0"/>
            <w:vAlign w:val="center"/>
          </w:tcPr>
          <w:p w14:paraId="085CAA31">
            <w:pPr>
              <w:jc w:val="center"/>
              <w:rPr>
                <w:rFonts w:hint="eastAsia"/>
                <w:color w:val="auto"/>
                <w:highlight w:val="none"/>
              </w:rPr>
            </w:pPr>
            <w:r>
              <w:rPr>
                <w:rFonts w:hint="eastAsia"/>
                <w:color w:val="auto"/>
                <w:highlight w:val="none"/>
              </w:rPr>
              <w:t>发现1次问题扣2分</w:t>
            </w:r>
          </w:p>
        </w:tc>
      </w:tr>
      <w:tr w14:paraId="23EA71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center"/>
          </w:tcPr>
          <w:p w14:paraId="690F51A3">
            <w:pPr>
              <w:jc w:val="center"/>
              <w:rPr>
                <w:color w:val="auto"/>
                <w:highlight w:val="none"/>
              </w:rPr>
            </w:pPr>
          </w:p>
        </w:tc>
        <w:tc>
          <w:tcPr>
            <w:tcW w:w="1260" w:type="dxa"/>
            <w:vMerge w:val="continue"/>
            <w:tcBorders>
              <w:tl2br w:val="nil"/>
              <w:tr2bl w:val="nil"/>
            </w:tcBorders>
            <w:noWrap w:val="0"/>
            <w:vAlign w:val="center"/>
          </w:tcPr>
          <w:p w14:paraId="262464BD">
            <w:pPr>
              <w:jc w:val="center"/>
              <w:rPr>
                <w:color w:val="auto"/>
                <w:highlight w:val="none"/>
              </w:rPr>
            </w:pPr>
          </w:p>
        </w:tc>
        <w:tc>
          <w:tcPr>
            <w:tcW w:w="7802" w:type="dxa"/>
            <w:tcBorders>
              <w:tl2br w:val="nil"/>
              <w:tr2bl w:val="nil"/>
            </w:tcBorders>
            <w:noWrap w:val="0"/>
            <w:vAlign w:val="center"/>
          </w:tcPr>
          <w:p w14:paraId="3AD66E06">
            <w:pPr>
              <w:jc w:val="both"/>
              <w:rPr>
                <w:rFonts w:hint="eastAsia"/>
                <w:color w:val="auto"/>
                <w:highlight w:val="none"/>
              </w:rPr>
            </w:pPr>
            <w:r>
              <w:rPr>
                <w:rFonts w:hint="eastAsia"/>
                <w:color w:val="auto"/>
                <w:highlight w:val="none"/>
              </w:rPr>
              <w:t>作业时，容易危及人身安全的公共区域应有明显的警示性标志和防范措施。</w:t>
            </w:r>
          </w:p>
        </w:tc>
        <w:tc>
          <w:tcPr>
            <w:tcW w:w="1276" w:type="dxa"/>
            <w:tcBorders>
              <w:tl2br w:val="nil"/>
              <w:tr2bl w:val="nil"/>
            </w:tcBorders>
            <w:noWrap w:val="0"/>
            <w:vAlign w:val="center"/>
          </w:tcPr>
          <w:p w14:paraId="3ACF0008">
            <w:pPr>
              <w:jc w:val="center"/>
              <w:rPr>
                <w:rFonts w:hint="eastAsia" w:eastAsia="宋体"/>
                <w:color w:val="auto"/>
                <w:highlight w:val="none"/>
                <w:lang w:val="en-US" w:eastAsia="zh-CN"/>
              </w:rPr>
            </w:pPr>
            <w:r>
              <w:rPr>
                <w:rFonts w:hint="eastAsia"/>
                <w:color w:val="auto"/>
                <w:highlight w:val="none"/>
                <w:lang w:val="en-US" w:eastAsia="zh-CN"/>
              </w:rPr>
              <w:t>1分</w:t>
            </w:r>
          </w:p>
        </w:tc>
        <w:tc>
          <w:tcPr>
            <w:tcW w:w="1276" w:type="dxa"/>
            <w:tcBorders>
              <w:tl2br w:val="nil"/>
              <w:tr2bl w:val="nil"/>
            </w:tcBorders>
            <w:noWrap w:val="0"/>
            <w:vAlign w:val="top"/>
          </w:tcPr>
          <w:p w14:paraId="70EE86F6">
            <w:pPr>
              <w:jc w:val="center"/>
              <w:rPr>
                <w:color w:val="auto"/>
                <w:highlight w:val="none"/>
              </w:rPr>
            </w:pPr>
          </w:p>
        </w:tc>
        <w:tc>
          <w:tcPr>
            <w:tcW w:w="2742" w:type="dxa"/>
            <w:tcBorders>
              <w:tl2br w:val="nil"/>
              <w:tr2bl w:val="nil"/>
            </w:tcBorders>
            <w:noWrap w:val="0"/>
            <w:vAlign w:val="center"/>
          </w:tcPr>
          <w:p w14:paraId="3EB67D2E">
            <w:pPr>
              <w:jc w:val="center"/>
              <w:rPr>
                <w:rFonts w:hint="eastAsia"/>
                <w:color w:val="auto"/>
                <w:highlight w:val="none"/>
              </w:rPr>
            </w:pPr>
            <w:r>
              <w:rPr>
                <w:rFonts w:hint="eastAsia"/>
                <w:color w:val="auto"/>
                <w:highlight w:val="none"/>
              </w:rPr>
              <w:t>发现1次问题扣</w:t>
            </w:r>
            <w:r>
              <w:rPr>
                <w:rFonts w:hint="eastAsia"/>
                <w:color w:val="auto"/>
                <w:highlight w:val="none"/>
                <w:lang w:val="en-US" w:eastAsia="zh-CN"/>
              </w:rPr>
              <w:t>1</w:t>
            </w:r>
            <w:r>
              <w:rPr>
                <w:rFonts w:hint="eastAsia"/>
                <w:color w:val="auto"/>
                <w:highlight w:val="none"/>
              </w:rPr>
              <w:t>分</w:t>
            </w:r>
          </w:p>
        </w:tc>
      </w:tr>
      <w:tr w14:paraId="27AB41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center"/>
          </w:tcPr>
          <w:p w14:paraId="66C76712">
            <w:pPr>
              <w:jc w:val="center"/>
              <w:rPr>
                <w:color w:val="auto"/>
                <w:highlight w:val="none"/>
              </w:rPr>
            </w:pPr>
          </w:p>
        </w:tc>
        <w:tc>
          <w:tcPr>
            <w:tcW w:w="1260" w:type="dxa"/>
            <w:vMerge w:val="continue"/>
            <w:tcBorders>
              <w:tl2br w:val="nil"/>
              <w:tr2bl w:val="nil"/>
            </w:tcBorders>
            <w:noWrap w:val="0"/>
            <w:vAlign w:val="center"/>
          </w:tcPr>
          <w:p w14:paraId="6C34C128">
            <w:pPr>
              <w:jc w:val="center"/>
              <w:rPr>
                <w:color w:val="auto"/>
                <w:highlight w:val="none"/>
              </w:rPr>
            </w:pPr>
          </w:p>
        </w:tc>
        <w:tc>
          <w:tcPr>
            <w:tcW w:w="7802" w:type="dxa"/>
            <w:tcBorders>
              <w:tl2br w:val="nil"/>
              <w:tr2bl w:val="nil"/>
            </w:tcBorders>
            <w:noWrap w:val="0"/>
            <w:vAlign w:val="center"/>
          </w:tcPr>
          <w:p w14:paraId="223E8735">
            <w:pPr>
              <w:jc w:val="both"/>
              <w:rPr>
                <w:rFonts w:hint="eastAsia"/>
                <w:color w:val="auto"/>
                <w:highlight w:val="none"/>
              </w:rPr>
            </w:pPr>
            <w:r>
              <w:rPr>
                <w:rFonts w:hint="eastAsia"/>
                <w:color w:val="auto"/>
                <w:highlight w:val="none"/>
              </w:rPr>
              <w:t>排水沟内无杂物、无淤泥、无堵塞现象。 </w:t>
            </w:r>
          </w:p>
        </w:tc>
        <w:tc>
          <w:tcPr>
            <w:tcW w:w="1276" w:type="dxa"/>
            <w:tcBorders>
              <w:tl2br w:val="nil"/>
              <w:tr2bl w:val="nil"/>
            </w:tcBorders>
            <w:noWrap w:val="0"/>
            <w:vAlign w:val="center"/>
          </w:tcPr>
          <w:p w14:paraId="5F2F1C45">
            <w:pPr>
              <w:jc w:val="center"/>
              <w:rPr>
                <w:rFonts w:hint="eastAsia"/>
                <w:color w:val="auto"/>
                <w:highlight w:val="none"/>
              </w:rPr>
            </w:pPr>
            <w:r>
              <w:rPr>
                <w:rFonts w:hint="eastAsia"/>
                <w:color w:val="auto"/>
                <w:highlight w:val="none"/>
                <w:lang w:val="en-US" w:eastAsia="zh-CN"/>
              </w:rPr>
              <w:t>5</w:t>
            </w:r>
            <w:r>
              <w:rPr>
                <w:rFonts w:hint="eastAsia"/>
                <w:color w:val="auto"/>
                <w:highlight w:val="none"/>
              </w:rPr>
              <w:t>分</w:t>
            </w:r>
          </w:p>
        </w:tc>
        <w:tc>
          <w:tcPr>
            <w:tcW w:w="1276" w:type="dxa"/>
            <w:tcBorders>
              <w:tl2br w:val="nil"/>
              <w:tr2bl w:val="nil"/>
            </w:tcBorders>
            <w:noWrap w:val="0"/>
            <w:vAlign w:val="top"/>
          </w:tcPr>
          <w:p w14:paraId="51BEC81C">
            <w:pPr>
              <w:jc w:val="center"/>
              <w:rPr>
                <w:color w:val="auto"/>
                <w:highlight w:val="none"/>
              </w:rPr>
            </w:pPr>
          </w:p>
        </w:tc>
        <w:tc>
          <w:tcPr>
            <w:tcW w:w="2742" w:type="dxa"/>
            <w:tcBorders>
              <w:tl2br w:val="nil"/>
              <w:tr2bl w:val="nil"/>
            </w:tcBorders>
            <w:noWrap w:val="0"/>
            <w:vAlign w:val="center"/>
          </w:tcPr>
          <w:p w14:paraId="593272CB">
            <w:pPr>
              <w:jc w:val="center"/>
              <w:rPr>
                <w:rFonts w:hint="eastAsia"/>
                <w:color w:val="auto"/>
                <w:highlight w:val="none"/>
              </w:rPr>
            </w:pPr>
            <w:r>
              <w:rPr>
                <w:rFonts w:hint="eastAsia"/>
                <w:color w:val="auto"/>
                <w:highlight w:val="none"/>
              </w:rPr>
              <w:t>发现1次问题扣2分</w:t>
            </w:r>
          </w:p>
        </w:tc>
      </w:tr>
      <w:tr w14:paraId="57CF04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center"/>
          </w:tcPr>
          <w:p w14:paraId="4FF557C4">
            <w:pPr>
              <w:jc w:val="center"/>
              <w:rPr>
                <w:color w:val="auto"/>
                <w:highlight w:val="none"/>
              </w:rPr>
            </w:pPr>
          </w:p>
        </w:tc>
        <w:tc>
          <w:tcPr>
            <w:tcW w:w="1260" w:type="dxa"/>
            <w:vMerge w:val="continue"/>
            <w:tcBorders>
              <w:tl2br w:val="nil"/>
              <w:tr2bl w:val="nil"/>
            </w:tcBorders>
            <w:noWrap w:val="0"/>
            <w:vAlign w:val="center"/>
          </w:tcPr>
          <w:p w14:paraId="0F0EA15D">
            <w:pPr>
              <w:jc w:val="center"/>
              <w:rPr>
                <w:color w:val="auto"/>
                <w:highlight w:val="none"/>
              </w:rPr>
            </w:pPr>
          </w:p>
        </w:tc>
        <w:tc>
          <w:tcPr>
            <w:tcW w:w="7802" w:type="dxa"/>
            <w:tcBorders>
              <w:tl2br w:val="nil"/>
              <w:tr2bl w:val="nil"/>
            </w:tcBorders>
            <w:noWrap w:val="0"/>
            <w:vAlign w:val="center"/>
          </w:tcPr>
          <w:p w14:paraId="7BFDB109">
            <w:pPr>
              <w:jc w:val="both"/>
              <w:rPr>
                <w:rFonts w:hint="eastAsia"/>
                <w:color w:val="auto"/>
                <w:highlight w:val="none"/>
              </w:rPr>
            </w:pPr>
            <w:r>
              <w:rPr>
                <w:rFonts w:hint="eastAsia"/>
                <w:color w:val="auto"/>
                <w:highlight w:val="none"/>
              </w:rPr>
              <w:t>电梯轿箱内地面清洁、无杂物，不锈钢板面定期用防锈油处理，且无手印、水渍，层门地坎槽内无杂物。</w:t>
            </w:r>
          </w:p>
        </w:tc>
        <w:tc>
          <w:tcPr>
            <w:tcW w:w="1276" w:type="dxa"/>
            <w:tcBorders>
              <w:tl2br w:val="nil"/>
              <w:tr2bl w:val="nil"/>
            </w:tcBorders>
            <w:noWrap w:val="0"/>
            <w:vAlign w:val="center"/>
          </w:tcPr>
          <w:p w14:paraId="02DFE629">
            <w:pPr>
              <w:jc w:val="center"/>
              <w:rPr>
                <w:rFonts w:hint="eastAsia"/>
                <w:color w:val="auto"/>
                <w:highlight w:val="none"/>
              </w:rPr>
            </w:pPr>
            <w:r>
              <w:rPr>
                <w:rFonts w:hint="eastAsia"/>
                <w:color w:val="auto"/>
                <w:highlight w:val="none"/>
                <w:lang w:val="en-US" w:eastAsia="zh-CN"/>
              </w:rPr>
              <w:t>5</w:t>
            </w:r>
            <w:r>
              <w:rPr>
                <w:rFonts w:hint="eastAsia"/>
                <w:color w:val="auto"/>
                <w:highlight w:val="none"/>
              </w:rPr>
              <w:t>分</w:t>
            </w:r>
          </w:p>
        </w:tc>
        <w:tc>
          <w:tcPr>
            <w:tcW w:w="1276" w:type="dxa"/>
            <w:tcBorders>
              <w:tl2br w:val="nil"/>
              <w:tr2bl w:val="nil"/>
            </w:tcBorders>
            <w:noWrap w:val="0"/>
            <w:vAlign w:val="top"/>
          </w:tcPr>
          <w:p w14:paraId="201BDB09">
            <w:pPr>
              <w:jc w:val="center"/>
              <w:rPr>
                <w:color w:val="auto"/>
                <w:highlight w:val="none"/>
              </w:rPr>
            </w:pPr>
          </w:p>
        </w:tc>
        <w:tc>
          <w:tcPr>
            <w:tcW w:w="2742" w:type="dxa"/>
            <w:tcBorders>
              <w:tl2br w:val="nil"/>
              <w:tr2bl w:val="nil"/>
            </w:tcBorders>
            <w:noWrap w:val="0"/>
            <w:vAlign w:val="center"/>
          </w:tcPr>
          <w:p w14:paraId="73CD246B">
            <w:pPr>
              <w:jc w:val="center"/>
              <w:rPr>
                <w:rFonts w:hint="eastAsia"/>
                <w:color w:val="auto"/>
                <w:highlight w:val="none"/>
              </w:rPr>
            </w:pPr>
            <w:r>
              <w:rPr>
                <w:rFonts w:hint="eastAsia"/>
                <w:color w:val="auto"/>
                <w:highlight w:val="none"/>
              </w:rPr>
              <w:t>发现1次问题扣2分</w:t>
            </w:r>
          </w:p>
        </w:tc>
      </w:tr>
      <w:tr w14:paraId="4B91B7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center"/>
          </w:tcPr>
          <w:p w14:paraId="371AC67F">
            <w:pPr>
              <w:jc w:val="center"/>
              <w:rPr>
                <w:color w:val="auto"/>
                <w:highlight w:val="none"/>
              </w:rPr>
            </w:pPr>
          </w:p>
        </w:tc>
        <w:tc>
          <w:tcPr>
            <w:tcW w:w="1260" w:type="dxa"/>
            <w:vMerge w:val="continue"/>
            <w:tcBorders>
              <w:tl2br w:val="nil"/>
              <w:tr2bl w:val="nil"/>
            </w:tcBorders>
            <w:noWrap w:val="0"/>
            <w:vAlign w:val="center"/>
          </w:tcPr>
          <w:p w14:paraId="6E9B34AC">
            <w:pPr>
              <w:jc w:val="center"/>
              <w:rPr>
                <w:color w:val="auto"/>
                <w:highlight w:val="none"/>
              </w:rPr>
            </w:pPr>
          </w:p>
        </w:tc>
        <w:tc>
          <w:tcPr>
            <w:tcW w:w="7802" w:type="dxa"/>
            <w:tcBorders>
              <w:tl2br w:val="nil"/>
              <w:tr2bl w:val="nil"/>
            </w:tcBorders>
            <w:noWrap w:val="0"/>
            <w:vAlign w:val="center"/>
          </w:tcPr>
          <w:p w14:paraId="2E361DE9">
            <w:pPr>
              <w:jc w:val="both"/>
              <w:rPr>
                <w:rFonts w:hint="eastAsia"/>
                <w:color w:val="auto"/>
                <w:highlight w:val="none"/>
              </w:rPr>
            </w:pPr>
            <w:r>
              <w:rPr>
                <w:rFonts w:hint="eastAsia"/>
                <w:color w:val="auto"/>
                <w:highlight w:val="none"/>
              </w:rPr>
              <w:t>办公区及管理用房地面、桌面、窗帘等设施清洁，无灰尘、污渍、蛛网现象。</w:t>
            </w:r>
          </w:p>
        </w:tc>
        <w:tc>
          <w:tcPr>
            <w:tcW w:w="1276" w:type="dxa"/>
            <w:tcBorders>
              <w:tl2br w:val="nil"/>
              <w:tr2bl w:val="nil"/>
            </w:tcBorders>
            <w:noWrap w:val="0"/>
            <w:vAlign w:val="center"/>
          </w:tcPr>
          <w:p w14:paraId="56E93DA5">
            <w:pPr>
              <w:jc w:val="center"/>
              <w:rPr>
                <w:rFonts w:hint="eastAsia"/>
                <w:color w:val="auto"/>
                <w:highlight w:val="none"/>
              </w:rPr>
            </w:pPr>
            <w:r>
              <w:rPr>
                <w:rFonts w:hint="eastAsia"/>
                <w:color w:val="auto"/>
                <w:highlight w:val="none"/>
                <w:lang w:val="en-US" w:eastAsia="zh-CN"/>
              </w:rPr>
              <w:t>5</w:t>
            </w:r>
            <w:r>
              <w:rPr>
                <w:rFonts w:hint="eastAsia"/>
                <w:color w:val="auto"/>
                <w:highlight w:val="none"/>
              </w:rPr>
              <w:t>分</w:t>
            </w:r>
          </w:p>
        </w:tc>
        <w:tc>
          <w:tcPr>
            <w:tcW w:w="1276" w:type="dxa"/>
            <w:tcBorders>
              <w:tl2br w:val="nil"/>
              <w:tr2bl w:val="nil"/>
            </w:tcBorders>
            <w:noWrap w:val="0"/>
            <w:vAlign w:val="top"/>
          </w:tcPr>
          <w:p w14:paraId="07112B69">
            <w:pPr>
              <w:jc w:val="center"/>
              <w:rPr>
                <w:color w:val="auto"/>
                <w:highlight w:val="none"/>
              </w:rPr>
            </w:pPr>
          </w:p>
        </w:tc>
        <w:tc>
          <w:tcPr>
            <w:tcW w:w="2742" w:type="dxa"/>
            <w:tcBorders>
              <w:tl2br w:val="nil"/>
              <w:tr2bl w:val="nil"/>
            </w:tcBorders>
            <w:noWrap w:val="0"/>
            <w:vAlign w:val="center"/>
          </w:tcPr>
          <w:p w14:paraId="17FBC806">
            <w:pPr>
              <w:jc w:val="center"/>
              <w:rPr>
                <w:rFonts w:hint="eastAsia"/>
                <w:color w:val="auto"/>
                <w:highlight w:val="none"/>
              </w:rPr>
            </w:pPr>
            <w:r>
              <w:rPr>
                <w:rFonts w:hint="eastAsia"/>
                <w:color w:val="auto"/>
                <w:highlight w:val="none"/>
              </w:rPr>
              <w:t>发现1次问题扣2分</w:t>
            </w:r>
          </w:p>
        </w:tc>
      </w:tr>
      <w:tr w14:paraId="5B9CA7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tcBorders>
              <w:tl2br w:val="nil"/>
              <w:tr2bl w:val="nil"/>
            </w:tcBorders>
            <w:noWrap w:val="0"/>
            <w:vAlign w:val="center"/>
          </w:tcPr>
          <w:p w14:paraId="2492895B">
            <w:pPr>
              <w:jc w:val="center"/>
              <w:rPr>
                <w:color w:val="auto"/>
                <w:highlight w:val="none"/>
              </w:rPr>
            </w:pPr>
            <w:r>
              <w:rPr>
                <w:rFonts w:hint="eastAsia"/>
                <w:color w:val="auto"/>
                <w:highlight w:val="none"/>
              </w:rPr>
              <w:t>2</w:t>
            </w:r>
          </w:p>
        </w:tc>
        <w:tc>
          <w:tcPr>
            <w:tcW w:w="1260" w:type="dxa"/>
            <w:tcBorders>
              <w:tl2br w:val="nil"/>
              <w:tr2bl w:val="nil"/>
            </w:tcBorders>
            <w:noWrap w:val="0"/>
            <w:vAlign w:val="center"/>
          </w:tcPr>
          <w:p w14:paraId="21EB0301">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室外公共部分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（10分）</w:t>
            </w:r>
          </w:p>
        </w:tc>
        <w:tc>
          <w:tcPr>
            <w:tcW w:w="7802" w:type="dxa"/>
            <w:tcBorders>
              <w:tl2br w:val="nil"/>
              <w:tr2bl w:val="nil"/>
            </w:tcBorders>
            <w:noWrap w:val="0"/>
            <w:vAlign w:val="center"/>
          </w:tcPr>
          <w:p w14:paraId="4CEC37D9">
            <w:pPr>
              <w:jc w:val="both"/>
              <w:rPr>
                <w:rFonts w:hint="eastAsia" w:eastAsia="宋体"/>
                <w:color w:val="auto"/>
                <w:highlight w:val="none"/>
                <w:lang w:eastAsia="zh-CN"/>
              </w:rPr>
            </w:pPr>
            <w:r>
              <w:rPr>
                <w:rFonts w:hint="eastAsia"/>
                <w:color w:val="auto"/>
                <w:highlight w:val="none"/>
              </w:rPr>
              <w:t>外围地面整洁干净、无杂物、无青苔、烟头纸屑500平米内不超过3处，垃圾滞留时间不超过10分钟。</w:t>
            </w:r>
          </w:p>
        </w:tc>
        <w:tc>
          <w:tcPr>
            <w:tcW w:w="1276" w:type="dxa"/>
            <w:tcBorders>
              <w:tl2br w:val="nil"/>
              <w:tr2bl w:val="nil"/>
            </w:tcBorders>
            <w:noWrap w:val="0"/>
            <w:vAlign w:val="center"/>
          </w:tcPr>
          <w:p w14:paraId="2168425A">
            <w:pPr>
              <w:jc w:val="center"/>
              <w:rPr>
                <w:color w:val="auto"/>
                <w:highlight w:val="none"/>
              </w:rPr>
            </w:pPr>
            <w:r>
              <w:rPr>
                <w:rFonts w:hint="eastAsia"/>
                <w:color w:val="auto"/>
                <w:highlight w:val="none"/>
                <w:lang w:val="en-US" w:eastAsia="zh-CN"/>
              </w:rPr>
              <w:t>10</w:t>
            </w:r>
            <w:r>
              <w:rPr>
                <w:rFonts w:hint="eastAsia"/>
                <w:color w:val="auto"/>
                <w:highlight w:val="none"/>
              </w:rPr>
              <w:t>分</w:t>
            </w:r>
          </w:p>
        </w:tc>
        <w:tc>
          <w:tcPr>
            <w:tcW w:w="1276" w:type="dxa"/>
            <w:tcBorders>
              <w:tl2br w:val="nil"/>
              <w:tr2bl w:val="nil"/>
            </w:tcBorders>
            <w:noWrap w:val="0"/>
            <w:vAlign w:val="top"/>
          </w:tcPr>
          <w:p w14:paraId="42FB7A38">
            <w:pPr>
              <w:jc w:val="center"/>
              <w:rPr>
                <w:color w:val="auto"/>
                <w:highlight w:val="none"/>
              </w:rPr>
            </w:pPr>
          </w:p>
        </w:tc>
        <w:tc>
          <w:tcPr>
            <w:tcW w:w="2742" w:type="dxa"/>
            <w:tcBorders>
              <w:tl2br w:val="nil"/>
              <w:tr2bl w:val="nil"/>
            </w:tcBorders>
            <w:noWrap w:val="0"/>
            <w:vAlign w:val="center"/>
          </w:tcPr>
          <w:p w14:paraId="18F7EBF2">
            <w:pPr>
              <w:jc w:val="center"/>
              <w:rPr>
                <w:rFonts w:hint="eastAsia" w:eastAsia="宋体"/>
                <w:color w:val="auto"/>
                <w:highlight w:val="none"/>
                <w:lang w:eastAsia="zh-CN"/>
              </w:rPr>
            </w:pPr>
            <w:r>
              <w:rPr>
                <w:rFonts w:hint="eastAsia"/>
                <w:color w:val="auto"/>
                <w:highlight w:val="none"/>
              </w:rPr>
              <w:t>发现1次问题扣2分</w:t>
            </w:r>
          </w:p>
        </w:tc>
      </w:tr>
      <w:tr w14:paraId="1FED92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tcBorders>
              <w:tl2br w:val="nil"/>
              <w:tr2bl w:val="nil"/>
            </w:tcBorders>
            <w:noWrap w:val="0"/>
            <w:vAlign w:val="center"/>
          </w:tcPr>
          <w:p w14:paraId="25A56DF7">
            <w:pPr>
              <w:jc w:val="center"/>
              <w:rPr>
                <w:color w:val="auto"/>
                <w:highlight w:val="none"/>
              </w:rPr>
            </w:pPr>
            <w:r>
              <w:rPr>
                <w:rFonts w:hint="eastAsia"/>
                <w:color w:val="auto"/>
                <w:highlight w:val="none"/>
              </w:rPr>
              <w:t>3</w:t>
            </w:r>
          </w:p>
        </w:tc>
        <w:tc>
          <w:tcPr>
            <w:tcW w:w="1260" w:type="dxa"/>
            <w:tcBorders>
              <w:tl2br w:val="nil"/>
              <w:tr2bl w:val="nil"/>
            </w:tcBorders>
            <w:noWrap w:val="0"/>
            <w:vAlign w:val="center"/>
          </w:tcPr>
          <w:p w14:paraId="677B91E7">
            <w:pPr>
              <w:jc w:val="center"/>
              <w:rPr>
                <w:rFonts w:hint="eastAsia"/>
                <w:color w:val="auto"/>
                <w:highlight w:val="none"/>
              </w:rPr>
            </w:pPr>
            <w:r>
              <w:rPr>
                <w:rFonts w:hint="eastAsia"/>
                <w:color w:val="auto"/>
                <w:highlight w:val="none"/>
              </w:rPr>
              <w:t>公共设施</w:t>
            </w:r>
          </w:p>
          <w:p w14:paraId="4BA0D796">
            <w:pPr>
              <w:jc w:val="center"/>
              <w:rPr>
                <w:color w:val="auto"/>
                <w:highlight w:val="none"/>
              </w:rPr>
            </w:pPr>
            <w:r>
              <w:rPr>
                <w:rFonts w:hint="eastAsia"/>
                <w:color w:val="auto"/>
                <w:highlight w:val="none"/>
              </w:rPr>
              <w:t>（10分）</w:t>
            </w:r>
          </w:p>
        </w:tc>
        <w:tc>
          <w:tcPr>
            <w:tcW w:w="7802" w:type="dxa"/>
            <w:tcBorders>
              <w:tl2br w:val="nil"/>
              <w:tr2bl w:val="nil"/>
            </w:tcBorders>
            <w:noWrap w:val="0"/>
            <w:vAlign w:val="center"/>
          </w:tcPr>
          <w:p w14:paraId="36543CB2">
            <w:pPr>
              <w:jc w:val="both"/>
              <w:rPr>
                <w:rFonts w:hint="eastAsia" w:eastAsia="宋体"/>
                <w:color w:val="auto"/>
                <w:highlight w:val="none"/>
                <w:lang w:eastAsia="zh-CN"/>
              </w:rPr>
            </w:pPr>
            <w:r>
              <w:rPr>
                <w:rFonts w:hint="eastAsia"/>
                <w:color w:val="auto"/>
                <w:highlight w:val="none"/>
              </w:rPr>
              <w:t>各类公共设施设备清洁无尘。</w:t>
            </w:r>
          </w:p>
        </w:tc>
        <w:tc>
          <w:tcPr>
            <w:tcW w:w="1276" w:type="dxa"/>
            <w:tcBorders>
              <w:tl2br w:val="nil"/>
              <w:tr2bl w:val="nil"/>
            </w:tcBorders>
            <w:noWrap w:val="0"/>
            <w:vAlign w:val="center"/>
          </w:tcPr>
          <w:p w14:paraId="67CF3AD5">
            <w:pPr>
              <w:jc w:val="center"/>
              <w:rPr>
                <w:color w:val="auto"/>
                <w:highlight w:val="none"/>
              </w:rPr>
            </w:pPr>
            <w:r>
              <w:rPr>
                <w:rFonts w:hint="eastAsia"/>
                <w:color w:val="auto"/>
                <w:highlight w:val="none"/>
                <w:lang w:val="en-US" w:eastAsia="zh-CN"/>
              </w:rPr>
              <w:t>10</w:t>
            </w:r>
            <w:r>
              <w:rPr>
                <w:rFonts w:hint="eastAsia"/>
                <w:color w:val="auto"/>
                <w:highlight w:val="none"/>
              </w:rPr>
              <w:t>分</w:t>
            </w:r>
          </w:p>
        </w:tc>
        <w:tc>
          <w:tcPr>
            <w:tcW w:w="1276" w:type="dxa"/>
            <w:tcBorders>
              <w:tl2br w:val="nil"/>
              <w:tr2bl w:val="nil"/>
            </w:tcBorders>
            <w:noWrap w:val="0"/>
            <w:vAlign w:val="top"/>
          </w:tcPr>
          <w:p w14:paraId="434F6912">
            <w:pPr>
              <w:jc w:val="center"/>
              <w:rPr>
                <w:color w:val="auto"/>
                <w:highlight w:val="none"/>
              </w:rPr>
            </w:pPr>
          </w:p>
        </w:tc>
        <w:tc>
          <w:tcPr>
            <w:tcW w:w="2742" w:type="dxa"/>
            <w:tcBorders>
              <w:tl2br w:val="nil"/>
              <w:tr2bl w:val="nil"/>
            </w:tcBorders>
            <w:noWrap w:val="0"/>
            <w:vAlign w:val="center"/>
          </w:tcPr>
          <w:p w14:paraId="26B0AE35">
            <w:pPr>
              <w:jc w:val="center"/>
              <w:rPr>
                <w:rFonts w:hint="eastAsia" w:eastAsia="宋体"/>
                <w:color w:val="auto"/>
                <w:highlight w:val="none"/>
                <w:lang w:eastAsia="zh-CN"/>
              </w:rPr>
            </w:pPr>
            <w:r>
              <w:rPr>
                <w:rFonts w:hint="eastAsia"/>
                <w:color w:val="auto"/>
                <w:highlight w:val="none"/>
              </w:rPr>
              <w:t>发现1次问题扣</w:t>
            </w:r>
            <w:r>
              <w:rPr>
                <w:rFonts w:hint="eastAsia"/>
                <w:color w:val="auto"/>
                <w:highlight w:val="none"/>
                <w:lang w:val="en-US" w:eastAsia="zh-CN"/>
              </w:rPr>
              <w:t>2</w:t>
            </w:r>
            <w:r>
              <w:rPr>
                <w:rFonts w:hint="eastAsia"/>
                <w:color w:val="auto"/>
                <w:highlight w:val="none"/>
              </w:rPr>
              <w:t>分</w:t>
            </w:r>
          </w:p>
        </w:tc>
      </w:tr>
      <w:tr w14:paraId="603096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restart"/>
            <w:tcBorders>
              <w:tl2br w:val="nil"/>
              <w:tr2bl w:val="nil"/>
            </w:tcBorders>
            <w:noWrap w:val="0"/>
            <w:vAlign w:val="center"/>
          </w:tcPr>
          <w:p w14:paraId="29D9026C">
            <w:pPr>
              <w:jc w:val="center"/>
              <w:rPr>
                <w:color w:val="auto"/>
                <w:highlight w:val="none"/>
              </w:rPr>
            </w:pPr>
            <w:r>
              <w:rPr>
                <w:rFonts w:hint="eastAsia"/>
                <w:color w:val="auto"/>
                <w:highlight w:val="none"/>
              </w:rPr>
              <w:t>4</w:t>
            </w:r>
          </w:p>
        </w:tc>
        <w:tc>
          <w:tcPr>
            <w:tcW w:w="1260" w:type="dxa"/>
            <w:vMerge w:val="restart"/>
            <w:tcBorders>
              <w:tl2br w:val="nil"/>
              <w:tr2bl w:val="nil"/>
            </w:tcBorders>
            <w:noWrap w:val="0"/>
            <w:vAlign w:val="center"/>
          </w:tcPr>
          <w:p w14:paraId="0F1B259A">
            <w:pPr>
              <w:jc w:val="center"/>
              <w:rPr>
                <w:color w:val="auto"/>
                <w:highlight w:val="none"/>
              </w:rPr>
            </w:pPr>
            <w:r>
              <w:rPr>
                <w:rFonts w:hint="eastAsia"/>
                <w:color w:val="auto"/>
                <w:highlight w:val="none"/>
              </w:rPr>
              <w:t>洗手间（</w:t>
            </w:r>
            <w:r>
              <w:rPr>
                <w:rFonts w:hint="eastAsia"/>
                <w:color w:val="auto"/>
                <w:highlight w:val="none"/>
                <w:lang w:val="en-US" w:eastAsia="zh-CN"/>
              </w:rPr>
              <w:t>20</w:t>
            </w:r>
            <w:r>
              <w:rPr>
                <w:rFonts w:hint="eastAsia"/>
                <w:color w:val="auto"/>
                <w:highlight w:val="none"/>
              </w:rPr>
              <w:t>分）</w:t>
            </w:r>
          </w:p>
        </w:tc>
        <w:tc>
          <w:tcPr>
            <w:tcW w:w="7802" w:type="dxa"/>
            <w:tcBorders>
              <w:tl2br w:val="nil"/>
              <w:tr2bl w:val="nil"/>
            </w:tcBorders>
            <w:noWrap w:val="0"/>
            <w:vAlign w:val="center"/>
          </w:tcPr>
          <w:p w14:paraId="40BBAA5B">
            <w:pPr>
              <w:jc w:val="both"/>
              <w:rPr>
                <w:rFonts w:hint="eastAsia" w:eastAsia="宋体"/>
                <w:color w:val="auto"/>
                <w:highlight w:val="none"/>
                <w:lang w:eastAsia="zh-CN"/>
              </w:rPr>
            </w:pPr>
            <w:r>
              <w:rPr>
                <w:rFonts w:hint="eastAsia"/>
                <w:color w:val="auto"/>
                <w:highlight w:val="none"/>
              </w:rPr>
              <w:t>地面、台面、镜面清洁无水渍，且无杂物、无脏污、无积水现象。</w:t>
            </w:r>
          </w:p>
        </w:tc>
        <w:tc>
          <w:tcPr>
            <w:tcW w:w="1276" w:type="dxa"/>
            <w:tcBorders>
              <w:tl2br w:val="nil"/>
              <w:tr2bl w:val="nil"/>
            </w:tcBorders>
            <w:noWrap w:val="0"/>
            <w:vAlign w:val="center"/>
          </w:tcPr>
          <w:p w14:paraId="5AD02E8A">
            <w:pPr>
              <w:jc w:val="center"/>
              <w:rPr>
                <w:color w:val="auto"/>
                <w:highlight w:val="none"/>
              </w:rPr>
            </w:pPr>
            <w:r>
              <w:rPr>
                <w:rFonts w:hint="eastAsia"/>
                <w:color w:val="auto"/>
                <w:highlight w:val="none"/>
                <w:lang w:val="en-US" w:eastAsia="zh-CN"/>
              </w:rPr>
              <w:t>4</w:t>
            </w:r>
            <w:r>
              <w:rPr>
                <w:rFonts w:hint="eastAsia"/>
                <w:color w:val="auto"/>
                <w:highlight w:val="none"/>
              </w:rPr>
              <w:t>分</w:t>
            </w:r>
          </w:p>
        </w:tc>
        <w:tc>
          <w:tcPr>
            <w:tcW w:w="1276" w:type="dxa"/>
            <w:tcBorders>
              <w:tl2br w:val="nil"/>
              <w:tr2bl w:val="nil"/>
            </w:tcBorders>
            <w:noWrap w:val="0"/>
            <w:vAlign w:val="top"/>
          </w:tcPr>
          <w:p w14:paraId="0CF04CC1">
            <w:pPr>
              <w:jc w:val="center"/>
              <w:rPr>
                <w:color w:val="auto"/>
                <w:highlight w:val="none"/>
              </w:rPr>
            </w:pPr>
          </w:p>
        </w:tc>
        <w:tc>
          <w:tcPr>
            <w:tcW w:w="2742" w:type="dxa"/>
            <w:tcBorders>
              <w:tl2br w:val="nil"/>
              <w:tr2bl w:val="nil"/>
            </w:tcBorders>
            <w:noWrap w:val="0"/>
            <w:vAlign w:val="center"/>
          </w:tcPr>
          <w:p w14:paraId="405490A0">
            <w:pPr>
              <w:jc w:val="center"/>
              <w:rPr>
                <w:rFonts w:hint="eastAsia" w:eastAsia="宋体"/>
                <w:color w:val="auto"/>
                <w:highlight w:val="none"/>
                <w:lang w:eastAsia="zh-CN"/>
              </w:rPr>
            </w:pPr>
            <w:r>
              <w:rPr>
                <w:rFonts w:hint="eastAsia"/>
                <w:color w:val="auto"/>
                <w:highlight w:val="none"/>
              </w:rPr>
              <w:t>发现1次问题扣</w:t>
            </w:r>
            <w:r>
              <w:rPr>
                <w:rFonts w:hint="eastAsia"/>
                <w:color w:val="auto"/>
                <w:highlight w:val="none"/>
                <w:lang w:val="en-US" w:eastAsia="zh-CN"/>
              </w:rPr>
              <w:t>1</w:t>
            </w:r>
            <w:r>
              <w:rPr>
                <w:rFonts w:hint="eastAsia"/>
                <w:color w:val="auto"/>
                <w:highlight w:val="none"/>
              </w:rPr>
              <w:t>分</w:t>
            </w:r>
          </w:p>
        </w:tc>
      </w:tr>
      <w:tr w14:paraId="4B0DCA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top"/>
          </w:tcPr>
          <w:p w14:paraId="64DAD2DC">
            <w:pPr>
              <w:rPr>
                <w:color w:val="auto"/>
                <w:highlight w:val="none"/>
              </w:rPr>
            </w:pPr>
          </w:p>
        </w:tc>
        <w:tc>
          <w:tcPr>
            <w:tcW w:w="1260" w:type="dxa"/>
            <w:vMerge w:val="continue"/>
            <w:tcBorders>
              <w:tl2br w:val="nil"/>
              <w:tr2bl w:val="nil"/>
            </w:tcBorders>
            <w:noWrap w:val="0"/>
            <w:vAlign w:val="top"/>
          </w:tcPr>
          <w:p w14:paraId="24BE1EE7">
            <w:pPr>
              <w:jc w:val="center"/>
              <w:rPr>
                <w:color w:val="auto"/>
                <w:highlight w:val="none"/>
              </w:rPr>
            </w:pPr>
          </w:p>
        </w:tc>
        <w:tc>
          <w:tcPr>
            <w:tcW w:w="7802" w:type="dxa"/>
            <w:tcBorders>
              <w:tl2br w:val="nil"/>
              <w:tr2bl w:val="nil"/>
            </w:tcBorders>
            <w:noWrap w:val="0"/>
            <w:vAlign w:val="center"/>
          </w:tcPr>
          <w:p w14:paraId="440BDE24">
            <w:pPr>
              <w:jc w:val="both"/>
              <w:rPr>
                <w:rFonts w:hint="eastAsia" w:eastAsia="宋体"/>
                <w:color w:val="auto"/>
                <w:highlight w:val="none"/>
                <w:lang w:eastAsia="zh-CN"/>
              </w:rPr>
            </w:pPr>
            <w:r>
              <w:rPr>
                <w:rFonts w:hint="eastAsia"/>
                <w:color w:val="auto"/>
                <w:highlight w:val="none"/>
              </w:rPr>
              <w:t>马桶、便池表面及内部洁净，无残留物等杂物。</w:t>
            </w:r>
          </w:p>
        </w:tc>
        <w:tc>
          <w:tcPr>
            <w:tcW w:w="1276" w:type="dxa"/>
            <w:tcBorders>
              <w:tl2br w:val="nil"/>
              <w:tr2bl w:val="nil"/>
            </w:tcBorders>
            <w:noWrap w:val="0"/>
            <w:vAlign w:val="center"/>
          </w:tcPr>
          <w:p w14:paraId="3BC0DF95">
            <w:pPr>
              <w:jc w:val="center"/>
              <w:rPr>
                <w:color w:val="auto"/>
                <w:highlight w:val="none"/>
              </w:rPr>
            </w:pPr>
            <w:r>
              <w:rPr>
                <w:rFonts w:hint="eastAsia"/>
                <w:color w:val="auto"/>
                <w:highlight w:val="none"/>
                <w:lang w:val="en-US" w:eastAsia="zh-CN"/>
              </w:rPr>
              <w:t>4</w:t>
            </w:r>
            <w:r>
              <w:rPr>
                <w:rFonts w:hint="eastAsia"/>
                <w:color w:val="auto"/>
                <w:highlight w:val="none"/>
              </w:rPr>
              <w:t>分</w:t>
            </w:r>
          </w:p>
        </w:tc>
        <w:tc>
          <w:tcPr>
            <w:tcW w:w="1276" w:type="dxa"/>
            <w:tcBorders>
              <w:tl2br w:val="nil"/>
              <w:tr2bl w:val="nil"/>
            </w:tcBorders>
            <w:noWrap w:val="0"/>
            <w:vAlign w:val="top"/>
          </w:tcPr>
          <w:p w14:paraId="35D22E25">
            <w:pPr>
              <w:jc w:val="center"/>
              <w:rPr>
                <w:color w:val="auto"/>
                <w:highlight w:val="none"/>
              </w:rPr>
            </w:pPr>
          </w:p>
        </w:tc>
        <w:tc>
          <w:tcPr>
            <w:tcW w:w="2742" w:type="dxa"/>
            <w:tcBorders>
              <w:tl2br w:val="nil"/>
              <w:tr2bl w:val="nil"/>
            </w:tcBorders>
            <w:noWrap w:val="0"/>
            <w:vAlign w:val="center"/>
          </w:tcPr>
          <w:p w14:paraId="69A62F66">
            <w:pPr>
              <w:jc w:val="center"/>
              <w:rPr>
                <w:rFonts w:hint="eastAsia" w:eastAsia="宋体"/>
                <w:color w:val="auto"/>
                <w:highlight w:val="none"/>
                <w:lang w:eastAsia="zh-CN"/>
              </w:rPr>
            </w:pPr>
            <w:r>
              <w:rPr>
                <w:rFonts w:hint="eastAsia"/>
                <w:color w:val="auto"/>
                <w:highlight w:val="none"/>
              </w:rPr>
              <w:t>发现1次</w:t>
            </w:r>
            <w:r>
              <w:rPr>
                <w:rFonts w:hint="eastAsia"/>
                <w:color w:val="auto"/>
                <w:highlight w:val="none"/>
                <w:lang w:eastAsia="zh-CN"/>
              </w:rPr>
              <w:t>问题</w:t>
            </w:r>
            <w:r>
              <w:rPr>
                <w:rFonts w:hint="eastAsia"/>
                <w:color w:val="auto"/>
                <w:highlight w:val="none"/>
              </w:rPr>
              <w:t>扣</w:t>
            </w:r>
            <w:r>
              <w:rPr>
                <w:rFonts w:hint="eastAsia"/>
                <w:color w:val="auto"/>
                <w:highlight w:val="none"/>
                <w:lang w:val="en-US" w:eastAsia="zh-CN"/>
              </w:rPr>
              <w:t>1</w:t>
            </w:r>
            <w:r>
              <w:rPr>
                <w:rFonts w:hint="eastAsia"/>
                <w:color w:val="auto"/>
                <w:highlight w:val="none"/>
              </w:rPr>
              <w:t>分</w:t>
            </w:r>
          </w:p>
        </w:tc>
      </w:tr>
      <w:tr w14:paraId="008447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top"/>
          </w:tcPr>
          <w:p w14:paraId="04E3845C">
            <w:pPr>
              <w:rPr>
                <w:color w:val="auto"/>
                <w:highlight w:val="none"/>
              </w:rPr>
            </w:pPr>
          </w:p>
        </w:tc>
        <w:tc>
          <w:tcPr>
            <w:tcW w:w="1260" w:type="dxa"/>
            <w:vMerge w:val="continue"/>
            <w:tcBorders>
              <w:tl2br w:val="nil"/>
              <w:tr2bl w:val="nil"/>
            </w:tcBorders>
            <w:noWrap w:val="0"/>
            <w:vAlign w:val="top"/>
          </w:tcPr>
          <w:p w14:paraId="2597DBE1">
            <w:pPr>
              <w:jc w:val="center"/>
              <w:rPr>
                <w:color w:val="auto"/>
                <w:highlight w:val="none"/>
              </w:rPr>
            </w:pPr>
          </w:p>
        </w:tc>
        <w:tc>
          <w:tcPr>
            <w:tcW w:w="7802" w:type="dxa"/>
            <w:tcBorders>
              <w:tl2br w:val="nil"/>
              <w:tr2bl w:val="nil"/>
            </w:tcBorders>
            <w:noWrap w:val="0"/>
            <w:vAlign w:val="center"/>
          </w:tcPr>
          <w:p w14:paraId="62C87BCF">
            <w:pPr>
              <w:jc w:val="both"/>
              <w:rPr>
                <w:rFonts w:hint="eastAsia"/>
                <w:color w:val="auto"/>
                <w:highlight w:val="none"/>
              </w:rPr>
            </w:pPr>
            <w:r>
              <w:rPr>
                <w:rFonts w:hint="eastAsia"/>
                <w:color w:val="auto"/>
                <w:highlight w:val="none"/>
              </w:rPr>
              <w:t>室内空气清新，无异味，用具和设施洁净、功能良好。</w:t>
            </w:r>
          </w:p>
        </w:tc>
        <w:tc>
          <w:tcPr>
            <w:tcW w:w="1276" w:type="dxa"/>
            <w:tcBorders>
              <w:tl2br w:val="nil"/>
              <w:tr2bl w:val="nil"/>
            </w:tcBorders>
            <w:noWrap w:val="0"/>
            <w:vAlign w:val="center"/>
          </w:tcPr>
          <w:p w14:paraId="31F4499B">
            <w:pPr>
              <w:jc w:val="center"/>
              <w:rPr>
                <w:rFonts w:hint="eastAsia"/>
                <w:color w:val="auto"/>
                <w:highlight w:val="none"/>
              </w:rPr>
            </w:pPr>
            <w:r>
              <w:rPr>
                <w:rFonts w:hint="eastAsia"/>
                <w:color w:val="auto"/>
                <w:highlight w:val="none"/>
                <w:lang w:val="en-US" w:eastAsia="zh-CN"/>
              </w:rPr>
              <w:t>4</w:t>
            </w:r>
            <w:r>
              <w:rPr>
                <w:rFonts w:hint="eastAsia"/>
                <w:color w:val="auto"/>
                <w:highlight w:val="none"/>
              </w:rPr>
              <w:t>分</w:t>
            </w:r>
          </w:p>
        </w:tc>
        <w:tc>
          <w:tcPr>
            <w:tcW w:w="1276" w:type="dxa"/>
            <w:tcBorders>
              <w:tl2br w:val="nil"/>
              <w:tr2bl w:val="nil"/>
            </w:tcBorders>
            <w:noWrap w:val="0"/>
            <w:vAlign w:val="top"/>
          </w:tcPr>
          <w:p w14:paraId="082D90B9">
            <w:pPr>
              <w:jc w:val="center"/>
              <w:rPr>
                <w:color w:val="auto"/>
                <w:highlight w:val="none"/>
              </w:rPr>
            </w:pPr>
          </w:p>
        </w:tc>
        <w:tc>
          <w:tcPr>
            <w:tcW w:w="2742" w:type="dxa"/>
            <w:tcBorders>
              <w:tl2br w:val="nil"/>
              <w:tr2bl w:val="nil"/>
            </w:tcBorders>
            <w:noWrap w:val="0"/>
            <w:vAlign w:val="center"/>
          </w:tcPr>
          <w:p w14:paraId="38F94E32">
            <w:pPr>
              <w:jc w:val="center"/>
              <w:rPr>
                <w:rFonts w:hint="eastAsia"/>
                <w:color w:val="auto"/>
                <w:highlight w:val="none"/>
              </w:rPr>
            </w:pPr>
            <w:r>
              <w:rPr>
                <w:rFonts w:hint="eastAsia"/>
                <w:color w:val="auto"/>
                <w:highlight w:val="none"/>
              </w:rPr>
              <w:t>发现1次</w:t>
            </w:r>
            <w:r>
              <w:rPr>
                <w:rFonts w:hint="eastAsia"/>
                <w:color w:val="auto"/>
                <w:highlight w:val="none"/>
                <w:lang w:eastAsia="zh-CN"/>
              </w:rPr>
              <w:t>问题</w:t>
            </w:r>
            <w:r>
              <w:rPr>
                <w:rFonts w:hint="eastAsia"/>
                <w:color w:val="auto"/>
                <w:highlight w:val="none"/>
              </w:rPr>
              <w:t>扣</w:t>
            </w:r>
            <w:r>
              <w:rPr>
                <w:rFonts w:hint="eastAsia"/>
                <w:color w:val="auto"/>
                <w:highlight w:val="none"/>
                <w:lang w:val="en-US" w:eastAsia="zh-CN"/>
              </w:rPr>
              <w:t>1</w:t>
            </w:r>
            <w:r>
              <w:rPr>
                <w:rFonts w:hint="eastAsia"/>
                <w:color w:val="auto"/>
                <w:highlight w:val="none"/>
              </w:rPr>
              <w:t>分</w:t>
            </w:r>
          </w:p>
        </w:tc>
      </w:tr>
      <w:tr w14:paraId="6D7EE2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top"/>
          </w:tcPr>
          <w:p w14:paraId="65127042">
            <w:pPr>
              <w:rPr>
                <w:color w:val="auto"/>
                <w:highlight w:val="none"/>
              </w:rPr>
            </w:pPr>
          </w:p>
        </w:tc>
        <w:tc>
          <w:tcPr>
            <w:tcW w:w="1260" w:type="dxa"/>
            <w:vMerge w:val="continue"/>
            <w:tcBorders>
              <w:tl2br w:val="nil"/>
              <w:tr2bl w:val="nil"/>
            </w:tcBorders>
            <w:noWrap w:val="0"/>
            <w:vAlign w:val="top"/>
          </w:tcPr>
          <w:p w14:paraId="4807F119">
            <w:pPr>
              <w:jc w:val="center"/>
              <w:rPr>
                <w:color w:val="auto"/>
                <w:highlight w:val="none"/>
              </w:rPr>
            </w:pPr>
          </w:p>
        </w:tc>
        <w:tc>
          <w:tcPr>
            <w:tcW w:w="7802" w:type="dxa"/>
            <w:tcBorders>
              <w:tl2br w:val="nil"/>
              <w:tr2bl w:val="nil"/>
            </w:tcBorders>
            <w:noWrap w:val="0"/>
            <w:vAlign w:val="center"/>
          </w:tcPr>
          <w:p w14:paraId="26624929">
            <w:pPr>
              <w:jc w:val="both"/>
              <w:rPr>
                <w:rFonts w:hint="eastAsia"/>
                <w:color w:val="auto"/>
                <w:highlight w:val="none"/>
              </w:rPr>
            </w:pPr>
            <w:r>
              <w:rPr>
                <w:rFonts w:hint="eastAsia"/>
                <w:color w:val="auto"/>
                <w:highlight w:val="none"/>
              </w:rPr>
              <w:t>垃圾篓不超过桶的2/3。</w:t>
            </w:r>
          </w:p>
        </w:tc>
        <w:tc>
          <w:tcPr>
            <w:tcW w:w="1276" w:type="dxa"/>
            <w:tcBorders>
              <w:tl2br w:val="nil"/>
              <w:tr2bl w:val="nil"/>
            </w:tcBorders>
            <w:noWrap w:val="0"/>
            <w:vAlign w:val="center"/>
          </w:tcPr>
          <w:p w14:paraId="52D8465B">
            <w:pPr>
              <w:jc w:val="center"/>
              <w:rPr>
                <w:rFonts w:hint="eastAsia"/>
                <w:color w:val="auto"/>
                <w:highlight w:val="none"/>
              </w:rPr>
            </w:pPr>
            <w:r>
              <w:rPr>
                <w:rFonts w:hint="eastAsia"/>
                <w:color w:val="auto"/>
                <w:highlight w:val="none"/>
                <w:lang w:val="en-US" w:eastAsia="zh-CN"/>
              </w:rPr>
              <w:t>4</w:t>
            </w:r>
            <w:r>
              <w:rPr>
                <w:rFonts w:hint="eastAsia"/>
                <w:color w:val="auto"/>
                <w:highlight w:val="none"/>
              </w:rPr>
              <w:t>分</w:t>
            </w:r>
          </w:p>
        </w:tc>
        <w:tc>
          <w:tcPr>
            <w:tcW w:w="1276" w:type="dxa"/>
            <w:tcBorders>
              <w:tl2br w:val="nil"/>
              <w:tr2bl w:val="nil"/>
            </w:tcBorders>
            <w:noWrap w:val="0"/>
            <w:vAlign w:val="top"/>
          </w:tcPr>
          <w:p w14:paraId="79766435">
            <w:pPr>
              <w:jc w:val="center"/>
              <w:rPr>
                <w:color w:val="auto"/>
                <w:highlight w:val="none"/>
              </w:rPr>
            </w:pPr>
          </w:p>
        </w:tc>
        <w:tc>
          <w:tcPr>
            <w:tcW w:w="2742" w:type="dxa"/>
            <w:tcBorders>
              <w:tl2br w:val="nil"/>
              <w:tr2bl w:val="nil"/>
            </w:tcBorders>
            <w:noWrap w:val="0"/>
            <w:vAlign w:val="center"/>
          </w:tcPr>
          <w:p w14:paraId="1C62FB6B">
            <w:pPr>
              <w:jc w:val="center"/>
              <w:rPr>
                <w:rFonts w:hint="eastAsia"/>
                <w:color w:val="auto"/>
                <w:highlight w:val="none"/>
              </w:rPr>
            </w:pPr>
            <w:r>
              <w:rPr>
                <w:rFonts w:hint="eastAsia"/>
                <w:color w:val="auto"/>
                <w:highlight w:val="none"/>
              </w:rPr>
              <w:t>发现1次</w:t>
            </w:r>
            <w:r>
              <w:rPr>
                <w:rFonts w:hint="eastAsia"/>
                <w:color w:val="auto"/>
                <w:highlight w:val="none"/>
                <w:lang w:eastAsia="zh-CN"/>
              </w:rPr>
              <w:t>问题</w:t>
            </w:r>
            <w:r>
              <w:rPr>
                <w:rFonts w:hint="eastAsia"/>
                <w:color w:val="auto"/>
                <w:highlight w:val="none"/>
              </w:rPr>
              <w:t>扣</w:t>
            </w:r>
            <w:r>
              <w:rPr>
                <w:rFonts w:hint="eastAsia"/>
                <w:color w:val="auto"/>
                <w:highlight w:val="none"/>
                <w:lang w:val="en-US" w:eastAsia="zh-CN"/>
              </w:rPr>
              <w:t>1</w:t>
            </w:r>
            <w:r>
              <w:rPr>
                <w:rFonts w:hint="eastAsia"/>
                <w:color w:val="auto"/>
                <w:highlight w:val="none"/>
              </w:rPr>
              <w:t>分</w:t>
            </w:r>
          </w:p>
        </w:tc>
      </w:tr>
      <w:tr w14:paraId="50FF33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top"/>
          </w:tcPr>
          <w:p w14:paraId="1A8DFF74">
            <w:pPr>
              <w:rPr>
                <w:color w:val="auto"/>
                <w:highlight w:val="none"/>
              </w:rPr>
            </w:pPr>
          </w:p>
        </w:tc>
        <w:tc>
          <w:tcPr>
            <w:tcW w:w="1260" w:type="dxa"/>
            <w:vMerge w:val="continue"/>
            <w:tcBorders>
              <w:tl2br w:val="nil"/>
              <w:tr2bl w:val="nil"/>
            </w:tcBorders>
            <w:noWrap w:val="0"/>
            <w:vAlign w:val="top"/>
          </w:tcPr>
          <w:p w14:paraId="09A03856">
            <w:pPr>
              <w:jc w:val="center"/>
              <w:rPr>
                <w:color w:val="auto"/>
                <w:highlight w:val="none"/>
              </w:rPr>
            </w:pPr>
          </w:p>
        </w:tc>
        <w:tc>
          <w:tcPr>
            <w:tcW w:w="7802" w:type="dxa"/>
            <w:tcBorders>
              <w:tl2br w:val="nil"/>
              <w:tr2bl w:val="nil"/>
            </w:tcBorders>
            <w:noWrap w:val="0"/>
            <w:vAlign w:val="center"/>
          </w:tcPr>
          <w:p w14:paraId="4AC1A185">
            <w:pPr>
              <w:jc w:val="both"/>
              <w:rPr>
                <w:rFonts w:hint="eastAsia"/>
                <w:color w:val="auto"/>
                <w:highlight w:val="none"/>
              </w:rPr>
            </w:pPr>
            <w:r>
              <w:rPr>
                <w:rFonts w:hint="eastAsia"/>
                <w:color w:val="auto"/>
                <w:highlight w:val="none"/>
              </w:rPr>
              <w:t>墙面、</w:t>
            </w:r>
            <w:r>
              <w:rPr>
                <w:rFonts w:hint="eastAsia"/>
                <w:color w:val="auto"/>
                <w:highlight w:val="none"/>
                <w:lang w:eastAsia="zh-CN"/>
              </w:rPr>
              <w:t>隔板、</w:t>
            </w:r>
            <w:r>
              <w:rPr>
                <w:rFonts w:hint="eastAsia"/>
                <w:color w:val="auto"/>
                <w:highlight w:val="none"/>
              </w:rPr>
              <w:t>天花</w:t>
            </w:r>
            <w:r>
              <w:rPr>
                <w:rFonts w:hint="eastAsia"/>
                <w:color w:val="auto"/>
                <w:highlight w:val="none"/>
                <w:lang w:eastAsia="zh-CN"/>
              </w:rPr>
              <w:t>、</w:t>
            </w:r>
            <w:r>
              <w:rPr>
                <w:rFonts w:hint="eastAsia"/>
                <w:color w:val="auto"/>
                <w:highlight w:val="none"/>
              </w:rPr>
              <w:t>灯</w:t>
            </w:r>
            <w:r>
              <w:rPr>
                <w:rFonts w:hint="eastAsia"/>
                <w:color w:val="auto"/>
                <w:highlight w:val="none"/>
                <w:lang w:eastAsia="zh-CN"/>
              </w:rPr>
              <w:t>、</w:t>
            </w:r>
            <w:r>
              <w:rPr>
                <w:rFonts w:hint="eastAsia"/>
                <w:color w:val="auto"/>
                <w:highlight w:val="none"/>
              </w:rPr>
              <w:t>挂画无污渍</w:t>
            </w:r>
            <w:r>
              <w:rPr>
                <w:rFonts w:hint="eastAsia"/>
                <w:color w:val="auto"/>
                <w:highlight w:val="none"/>
                <w:lang w:eastAsia="zh-CN"/>
              </w:rPr>
              <w:t>，</w:t>
            </w:r>
            <w:r>
              <w:rPr>
                <w:rFonts w:hint="eastAsia"/>
                <w:color w:val="auto"/>
                <w:highlight w:val="none"/>
              </w:rPr>
              <w:t>无蜘蛛网</w:t>
            </w:r>
            <w:r>
              <w:rPr>
                <w:rFonts w:hint="eastAsia"/>
                <w:color w:val="auto"/>
                <w:highlight w:val="none"/>
                <w:lang w:eastAsia="zh-CN"/>
              </w:rPr>
              <w:t>，</w:t>
            </w:r>
            <w:r>
              <w:rPr>
                <w:rFonts w:hint="eastAsia"/>
                <w:color w:val="auto"/>
                <w:highlight w:val="none"/>
              </w:rPr>
              <w:t>无灰尘。</w:t>
            </w:r>
          </w:p>
        </w:tc>
        <w:tc>
          <w:tcPr>
            <w:tcW w:w="1276" w:type="dxa"/>
            <w:tcBorders>
              <w:tl2br w:val="nil"/>
              <w:tr2bl w:val="nil"/>
            </w:tcBorders>
            <w:noWrap w:val="0"/>
            <w:vAlign w:val="center"/>
          </w:tcPr>
          <w:p w14:paraId="06BDCC90">
            <w:pPr>
              <w:jc w:val="center"/>
              <w:rPr>
                <w:rFonts w:hint="eastAsia"/>
                <w:color w:val="auto"/>
                <w:highlight w:val="none"/>
              </w:rPr>
            </w:pPr>
            <w:r>
              <w:rPr>
                <w:rFonts w:hint="eastAsia"/>
                <w:color w:val="auto"/>
                <w:highlight w:val="none"/>
                <w:lang w:val="en-US" w:eastAsia="zh-CN"/>
              </w:rPr>
              <w:t>4</w:t>
            </w:r>
            <w:r>
              <w:rPr>
                <w:rFonts w:hint="eastAsia"/>
                <w:color w:val="auto"/>
                <w:highlight w:val="none"/>
              </w:rPr>
              <w:t>分</w:t>
            </w:r>
          </w:p>
        </w:tc>
        <w:tc>
          <w:tcPr>
            <w:tcW w:w="1276" w:type="dxa"/>
            <w:tcBorders>
              <w:tl2br w:val="nil"/>
              <w:tr2bl w:val="nil"/>
            </w:tcBorders>
            <w:noWrap w:val="0"/>
            <w:vAlign w:val="top"/>
          </w:tcPr>
          <w:p w14:paraId="681B245C">
            <w:pPr>
              <w:jc w:val="center"/>
              <w:rPr>
                <w:color w:val="auto"/>
                <w:highlight w:val="none"/>
              </w:rPr>
            </w:pPr>
          </w:p>
        </w:tc>
        <w:tc>
          <w:tcPr>
            <w:tcW w:w="2742" w:type="dxa"/>
            <w:tcBorders>
              <w:tl2br w:val="nil"/>
              <w:tr2bl w:val="nil"/>
            </w:tcBorders>
            <w:noWrap w:val="0"/>
            <w:vAlign w:val="center"/>
          </w:tcPr>
          <w:p w14:paraId="3D1AD9EF">
            <w:pPr>
              <w:jc w:val="center"/>
              <w:rPr>
                <w:rFonts w:hint="eastAsia"/>
                <w:color w:val="auto"/>
                <w:highlight w:val="none"/>
              </w:rPr>
            </w:pPr>
            <w:r>
              <w:rPr>
                <w:rFonts w:hint="eastAsia"/>
                <w:color w:val="auto"/>
                <w:highlight w:val="none"/>
              </w:rPr>
              <w:t>发现1次</w:t>
            </w:r>
            <w:r>
              <w:rPr>
                <w:rFonts w:hint="eastAsia"/>
                <w:color w:val="auto"/>
                <w:highlight w:val="none"/>
                <w:lang w:eastAsia="zh-CN"/>
              </w:rPr>
              <w:t>问题</w:t>
            </w:r>
            <w:r>
              <w:rPr>
                <w:rFonts w:hint="eastAsia"/>
                <w:color w:val="auto"/>
                <w:highlight w:val="none"/>
              </w:rPr>
              <w:t>扣</w:t>
            </w:r>
            <w:r>
              <w:rPr>
                <w:rFonts w:hint="eastAsia"/>
                <w:color w:val="auto"/>
                <w:highlight w:val="none"/>
                <w:lang w:val="en-US" w:eastAsia="zh-CN"/>
              </w:rPr>
              <w:t>1</w:t>
            </w:r>
            <w:r>
              <w:rPr>
                <w:rFonts w:hint="eastAsia"/>
                <w:color w:val="auto"/>
                <w:highlight w:val="none"/>
              </w:rPr>
              <w:t>分</w:t>
            </w:r>
          </w:p>
        </w:tc>
      </w:tr>
      <w:tr w14:paraId="315CD8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restart"/>
            <w:tcBorders>
              <w:tl2br w:val="nil"/>
              <w:tr2bl w:val="nil"/>
            </w:tcBorders>
            <w:noWrap w:val="0"/>
            <w:vAlign w:val="top"/>
          </w:tcPr>
          <w:p w14:paraId="70878A2B">
            <w:pPr>
              <w:jc w:val="center"/>
              <w:rPr>
                <w:rFonts w:hint="eastAsia" w:eastAsia="宋体"/>
                <w:color w:val="auto"/>
                <w:highlight w:val="none"/>
                <w:lang w:val="en-US" w:eastAsia="zh-CN"/>
              </w:rPr>
            </w:pPr>
            <w:r>
              <w:rPr>
                <w:rFonts w:hint="eastAsia"/>
                <w:color w:val="auto"/>
                <w:highlight w:val="none"/>
                <w:lang w:val="en-US" w:eastAsia="zh-CN"/>
              </w:rPr>
              <w:t>5</w:t>
            </w:r>
          </w:p>
        </w:tc>
        <w:tc>
          <w:tcPr>
            <w:tcW w:w="1260" w:type="dxa"/>
            <w:vMerge w:val="restart"/>
            <w:tcBorders>
              <w:tl2br w:val="nil"/>
              <w:tr2bl w:val="nil"/>
            </w:tcBorders>
            <w:noWrap w:val="0"/>
            <w:vAlign w:val="top"/>
          </w:tcPr>
          <w:p w14:paraId="396AB858">
            <w:pPr>
              <w:jc w:val="center"/>
              <w:rPr>
                <w:rFonts w:hint="eastAsia" w:eastAsia="宋体"/>
                <w:color w:val="auto"/>
                <w:highlight w:val="none"/>
                <w:lang w:eastAsia="zh-CN"/>
              </w:rPr>
            </w:pPr>
            <w:r>
              <w:rPr>
                <w:rFonts w:hint="eastAsia"/>
                <w:color w:val="auto"/>
                <w:highlight w:val="none"/>
                <w:lang w:eastAsia="zh-CN"/>
              </w:rPr>
              <w:t>垃圾分类（</w:t>
            </w:r>
            <w:r>
              <w:rPr>
                <w:rFonts w:hint="eastAsia"/>
                <w:color w:val="auto"/>
                <w:highlight w:val="none"/>
                <w:lang w:val="en-US" w:eastAsia="zh-CN"/>
              </w:rPr>
              <w:t>15</w:t>
            </w:r>
            <w:r>
              <w:rPr>
                <w:rFonts w:hint="eastAsia"/>
                <w:color w:val="auto"/>
                <w:highlight w:val="none"/>
                <w:lang w:eastAsia="zh-CN"/>
              </w:rPr>
              <w:t>分）</w:t>
            </w:r>
          </w:p>
        </w:tc>
        <w:tc>
          <w:tcPr>
            <w:tcW w:w="7802" w:type="dxa"/>
            <w:tcBorders>
              <w:tl2br w:val="nil"/>
              <w:tr2bl w:val="nil"/>
            </w:tcBorders>
            <w:noWrap w:val="0"/>
            <w:vAlign w:val="center"/>
          </w:tcPr>
          <w:p w14:paraId="5693279A">
            <w:pPr>
              <w:jc w:val="both"/>
              <w:rPr>
                <w:rFonts w:hint="eastAsia"/>
                <w:color w:val="auto"/>
                <w:highlight w:val="none"/>
              </w:rPr>
            </w:pPr>
            <w:r>
              <w:rPr>
                <w:rFonts w:hint="eastAsia"/>
                <w:color w:val="auto"/>
                <w:highlight w:val="none"/>
              </w:rPr>
              <w:t>分类桶及桶站外观干净清洁，并整齐摆放在指定地点。</w:t>
            </w:r>
          </w:p>
        </w:tc>
        <w:tc>
          <w:tcPr>
            <w:tcW w:w="1276" w:type="dxa"/>
            <w:tcBorders>
              <w:tl2br w:val="nil"/>
              <w:tr2bl w:val="nil"/>
            </w:tcBorders>
            <w:noWrap w:val="0"/>
            <w:vAlign w:val="center"/>
          </w:tcPr>
          <w:p w14:paraId="004D5B1D">
            <w:pPr>
              <w:jc w:val="center"/>
              <w:rPr>
                <w:rFonts w:hint="eastAsia" w:eastAsia="宋体"/>
                <w:color w:val="auto"/>
                <w:highlight w:val="none"/>
                <w:lang w:val="en-US" w:eastAsia="zh-CN"/>
              </w:rPr>
            </w:pPr>
            <w:r>
              <w:rPr>
                <w:rFonts w:hint="eastAsia"/>
                <w:color w:val="auto"/>
                <w:highlight w:val="none"/>
                <w:lang w:val="en-US" w:eastAsia="zh-CN"/>
              </w:rPr>
              <w:t>5</w:t>
            </w:r>
            <w:r>
              <w:rPr>
                <w:rFonts w:hint="eastAsia"/>
                <w:color w:val="auto"/>
                <w:highlight w:val="none"/>
              </w:rPr>
              <w:t>分</w:t>
            </w:r>
          </w:p>
        </w:tc>
        <w:tc>
          <w:tcPr>
            <w:tcW w:w="1276" w:type="dxa"/>
            <w:tcBorders>
              <w:tl2br w:val="nil"/>
              <w:tr2bl w:val="nil"/>
            </w:tcBorders>
            <w:noWrap w:val="0"/>
            <w:vAlign w:val="top"/>
          </w:tcPr>
          <w:p w14:paraId="50BBA6E3">
            <w:pPr>
              <w:jc w:val="center"/>
              <w:rPr>
                <w:color w:val="auto"/>
                <w:highlight w:val="none"/>
              </w:rPr>
            </w:pPr>
          </w:p>
        </w:tc>
        <w:tc>
          <w:tcPr>
            <w:tcW w:w="2742" w:type="dxa"/>
            <w:tcBorders>
              <w:tl2br w:val="nil"/>
              <w:tr2bl w:val="nil"/>
            </w:tcBorders>
            <w:noWrap w:val="0"/>
            <w:vAlign w:val="center"/>
          </w:tcPr>
          <w:p w14:paraId="4CB9AA0A">
            <w:pPr>
              <w:jc w:val="center"/>
              <w:rPr>
                <w:rFonts w:hint="eastAsia"/>
                <w:color w:val="auto"/>
                <w:highlight w:val="none"/>
              </w:rPr>
            </w:pPr>
            <w:r>
              <w:rPr>
                <w:rFonts w:hint="eastAsia"/>
                <w:color w:val="auto"/>
                <w:highlight w:val="none"/>
              </w:rPr>
              <w:t>发现1次</w:t>
            </w:r>
            <w:r>
              <w:rPr>
                <w:rFonts w:hint="eastAsia"/>
                <w:color w:val="auto"/>
                <w:highlight w:val="none"/>
                <w:lang w:eastAsia="zh-CN"/>
              </w:rPr>
              <w:t>问题</w:t>
            </w:r>
            <w:r>
              <w:rPr>
                <w:rFonts w:hint="eastAsia"/>
                <w:color w:val="auto"/>
                <w:highlight w:val="none"/>
              </w:rPr>
              <w:t>扣</w:t>
            </w:r>
            <w:r>
              <w:rPr>
                <w:rFonts w:hint="eastAsia"/>
                <w:color w:val="auto"/>
                <w:highlight w:val="none"/>
                <w:lang w:val="en-US" w:eastAsia="zh-CN"/>
              </w:rPr>
              <w:t>2</w:t>
            </w:r>
            <w:r>
              <w:rPr>
                <w:rFonts w:hint="eastAsia"/>
                <w:color w:val="auto"/>
                <w:highlight w:val="none"/>
              </w:rPr>
              <w:t>分</w:t>
            </w:r>
          </w:p>
        </w:tc>
      </w:tr>
      <w:tr w14:paraId="4DCA59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top"/>
          </w:tcPr>
          <w:p w14:paraId="7E9F66FF">
            <w:pPr>
              <w:jc w:val="center"/>
              <w:rPr>
                <w:rFonts w:hint="eastAsia"/>
                <w:color w:val="auto"/>
                <w:highlight w:val="none"/>
                <w:lang w:val="en-US" w:eastAsia="zh-CN"/>
              </w:rPr>
            </w:pPr>
          </w:p>
        </w:tc>
        <w:tc>
          <w:tcPr>
            <w:tcW w:w="1260" w:type="dxa"/>
            <w:vMerge w:val="continue"/>
            <w:tcBorders>
              <w:tl2br w:val="nil"/>
              <w:tr2bl w:val="nil"/>
            </w:tcBorders>
            <w:noWrap w:val="0"/>
            <w:vAlign w:val="top"/>
          </w:tcPr>
          <w:p w14:paraId="52F5809A">
            <w:pPr>
              <w:jc w:val="center"/>
              <w:rPr>
                <w:rFonts w:hint="eastAsia"/>
                <w:color w:val="auto"/>
                <w:highlight w:val="none"/>
                <w:lang w:eastAsia="zh-CN"/>
              </w:rPr>
            </w:pPr>
          </w:p>
        </w:tc>
        <w:tc>
          <w:tcPr>
            <w:tcW w:w="7802" w:type="dxa"/>
            <w:tcBorders>
              <w:tl2br w:val="nil"/>
              <w:tr2bl w:val="nil"/>
            </w:tcBorders>
            <w:noWrap w:val="0"/>
            <w:vAlign w:val="center"/>
          </w:tcPr>
          <w:p w14:paraId="797DE143">
            <w:pPr>
              <w:jc w:val="both"/>
              <w:rPr>
                <w:rFonts w:hint="eastAsia"/>
                <w:color w:val="auto"/>
                <w:highlight w:val="none"/>
              </w:rPr>
            </w:pPr>
            <w:r>
              <w:rPr>
                <w:rFonts w:hint="eastAsia"/>
                <w:color w:val="auto"/>
                <w:highlight w:val="none"/>
              </w:rPr>
              <w:t>分类桶站内无垃圾满冒、暴露、落地、遗撒等现象。</w:t>
            </w:r>
          </w:p>
        </w:tc>
        <w:tc>
          <w:tcPr>
            <w:tcW w:w="1276" w:type="dxa"/>
            <w:tcBorders>
              <w:tl2br w:val="nil"/>
              <w:tr2bl w:val="nil"/>
            </w:tcBorders>
            <w:noWrap w:val="0"/>
            <w:vAlign w:val="center"/>
          </w:tcPr>
          <w:p w14:paraId="40EFD125">
            <w:pPr>
              <w:jc w:val="center"/>
              <w:rPr>
                <w:rFonts w:hint="eastAsia" w:eastAsia="宋体"/>
                <w:color w:val="auto"/>
                <w:highlight w:val="none"/>
                <w:lang w:val="en-US" w:eastAsia="zh-CN"/>
              </w:rPr>
            </w:pPr>
            <w:r>
              <w:rPr>
                <w:rFonts w:hint="eastAsia"/>
                <w:color w:val="auto"/>
                <w:highlight w:val="none"/>
                <w:lang w:val="en-US" w:eastAsia="zh-CN"/>
              </w:rPr>
              <w:t>5</w:t>
            </w:r>
            <w:r>
              <w:rPr>
                <w:rFonts w:hint="eastAsia"/>
                <w:color w:val="auto"/>
                <w:highlight w:val="none"/>
              </w:rPr>
              <w:t>分</w:t>
            </w:r>
          </w:p>
        </w:tc>
        <w:tc>
          <w:tcPr>
            <w:tcW w:w="1276" w:type="dxa"/>
            <w:tcBorders>
              <w:tl2br w:val="nil"/>
              <w:tr2bl w:val="nil"/>
            </w:tcBorders>
            <w:noWrap w:val="0"/>
            <w:vAlign w:val="top"/>
          </w:tcPr>
          <w:p w14:paraId="1B238EB1">
            <w:pPr>
              <w:jc w:val="center"/>
              <w:rPr>
                <w:color w:val="auto"/>
                <w:highlight w:val="none"/>
              </w:rPr>
            </w:pPr>
          </w:p>
        </w:tc>
        <w:tc>
          <w:tcPr>
            <w:tcW w:w="2742" w:type="dxa"/>
            <w:tcBorders>
              <w:tl2br w:val="nil"/>
              <w:tr2bl w:val="nil"/>
            </w:tcBorders>
            <w:noWrap w:val="0"/>
            <w:vAlign w:val="center"/>
          </w:tcPr>
          <w:p w14:paraId="424BA117">
            <w:pPr>
              <w:jc w:val="center"/>
              <w:rPr>
                <w:rFonts w:hint="eastAsia"/>
                <w:color w:val="auto"/>
                <w:highlight w:val="none"/>
              </w:rPr>
            </w:pPr>
            <w:r>
              <w:rPr>
                <w:rFonts w:hint="eastAsia"/>
                <w:color w:val="auto"/>
                <w:highlight w:val="none"/>
              </w:rPr>
              <w:t>发现1次</w:t>
            </w:r>
            <w:r>
              <w:rPr>
                <w:rFonts w:hint="eastAsia"/>
                <w:color w:val="auto"/>
                <w:highlight w:val="none"/>
                <w:lang w:eastAsia="zh-CN"/>
              </w:rPr>
              <w:t>问题</w:t>
            </w:r>
            <w:r>
              <w:rPr>
                <w:rFonts w:hint="eastAsia"/>
                <w:color w:val="auto"/>
                <w:highlight w:val="none"/>
              </w:rPr>
              <w:t>扣</w:t>
            </w:r>
            <w:r>
              <w:rPr>
                <w:rFonts w:hint="eastAsia"/>
                <w:color w:val="auto"/>
                <w:highlight w:val="none"/>
                <w:lang w:val="en-US" w:eastAsia="zh-CN"/>
              </w:rPr>
              <w:t>2</w:t>
            </w:r>
            <w:r>
              <w:rPr>
                <w:rFonts w:hint="eastAsia"/>
                <w:color w:val="auto"/>
                <w:highlight w:val="none"/>
              </w:rPr>
              <w:t>分</w:t>
            </w:r>
          </w:p>
        </w:tc>
      </w:tr>
      <w:tr w14:paraId="68F570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top"/>
          </w:tcPr>
          <w:p w14:paraId="0EB9556E">
            <w:pPr>
              <w:jc w:val="center"/>
              <w:rPr>
                <w:rFonts w:hint="eastAsia"/>
                <w:color w:val="auto"/>
                <w:highlight w:val="none"/>
                <w:lang w:val="en-US" w:eastAsia="zh-CN"/>
              </w:rPr>
            </w:pPr>
          </w:p>
        </w:tc>
        <w:tc>
          <w:tcPr>
            <w:tcW w:w="1260" w:type="dxa"/>
            <w:vMerge w:val="continue"/>
            <w:tcBorders>
              <w:tl2br w:val="nil"/>
              <w:tr2bl w:val="nil"/>
            </w:tcBorders>
            <w:noWrap w:val="0"/>
            <w:vAlign w:val="top"/>
          </w:tcPr>
          <w:p w14:paraId="0A9D70A4">
            <w:pPr>
              <w:jc w:val="center"/>
              <w:rPr>
                <w:rFonts w:hint="eastAsia"/>
                <w:color w:val="auto"/>
                <w:highlight w:val="none"/>
                <w:lang w:eastAsia="zh-CN"/>
              </w:rPr>
            </w:pPr>
          </w:p>
        </w:tc>
        <w:tc>
          <w:tcPr>
            <w:tcW w:w="7802" w:type="dxa"/>
            <w:tcBorders>
              <w:tl2br w:val="nil"/>
              <w:tr2bl w:val="nil"/>
            </w:tcBorders>
            <w:noWrap w:val="0"/>
            <w:vAlign w:val="center"/>
          </w:tcPr>
          <w:p w14:paraId="606A4E00">
            <w:pPr>
              <w:jc w:val="both"/>
              <w:rPr>
                <w:rFonts w:hint="eastAsia"/>
                <w:color w:val="auto"/>
                <w:highlight w:val="none"/>
              </w:rPr>
            </w:pPr>
            <w:r>
              <w:rPr>
                <w:rFonts w:hint="eastAsia"/>
                <w:color w:val="auto"/>
                <w:highlight w:val="none"/>
              </w:rPr>
              <w:t>如业主投放不准确，要对投放垃圾进行二次分类，保证对垃圾的准确分拣。</w:t>
            </w:r>
          </w:p>
        </w:tc>
        <w:tc>
          <w:tcPr>
            <w:tcW w:w="1276" w:type="dxa"/>
            <w:tcBorders>
              <w:tl2br w:val="nil"/>
              <w:tr2bl w:val="nil"/>
            </w:tcBorders>
            <w:noWrap w:val="0"/>
            <w:vAlign w:val="center"/>
          </w:tcPr>
          <w:p w14:paraId="3B7CC481">
            <w:pPr>
              <w:jc w:val="center"/>
              <w:rPr>
                <w:rFonts w:hint="eastAsia" w:eastAsia="宋体"/>
                <w:color w:val="auto"/>
                <w:highlight w:val="none"/>
                <w:lang w:val="en-US" w:eastAsia="zh-CN"/>
              </w:rPr>
            </w:pPr>
            <w:r>
              <w:rPr>
                <w:rFonts w:hint="eastAsia"/>
                <w:color w:val="auto"/>
                <w:highlight w:val="none"/>
                <w:lang w:val="en-US" w:eastAsia="zh-CN"/>
              </w:rPr>
              <w:t>5</w:t>
            </w:r>
            <w:r>
              <w:rPr>
                <w:rFonts w:hint="eastAsia"/>
                <w:color w:val="auto"/>
                <w:highlight w:val="none"/>
              </w:rPr>
              <w:t>分</w:t>
            </w:r>
          </w:p>
        </w:tc>
        <w:tc>
          <w:tcPr>
            <w:tcW w:w="1276" w:type="dxa"/>
            <w:tcBorders>
              <w:tl2br w:val="nil"/>
              <w:tr2bl w:val="nil"/>
            </w:tcBorders>
            <w:noWrap w:val="0"/>
            <w:vAlign w:val="top"/>
          </w:tcPr>
          <w:p w14:paraId="3AC57DE0">
            <w:pPr>
              <w:jc w:val="center"/>
              <w:rPr>
                <w:color w:val="auto"/>
                <w:highlight w:val="none"/>
              </w:rPr>
            </w:pPr>
          </w:p>
        </w:tc>
        <w:tc>
          <w:tcPr>
            <w:tcW w:w="2742" w:type="dxa"/>
            <w:tcBorders>
              <w:tl2br w:val="nil"/>
              <w:tr2bl w:val="nil"/>
            </w:tcBorders>
            <w:noWrap w:val="0"/>
            <w:vAlign w:val="center"/>
          </w:tcPr>
          <w:p w14:paraId="0EE992CA">
            <w:pPr>
              <w:jc w:val="center"/>
              <w:rPr>
                <w:rFonts w:hint="eastAsia"/>
                <w:color w:val="auto"/>
                <w:highlight w:val="none"/>
              </w:rPr>
            </w:pPr>
            <w:r>
              <w:rPr>
                <w:rFonts w:hint="eastAsia"/>
                <w:color w:val="auto"/>
                <w:highlight w:val="none"/>
              </w:rPr>
              <w:t>发现1次</w:t>
            </w:r>
            <w:r>
              <w:rPr>
                <w:rFonts w:hint="eastAsia"/>
                <w:color w:val="auto"/>
                <w:highlight w:val="none"/>
                <w:lang w:eastAsia="zh-CN"/>
              </w:rPr>
              <w:t>问题</w:t>
            </w:r>
            <w:r>
              <w:rPr>
                <w:rFonts w:hint="eastAsia"/>
                <w:color w:val="auto"/>
                <w:highlight w:val="none"/>
              </w:rPr>
              <w:t>扣</w:t>
            </w:r>
            <w:r>
              <w:rPr>
                <w:rFonts w:hint="eastAsia"/>
                <w:color w:val="auto"/>
                <w:highlight w:val="none"/>
                <w:lang w:val="en-US" w:eastAsia="zh-CN"/>
              </w:rPr>
              <w:t>2</w:t>
            </w:r>
            <w:r>
              <w:rPr>
                <w:rFonts w:hint="eastAsia"/>
                <w:color w:val="auto"/>
                <w:highlight w:val="none"/>
              </w:rPr>
              <w:t>分</w:t>
            </w:r>
          </w:p>
        </w:tc>
      </w:tr>
      <w:tr w14:paraId="45A53E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restart"/>
            <w:tcBorders>
              <w:tl2br w:val="nil"/>
              <w:tr2bl w:val="nil"/>
            </w:tcBorders>
            <w:noWrap w:val="0"/>
            <w:vAlign w:val="top"/>
          </w:tcPr>
          <w:p w14:paraId="753DEC8D">
            <w:pPr>
              <w:jc w:val="center"/>
              <w:rPr>
                <w:rFonts w:hint="default"/>
                <w:color w:val="auto"/>
                <w:highlight w:val="none"/>
                <w:lang w:val="en-US" w:eastAsia="zh-CN"/>
              </w:rPr>
            </w:pPr>
            <w:r>
              <w:rPr>
                <w:rFonts w:hint="eastAsia"/>
                <w:color w:val="auto"/>
                <w:highlight w:val="none"/>
                <w:lang w:val="en-US" w:eastAsia="zh-CN"/>
              </w:rPr>
              <w:t>6</w:t>
            </w:r>
          </w:p>
        </w:tc>
        <w:tc>
          <w:tcPr>
            <w:tcW w:w="1260" w:type="dxa"/>
            <w:vMerge w:val="restart"/>
            <w:tcBorders>
              <w:tl2br w:val="nil"/>
              <w:tr2bl w:val="nil"/>
            </w:tcBorders>
            <w:noWrap w:val="0"/>
            <w:vAlign w:val="top"/>
          </w:tcPr>
          <w:p w14:paraId="7BBA582E">
            <w:pPr>
              <w:jc w:val="center"/>
              <w:rPr>
                <w:rFonts w:hint="eastAsia"/>
                <w:color w:val="auto"/>
                <w:highlight w:val="none"/>
                <w:lang w:eastAsia="zh-CN"/>
              </w:rPr>
            </w:pPr>
            <w:r>
              <w:rPr>
                <w:rFonts w:hint="eastAsia"/>
                <w:color w:val="auto"/>
                <w:highlight w:val="none"/>
                <w:lang w:eastAsia="zh-CN"/>
              </w:rPr>
              <w:t>其他要求</w:t>
            </w:r>
          </w:p>
          <w:p w14:paraId="6A0D69FE">
            <w:pPr>
              <w:jc w:val="center"/>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0分）</w:t>
            </w:r>
          </w:p>
        </w:tc>
        <w:tc>
          <w:tcPr>
            <w:tcW w:w="7802" w:type="dxa"/>
            <w:tcBorders>
              <w:tl2br w:val="nil"/>
              <w:tr2bl w:val="nil"/>
            </w:tcBorders>
            <w:noWrap w:val="0"/>
            <w:vAlign w:val="center"/>
          </w:tcPr>
          <w:p w14:paraId="12614EE9">
            <w:pPr>
              <w:jc w:val="both"/>
              <w:rPr>
                <w:rFonts w:hint="eastAsia"/>
                <w:color w:val="auto"/>
                <w:highlight w:val="none"/>
              </w:rPr>
            </w:pPr>
            <w:r>
              <w:rPr>
                <w:rFonts w:hint="eastAsia"/>
                <w:color w:val="auto"/>
                <w:highlight w:val="none"/>
              </w:rPr>
              <w:t>员工行为规范，无违反学院规章制度的行为，无脱岗、缺岗现象。</w:t>
            </w:r>
          </w:p>
        </w:tc>
        <w:tc>
          <w:tcPr>
            <w:tcW w:w="1276" w:type="dxa"/>
            <w:tcBorders>
              <w:tl2br w:val="nil"/>
              <w:tr2bl w:val="nil"/>
            </w:tcBorders>
            <w:noWrap w:val="0"/>
            <w:vAlign w:val="center"/>
          </w:tcPr>
          <w:p w14:paraId="715E9011">
            <w:pPr>
              <w:jc w:val="center"/>
              <w:rPr>
                <w:rFonts w:hint="eastAsia" w:eastAsia="宋体"/>
                <w:color w:val="auto"/>
                <w:highlight w:val="none"/>
                <w:lang w:val="en-US" w:eastAsia="zh-CN"/>
              </w:rPr>
            </w:pPr>
            <w:r>
              <w:rPr>
                <w:rFonts w:hint="eastAsia"/>
                <w:color w:val="auto"/>
                <w:highlight w:val="none"/>
                <w:lang w:val="en-US" w:eastAsia="zh-CN"/>
              </w:rPr>
              <w:t>4</w:t>
            </w:r>
            <w:r>
              <w:rPr>
                <w:rFonts w:hint="eastAsia"/>
                <w:color w:val="auto"/>
                <w:highlight w:val="none"/>
              </w:rPr>
              <w:t>分</w:t>
            </w:r>
          </w:p>
        </w:tc>
        <w:tc>
          <w:tcPr>
            <w:tcW w:w="1276" w:type="dxa"/>
            <w:tcBorders>
              <w:tl2br w:val="nil"/>
              <w:tr2bl w:val="nil"/>
            </w:tcBorders>
            <w:noWrap w:val="0"/>
            <w:vAlign w:val="top"/>
          </w:tcPr>
          <w:p w14:paraId="609EEB49">
            <w:pPr>
              <w:jc w:val="center"/>
              <w:rPr>
                <w:color w:val="auto"/>
                <w:highlight w:val="none"/>
              </w:rPr>
            </w:pPr>
          </w:p>
        </w:tc>
        <w:tc>
          <w:tcPr>
            <w:tcW w:w="2742" w:type="dxa"/>
            <w:tcBorders>
              <w:tl2br w:val="nil"/>
              <w:tr2bl w:val="nil"/>
            </w:tcBorders>
            <w:noWrap w:val="0"/>
            <w:vAlign w:val="center"/>
          </w:tcPr>
          <w:p w14:paraId="70B7ACD0">
            <w:pPr>
              <w:jc w:val="center"/>
              <w:rPr>
                <w:rFonts w:hint="eastAsia"/>
                <w:color w:val="auto"/>
                <w:highlight w:val="none"/>
              </w:rPr>
            </w:pPr>
            <w:r>
              <w:rPr>
                <w:rFonts w:hint="eastAsia"/>
                <w:color w:val="auto"/>
                <w:highlight w:val="none"/>
              </w:rPr>
              <w:t>发现1次</w:t>
            </w:r>
            <w:r>
              <w:rPr>
                <w:rFonts w:hint="eastAsia"/>
                <w:color w:val="auto"/>
                <w:highlight w:val="none"/>
                <w:lang w:eastAsia="zh-CN"/>
              </w:rPr>
              <w:t>问题</w:t>
            </w:r>
            <w:r>
              <w:rPr>
                <w:rFonts w:hint="eastAsia"/>
                <w:color w:val="auto"/>
                <w:highlight w:val="none"/>
              </w:rPr>
              <w:t>扣</w:t>
            </w:r>
            <w:r>
              <w:rPr>
                <w:rFonts w:hint="eastAsia"/>
                <w:color w:val="auto"/>
                <w:highlight w:val="none"/>
                <w:lang w:val="en-US" w:eastAsia="zh-CN"/>
              </w:rPr>
              <w:t>2</w:t>
            </w:r>
            <w:r>
              <w:rPr>
                <w:rFonts w:hint="eastAsia"/>
                <w:color w:val="auto"/>
                <w:highlight w:val="none"/>
              </w:rPr>
              <w:t>分</w:t>
            </w:r>
          </w:p>
        </w:tc>
      </w:tr>
      <w:tr w14:paraId="70EBFE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top"/>
          </w:tcPr>
          <w:p w14:paraId="015AEA48">
            <w:pPr>
              <w:jc w:val="center"/>
              <w:rPr>
                <w:rFonts w:hint="eastAsia"/>
                <w:color w:val="auto"/>
                <w:highlight w:val="none"/>
                <w:lang w:val="en-US" w:eastAsia="zh-CN"/>
              </w:rPr>
            </w:pPr>
          </w:p>
        </w:tc>
        <w:tc>
          <w:tcPr>
            <w:tcW w:w="1260" w:type="dxa"/>
            <w:vMerge w:val="continue"/>
            <w:tcBorders>
              <w:tl2br w:val="nil"/>
              <w:tr2bl w:val="nil"/>
            </w:tcBorders>
            <w:noWrap w:val="0"/>
            <w:vAlign w:val="top"/>
          </w:tcPr>
          <w:p w14:paraId="28945D9C">
            <w:pPr>
              <w:jc w:val="center"/>
              <w:rPr>
                <w:rFonts w:hint="eastAsia"/>
                <w:color w:val="auto"/>
                <w:highlight w:val="none"/>
                <w:lang w:eastAsia="zh-CN"/>
              </w:rPr>
            </w:pPr>
          </w:p>
        </w:tc>
        <w:tc>
          <w:tcPr>
            <w:tcW w:w="7802" w:type="dxa"/>
            <w:tcBorders>
              <w:tl2br w:val="nil"/>
              <w:tr2bl w:val="nil"/>
            </w:tcBorders>
            <w:noWrap w:val="0"/>
            <w:vAlign w:val="center"/>
          </w:tcPr>
          <w:p w14:paraId="44D1F969">
            <w:pPr>
              <w:jc w:val="both"/>
              <w:rPr>
                <w:rFonts w:hint="eastAsia"/>
                <w:color w:val="auto"/>
                <w:highlight w:val="none"/>
              </w:rPr>
            </w:pPr>
            <w:r>
              <w:rPr>
                <w:rFonts w:hint="eastAsia"/>
                <w:color w:val="auto"/>
                <w:highlight w:val="none"/>
              </w:rPr>
              <w:t>作业时，容易危及人身安全的公共区域应有明显的警示性标志和防范措施。</w:t>
            </w:r>
          </w:p>
        </w:tc>
        <w:tc>
          <w:tcPr>
            <w:tcW w:w="1276" w:type="dxa"/>
            <w:tcBorders>
              <w:tl2br w:val="nil"/>
              <w:tr2bl w:val="nil"/>
            </w:tcBorders>
            <w:noWrap w:val="0"/>
            <w:vAlign w:val="center"/>
          </w:tcPr>
          <w:p w14:paraId="18ABA598">
            <w:pPr>
              <w:jc w:val="center"/>
              <w:rPr>
                <w:rFonts w:hint="eastAsia" w:eastAsia="宋体"/>
                <w:color w:val="auto"/>
                <w:highlight w:val="none"/>
                <w:lang w:val="en-US" w:eastAsia="zh-CN"/>
              </w:rPr>
            </w:pPr>
            <w:r>
              <w:rPr>
                <w:rFonts w:hint="eastAsia"/>
                <w:color w:val="auto"/>
                <w:highlight w:val="none"/>
                <w:lang w:val="en-US" w:eastAsia="zh-CN"/>
              </w:rPr>
              <w:t>3</w:t>
            </w:r>
            <w:r>
              <w:rPr>
                <w:rFonts w:hint="eastAsia"/>
                <w:color w:val="auto"/>
                <w:highlight w:val="none"/>
              </w:rPr>
              <w:t>分</w:t>
            </w:r>
          </w:p>
        </w:tc>
        <w:tc>
          <w:tcPr>
            <w:tcW w:w="1276" w:type="dxa"/>
            <w:tcBorders>
              <w:tl2br w:val="nil"/>
              <w:tr2bl w:val="nil"/>
            </w:tcBorders>
            <w:noWrap w:val="0"/>
            <w:vAlign w:val="top"/>
          </w:tcPr>
          <w:p w14:paraId="5A97D980">
            <w:pPr>
              <w:jc w:val="center"/>
              <w:rPr>
                <w:color w:val="auto"/>
                <w:highlight w:val="none"/>
              </w:rPr>
            </w:pPr>
          </w:p>
        </w:tc>
        <w:tc>
          <w:tcPr>
            <w:tcW w:w="2742" w:type="dxa"/>
            <w:tcBorders>
              <w:tl2br w:val="nil"/>
              <w:tr2bl w:val="nil"/>
            </w:tcBorders>
            <w:noWrap w:val="0"/>
            <w:vAlign w:val="center"/>
          </w:tcPr>
          <w:p w14:paraId="3D13FFF4">
            <w:pPr>
              <w:jc w:val="center"/>
              <w:rPr>
                <w:rFonts w:hint="eastAsia"/>
                <w:color w:val="auto"/>
                <w:highlight w:val="none"/>
              </w:rPr>
            </w:pPr>
            <w:r>
              <w:rPr>
                <w:rFonts w:hint="eastAsia"/>
                <w:color w:val="auto"/>
                <w:highlight w:val="none"/>
              </w:rPr>
              <w:t>发现1次</w:t>
            </w:r>
            <w:r>
              <w:rPr>
                <w:rFonts w:hint="eastAsia"/>
                <w:color w:val="auto"/>
                <w:highlight w:val="none"/>
                <w:lang w:eastAsia="zh-CN"/>
              </w:rPr>
              <w:t>问题</w:t>
            </w:r>
            <w:r>
              <w:rPr>
                <w:rFonts w:hint="eastAsia"/>
                <w:color w:val="auto"/>
                <w:highlight w:val="none"/>
              </w:rPr>
              <w:t>扣</w:t>
            </w:r>
            <w:r>
              <w:rPr>
                <w:rFonts w:hint="eastAsia"/>
                <w:color w:val="auto"/>
                <w:highlight w:val="none"/>
                <w:lang w:val="en-US" w:eastAsia="zh-CN"/>
              </w:rPr>
              <w:t>1</w:t>
            </w:r>
            <w:r>
              <w:rPr>
                <w:rFonts w:hint="eastAsia"/>
                <w:color w:val="auto"/>
                <w:highlight w:val="none"/>
              </w:rPr>
              <w:t>分</w:t>
            </w:r>
          </w:p>
        </w:tc>
      </w:tr>
      <w:tr w14:paraId="706346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top"/>
          </w:tcPr>
          <w:p w14:paraId="0310F937">
            <w:pPr>
              <w:jc w:val="center"/>
              <w:rPr>
                <w:rFonts w:hint="eastAsia"/>
                <w:color w:val="auto"/>
                <w:highlight w:val="none"/>
                <w:lang w:val="en-US" w:eastAsia="zh-CN"/>
              </w:rPr>
            </w:pPr>
          </w:p>
        </w:tc>
        <w:tc>
          <w:tcPr>
            <w:tcW w:w="1260" w:type="dxa"/>
            <w:vMerge w:val="continue"/>
            <w:tcBorders>
              <w:tl2br w:val="nil"/>
              <w:tr2bl w:val="nil"/>
            </w:tcBorders>
            <w:noWrap w:val="0"/>
            <w:vAlign w:val="top"/>
          </w:tcPr>
          <w:p w14:paraId="76ACBDA5">
            <w:pPr>
              <w:jc w:val="center"/>
              <w:rPr>
                <w:rFonts w:hint="eastAsia"/>
                <w:color w:val="auto"/>
                <w:highlight w:val="none"/>
                <w:lang w:eastAsia="zh-CN"/>
              </w:rPr>
            </w:pPr>
          </w:p>
        </w:tc>
        <w:tc>
          <w:tcPr>
            <w:tcW w:w="7802" w:type="dxa"/>
            <w:tcBorders>
              <w:tl2br w:val="nil"/>
              <w:tr2bl w:val="nil"/>
            </w:tcBorders>
            <w:noWrap w:val="0"/>
            <w:vAlign w:val="center"/>
          </w:tcPr>
          <w:p w14:paraId="056ABCA2">
            <w:pPr>
              <w:jc w:val="both"/>
              <w:rPr>
                <w:rFonts w:hint="eastAsia"/>
                <w:color w:val="auto"/>
                <w:highlight w:val="none"/>
              </w:rPr>
            </w:pPr>
            <w:r>
              <w:rPr>
                <w:rFonts w:hint="eastAsia"/>
                <w:color w:val="auto"/>
                <w:highlight w:val="none"/>
              </w:rPr>
              <w:t>清洁工具及公共物品摆放整齐，不影响学院形象。</w:t>
            </w:r>
          </w:p>
        </w:tc>
        <w:tc>
          <w:tcPr>
            <w:tcW w:w="1276" w:type="dxa"/>
            <w:tcBorders>
              <w:tl2br w:val="nil"/>
              <w:tr2bl w:val="nil"/>
            </w:tcBorders>
            <w:noWrap w:val="0"/>
            <w:vAlign w:val="center"/>
          </w:tcPr>
          <w:p w14:paraId="5F7B37C2">
            <w:pPr>
              <w:jc w:val="center"/>
              <w:rPr>
                <w:rFonts w:hint="eastAsia" w:eastAsia="宋体"/>
                <w:color w:val="auto"/>
                <w:highlight w:val="none"/>
                <w:lang w:val="en-US" w:eastAsia="zh-CN"/>
              </w:rPr>
            </w:pPr>
            <w:r>
              <w:rPr>
                <w:rFonts w:hint="eastAsia"/>
                <w:color w:val="auto"/>
                <w:highlight w:val="none"/>
                <w:lang w:val="en-US" w:eastAsia="zh-CN"/>
              </w:rPr>
              <w:t>3</w:t>
            </w:r>
            <w:r>
              <w:rPr>
                <w:rFonts w:hint="eastAsia"/>
                <w:color w:val="auto"/>
                <w:highlight w:val="none"/>
              </w:rPr>
              <w:t>分</w:t>
            </w:r>
          </w:p>
        </w:tc>
        <w:tc>
          <w:tcPr>
            <w:tcW w:w="1276" w:type="dxa"/>
            <w:tcBorders>
              <w:tl2br w:val="nil"/>
              <w:tr2bl w:val="nil"/>
            </w:tcBorders>
            <w:noWrap w:val="0"/>
            <w:vAlign w:val="top"/>
          </w:tcPr>
          <w:p w14:paraId="4D0BC0B1">
            <w:pPr>
              <w:jc w:val="center"/>
              <w:rPr>
                <w:color w:val="auto"/>
                <w:highlight w:val="none"/>
              </w:rPr>
            </w:pPr>
          </w:p>
        </w:tc>
        <w:tc>
          <w:tcPr>
            <w:tcW w:w="2742" w:type="dxa"/>
            <w:tcBorders>
              <w:tl2br w:val="nil"/>
              <w:tr2bl w:val="nil"/>
            </w:tcBorders>
            <w:noWrap w:val="0"/>
            <w:vAlign w:val="center"/>
          </w:tcPr>
          <w:p w14:paraId="30714D88">
            <w:pPr>
              <w:jc w:val="center"/>
              <w:rPr>
                <w:rFonts w:hint="eastAsia"/>
                <w:color w:val="auto"/>
                <w:highlight w:val="none"/>
              </w:rPr>
            </w:pPr>
            <w:r>
              <w:rPr>
                <w:rFonts w:hint="eastAsia"/>
                <w:color w:val="auto"/>
                <w:highlight w:val="none"/>
              </w:rPr>
              <w:t>发现1次</w:t>
            </w:r>
            <w:r>
              <w:rPr>
                <w:rFonts w:hint="eastAsia"/>
                <w:color w:val="auto"/>
                <w:highlight w:val="none"/>
                <w:lang w:eastAsia="zh-CN"/>
              </w:rPr>
              <w:t>问题</w:t>
            </w:r>
            <w:r>
              <w:rPr>
                <w:rFonts w:hint="eastAsia"/>
                <w:color w:val="auto"/>
                <w:highlight w:val="none"/>
              </w:rPr>
              <w:t>扣</w:t>
            </w:r>
            <w:r>
              <w:rPr>
                <w:rFonts w:hint="eastAsia"/>
                <w:color w:val="auto"/>
                <w:highlight w:val="none"/>
                <w:lang w:val="en-US" w:eastAsia="zh-CN"/>
              </w:rPr>
              <w:t>1</w:t>
            </w:r>
            <w:r>
              <w:rPr>
                <w:rFonts w:hint="eastAsia"/>
                <w:color w:val="auto"/>
                <w:highlight w:val="none"/>
              </w:rPr>
              <w:t>分</w:t>
            </w:r>
          </w:p>
        </w:tc>
      </w:tr>
      <w:tr w14:paraId="1A9E6B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747" w:type="dxa"/>
            <w:gridSpan w:val="3"/>
            <w:tcBorders>
              <w:tl2br w:val="nil"/>
              <w:tr2bl w:val="nil"/>
            </w:tcBorders>
            <w:noWrap w:val="0"/>
            <w:vAlign w:val="center"/>
          </w:tcPr>
          <w:p w14:paraId="6DE8884E">
            <w:pPr>
              <w:jc w:val="center"/>
              <w:rPr>
                <w:color w:val="auto"/>
                <w:highlight w:val="none"/>
              </w:rPr>
            </w:pPr>
            <w:r>
              <w:rPr>
                <w:rFonts w:hint="eastAsia"/>
                <w:b/>
                <w:bCs/>
                <w:color w:val="auto"/>
                <w:highlight w:val="none"/>
              </w:rPr>
              <w:t xml:space="preserve">合  </w:t>
            </w:r>
            <w:r>
              <w:rPr>
                <w:rFonts w:hint="eastAsia"/>
                <w:b/>
                <w:bCs/>
                <w:color w:val="auto"/>
                <w:highlight w:val="none"/>
                <w:lang w:val="en-US" w:eastAsia="zh-CN"/>
              </w:rPr>
              <w:t xml:space="preserve">      </w:t>
            </w:r>
            <w:r>
              <w:rPr>
                <w:rFonts w:hint="eastAsia"/>
                <w:b/>
                <w:bCs/>
                <w:color w:val="auto"/>
                <w:highlight w:val="none"/>
              </w:rPr>
              <w:t xml:space="preserve"> 计</w:t>
            </w:r>
          </w:p>
        </w:tc>
        <w:tc>
          <w:tcPr>
            <w:tcW w:w="1276" w:type="dxa"/>
            <w:tcBorders>
              <w:tl2br w:val="nil"/>
              <w:tr2bl w:val="nil"/>
            </w:tcBorders>
            <w:noWrap w:val="0"/>
            <w:vAlign w:val="center"/>
          </w:tcPr>
          <w:p w14:paraId="15541E61">
            <w:pPr>
              <w:jc w:val="center"/>
              <w:rPr>
                <w:color w:val="auto"/>
                <w:highlight w:val="none"/>
              </w:rPr>
            </w:pPr>
            <w:r>
              <w:rPr>
                <w:rFonts w:hint="eastAsia"/>
                <w:color w:val="auto"/>
                <w:highlight w:val="none"/>
              </w:rPr>
              <w:t>100分</w:t>
            </w:r>
          </w:p>
        </w:tc>
        <w:tc>
          <w:tcPr>
            <w:tcW w:w="1276" w:type="dxa"/>
            <w:tcBorders>
              <w:tl2br w:val="nil"/>
              <w:tr2bl w:val="nil"/>
            </w:tcBorders>
            <w:noWrap w:val="0"/>
            <w:vAlign w:val="center"/>
          </w:tcPr>
          <w:p w14:paraId="341C8B99">
            <w:pPr>
              <w:jc w:val="center"/>
              <w:rPr>
                <w:color w:val="auto"/>
                <w:highlight w:val="none"/>
              </w:rPr>
            </w:pPr>
          </w:p>
        </w:tc>
        <w:tc>
          <w:tcPr>
            <w:tcW w:w="2742" w:type="dxa"/>
            <w:tcBorders>
              <w:tl2br w:val="nil"/>
              <w:tr2bl w:val="nil"/>
            </w:tcBorders>
            <w:noWrap w:val="0"/>
            <w:vAlign w:val="center"/>
          </w:tcPr>
          <w:p w14:paraId="063AAA06">
            <w:pPr>
              <w:jc w:val="center"/>
              <w:rPr>
                <w:color w:val="auto"/>
                <w:highlight w:val="none"/>
              </w:rPr>
            </w:pPr>
          </w:p>
        </w:tc>
      </w:tr>
      <w:tr w14:paraId="0368F9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43" w:hRule="atLeast"/>
          <w:jc w:val="center"/>
        </w:trPr>
        <w:tc>
          <w:tcPr>
            <w:tcW w:w="15041" w:type="dxa"/>
            <w:gridSpan w:val="6"/>
            <w:tcBorders>
              <w:tl2br w:val="nil"/>
              <w:tr2bl w:val="nil"/>
            </w:tcBorders>
            <w:noWrap w:val="0"/>
            <w:vAlign w:val="center"/>
          </w:tcPr>
          <w:p w14:paraId="15058C21">
            <w:pPr>
              <w:jc w:val="both"/>
              <w:rPr>
                <w:rFonts w:hint="eastAsia"/>
                <w:color w:val="auto"/>
                <w:highlight w:val="none"/>
              </w:rPr>
            </w:pPr>
            <w:r>
              <w:rPr>
                <w:rFonts w:hint="eastAsia"/>
                <w:color w:val="auto"/>
                <w:highlight w:val="none"/>
              </w:rPr>
              <w:t>考核办法：</w:t>
            </w:r>
          </w:p>
          <w:p w14:paraId="2E247CB0">
            <w:pPr>
              <w:ind w:firstLine="840" w:firstLineChars="400"/>
              <w:jc w:val="both"/>
              <w:rPr>
                <w:color w:val="auto"/>
                <w:highlight w:val="none"/>
              </w:rPr>
            </w:pPr>
            <w:r>
              <w:rPr>
                <w:rFonts w:hint="eastAsia"/>
                <w:color w:val="auto"/>
                <w:highlight w:val="none"/>
              </w:rPr>
              <w:t>①以月为考核周期，每月总计100分</w:t>
            </w:r>
            <w:r>
              <w:rPr>
                <w:rFonts w:hint="eastAsia"/>
                <w:color w:val="auto"/>
                <w:highlight w:val="none"/>
                <w:lang w:eastAsia="zh-CN"/>
              </w:rPr>
              <w:t>。校方分项目考核负责人</w:t>
            </w:r>
            <w:r>
              <w:rPr>
                <w:rFonts w:hint="eastAsia"/>
                <w:color w:val="auto"/>
                <w:highlight w:val="none"/>
              </w:rPr>
              <w:t>依据考核细则对</w:t>
            </w:r>
            <w:r>
              <w:rPr>
                <w:rFonts w:hint="eastAsia"/>
                <w:color w:val="auto"/>
                <w:highlight w:val="none"/>
                <w:lang w:eastAsia="zh-CN"/>
              </w:rPr>
              <w:t>保洁员</w:t>
            </w:r>
            <w:r>
              <w:rPr>
                <w:rFonts w:hint="eastAsia"/>
                <w:color w:val="auto"/>
                <w:highlight w:val="none"/>
              </w:rPr>
              <w:t>工作进行监督，实行累计扣分制</w:t>
            </w:r>
            <w:r>
              <w:rPr>
                <w:rFonts w:hint="eastAsia"/>
                <w:color w:val="auto"/>
                <w:highlight w:val="none"/>
                <w:lang w:eastAsia="zh-CN"/>
              </w:rPr>
              <w:t>。</w:t>
            </w:r>
            <w:r>
              <w:rPr>
                <w:rFonts w:hint="eastAsia"/>
                <w:color w:val="auto"/>
                <w:highlight w:val="none"/>
              </w:rPr>
              <w:t>每违纪一次，按扣分标准扣分，重复违纪的，予以重复考核扣分，</w:t>
            </w:r>
            <w:r>
              <w:rPr>
                <w:color w:val="auto"/>
                <w:highlight w:val="none"/>
              </w:rPr>
              <w:t xml:space="preserve"> </w:t>
            </w:r>
            <w:r>
              <w:rPr>
                <w:rFonts w:hint="eastAsia"/>
                <w:color w:val="auto"/>
                <w:highlight w:val="none"/>
              </w:rPr>
              <w:t>如此累计得出</w:t>
            </w:r>
            <w:r>
              <w:rPr>
                <w:rFonts w:hint="eastAsia"/>
                <w:color w:val="auto"/>
                <w:highlight w:val="none"/>
                <w:lang w:eastAsia="zh-CN"/>
              </w:rPr>
              <w:t>保洁岗位</w:t>
            </w:r>
            <w:r>
              <w:rPr>
                <w:rFonts w:hint="eastAsia"/>
                <w:color w:val="auto"/>
                <w:highlight w:val="none"/>
              </w:rPr>
              <w:t>每月最终考核得分。</w:t>
            </w:r>
          </w:p>
          <w:p w14:paraId="5ADBBE8F">
            <w:pPr>
              <w:ind w:firstLine="840" w:firstLineChars="400"/>
              <w:jc w:val="both"/>
              <w:rPr>
                <w:color w:val="auto"/>
                <w:highlight w:val="none"/>
              </w:rPr>
            </w:pPr>
            <w:r>
              <w:rPr>
                <w:rFonts w:hint="eastAsia"/>
                <w:color w:val="auto"/>
                <w:highlight w:val="none"/>
              </w:rPr>
              <w:t>②</w:t>
            </w:r>
            <w:r>
              <w:rPr>
                <w:rFonts w:hint="eastAsia"/>
                <w:color w:val="auto"/>
                <w:highlight w:val="none"/>
                <w:lang w:val="en-US" w:eastAsia="zh-CN"/>
              </w:rPr>
              <w:t>90</w:t>
            </w:r>
            <w:r>
              <w:rPr>
                <w:rFonts w:hint="eastAsia"/>
                <w:color w:val="auto"/>
                <w:highlight w:val="none"/>
              </w:rPr>
              <w:t>分~100分为</w:t>
            </w:r>
            <w:r>
              <w:rPr>
                <w:rFonts w:hint="eastAsia"/>
                <w:color w:val="auto"/>
                <w:highlight w:val="none"/>
                <w:lang w:eastAsia="zh-CN"/>
              </w:rPr>
              <w:t>合格</w:t>
            </w:r>
            <w:r>
              <w:rPr>
                <w:rFonts w:hint="eastAsia"/>
                <w:color w:val="auto"/>
                <w:highlight w:val="none"/>
              </w:rPr>
              <w:t>；</w:t>
            </w:r>
            <w:r>
              <w:rPr>
                <w:rFonts w:hint="eastAsia"/>
                <w:color w:val="auto"/>
                <w:highlight w:val="none"/>
                <w:lang w:val="en-US" w:eastAsia="zh-CN"/>
              </w:rPr>
              <w:t>90</w:t>
            </w:r>
            <w:r>
              <w:rPr>
                <w:rFonts w:hint="eastAsia"/>
                <w:color w:val="auto"/>
                <w:highlight w:val="none"/>
              </w:rPr>
              <w:t>分</w:t>
            </w:r>
            <w:r>
              <w:rPr>
                <w:rFonts w:hint="eastAsia"/>
                <w:color w:val="auto"/>
                <w:highlight w:val="none"/>
                <w:lang w:eastAsia="zh-CN"/>
              </w:rPr>
              <w:t>以下</w:t>
            </w:r>
            <w:r>
              <w:rPr>
                <w:rFonts w:hint="eastAsia"/>
                <w:color w:val="auto"/>
                <w:highlight w:val="none"/>
              </w:rPr>
              <w:t>为不合格，扣罚</w:t>
            </w:r>
            <w:r>
              <w:rPr>
                <w:rFonts w:hint="eastAsia"/>
                <w:color w:val="auto"/>
                <w:highlight w:val="none"/>
                <w:lang w:eastAsia="zh-CN"/>
              </w:rPr>
              <w:t>物业公</w:t>
            </w:r>
            <w:r>
              <w:rPr>
                <w:rFonts w:hint="eastAsia" w:ascii="Calibri" w:hAnsi="Calibri" w:eastAsia="宋体" w:cs="Times New Roman"/>
                <w:color w:val="auto"/>
                <w:highlight w:val="none"/>
                <w:lang w:eastAsia="zh-CN"/>
              </w:rPr>
              <w:t>司</w:t>
            </w:r>
            <w:r>
              <w:rPr>
                <w:rFonts w:hint="eastAsia" w:ascii="Calibri" w:hAnsi="Calibri" w:eastAsia="宋体" w:cs="Times New Roman"/>
                <w:color w:val="auto"/>
                <w:highlight w:val="none"/>
              </w:rPr>
              <w:t>当月服务费中的1%做为罚金；连续3</w:t>
            </w:r>
            <w:r>
              <w:rPr>
                <w:rFonts w:hint="eastAsia"/>
                <w:color w:val="auto"/>
                <w:highlight w:val="none"/>
              </w:rPr>
              <w:t>个月考核在</w:t>
            </w:r>
            <w:r>
              <w:rPr>
                <w:rFonts w:hint="eastAsia"/>
                <w:color w:val="auto"/>
                <w:highlight w:val="none"/>
                <w:lang w:val="en-US" w:eastAsia="zh-CN"/>
              </w:rPr>
              <w:t>90</w:t>
            </w:r>
            <w:r>
              <w:rPr>
                <w:rFonts w:hint="eastAsia"/>
                <w:color w:val="auto"/>
                <w:highlight w:val="none"/>
              </w:rPr>
              <w:t>分以下的员工，视为不符合本岗位工作要求，</w:t>
            </w:r>
            <w:r>
              <w:rPr>
                <w:rFonts w:hint="eastAsia"/>
                <w:color w:val="auto"/>
                <w:highlight w:val="none"/>
                <w:lang w:eastAsia="zh-CN"/>
              </w:rPr>
              <w:t>建议物业公司</w:t>
            </w:r>
            <w:r>
              <w:rPr>
                <w:rFonts w:hint="eastAsia"/>
                <w:color w:val="auto"/>
                <w:highlight w:val="none"/>
              </w:rPr>
              <w:t>做辞退处理。</w:t>
            </w:r>
          </w:p>
        </w:tc>
      </w:tr>
    </w:tbl>
    <w:p w14:paraId="2A068C0F">
      <w:pPr>
        <w:ind w:firstLine="420" w:firstLineChars="200"/>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lang w:val="en-US" w:eastAsia="zh-CN"/>
        </w:rPr>
        <w:t>物业公司负责人</w:t>
      </w:r>
      <w:r>
        <w:rPr>
          <w:rFonts w:hint="eastAsia" w:ascii="宋体" w:hAnsi="宋体" w:eastAsia="宋体" w:cs="宋体"/>
          <w:b w:val="0"/>
          <w:bCs/>
          <w:color w:val="auto"/>
          <w:sz w:val="21"/>
          <w:szCs w:val="21"/>
          <w:highlight w:val="none"/>
        </w:rPr>
        <w:t xml:space="preserve">签名/日期:                             </w:t>
      </w:r>
      <w:r>
        <w:rPr>
          <w:rFonts w:hint="eastAsia" w:ascii="宋体" w:hAnsi="宋体" w:eastAsia="宋体" w:cs="宋体"/>
          <w:b w:val="0"/>
          <w:bCs/>
          <w:color w:val="auto"/>
          <w:sz w:val="21"/>
          <w:szCs w:val="21"/>
          <w:highlight w:val="none"/>
          <w:lang w:val="en-US" w:eastAsia="zh-CN"/>
        </w:rPr>
        <w:t xml:space="preserve">                       校方分项目考核负责人</w:t>
      </w:r>
      <w:r>
        <w:rPr>
          <w:rFonts w:hint="eastAsia" w:ascii="宋体" w:hAnsi="宋体" w:eastAsia="宋体" w:cs="宋体"/>
          <w:b w:val="0"/>
          <w:bCs/>
          <w:color w:val="auto"/>
          <w:sz w:val="21"/>
          <w:szCs w:val="21"/>
          <w:highlight w:val="none"/>
        </w:rPr>
        <w:t xml:space="preserve">签名/日期: </w:t>
      </w:r>
    </w:p>
    <w:p w14:paraId="586DBF2B">
      <w:pPr>
        <w:widowControl/>
        <w:jc w:val="center"/>
        <w:rPr>
          <w:rFonts w:hint="eastAsia"/>
          <w:b/>
          <w:color w:val="auto"/>
          <w:sz w:val="36"/>
          <w:szCs w:val="36"/>
          <w:highlight w:val="none"/>
          <w:lang w:val="en-US" w:eastAsia="zh-CN"/>
        </w:rPr>
      </w:pPr>
      <w:r>
        <w:rPr>
          <w:rFonts w:hint="eastAsia"/>
          <w:b/>
          <w:color w:val="auto"/>
          <w:sz w:val="36"/>
          <w:szCs w:val="36"/>
          <w:highlight w:val="none"/>
          <w:lang w:val="en-US" w:eastAsia="zh-CN"/>
        </w:rPr>
        <w:t xml:space="preserve">    </w:t>
      </w:r>
    </w:p>
    <w:p w14:paraId="55A1E0C7">
      <w:pPr>
        <w:widowControl/>
        <w:jc w:val="center"/>
        <w:rPr>
          <w:rFonts w:hint="eastAsia"/>
          <w:b/>
          <w:color w:val="auto"/>
          <w:sz w:val="36"/>
          <w:szCs w:val="36"/>
          <w:highlight w:val="none"/>
          <w:lang w:val="en-US" w:eastAsia="zh-CN"/>
        </w:rPr>
      </w:pPr>
    </w:p>
    <w:p w14:paraId="5E46F616">
      <w:pPr>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br w:type="page"/>
      </w:r>
    </w:p>
    <w:p w14:paraId="1023203C">
      <w:pPr>
        <w:widowControl/>
        <w:jc w:val="both"/>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附表3：湖铁职院物业公司</w:t>
      </w:r>
      <w:r>
        <w:rPr>
          <w:rFonts w:hint="eastAsia"/>
          <w:b w:val="0"/>
          <w:bCs/>
          <w:color w:val="auto"/>
          <w:sz w:val="21"/>
          <w:szCs w:val="21"/>
          <w:highlight w:val="none"/>
        </w:rPr>
        <w:t>会务管理考核</w:t>
      </w:r>
      <w:r>
        <w:rPr>
          <w:rFonts w:hint="eastAsia"/>
          <w:b w:val="0"/>
          <w:bCs/>
          <w:color w:val="auto"/>
          <w:sz w:val="21"/>
          <w:szCs w:val="21"/>
          <w:highlight w:val="none"/>
          <w:lang w:eastAsia="zh-CN"/>
        </w:rPr>
        <w:t>表</w:t>
      </w:r>
    </w:p>
    <w:p w14:paraId="5861CBB5">
      <w:pPr>
        <w:widowControl/>
        <w:jc w:val="center"/>
        <w:rPr>
          <w:rFonts w:hint="default" w:eastAsia="宋体"/>
          <w:b/>
          <w:color w:val="auto"/>
          <w:sz w:val="36"/>
          <w:szCs w:val="36"/>
          <w:highlight w:val="none"/>
          <w:lang w:val="en-US" w:eastAsia="zh-CN"/>
        </w:rPr>
      </w:pPr>
      <w:r>
        <w:rPr>
          <w:rFonts w:hint="eastAsia"/>
          <w:b/>
          <w:color w:val="auto"/>
          <w:sz w:val="36"/>
          <w:szCs w:val="36"/>
          <w:highlight w:val="none"/>
          <w:lang w:val="en-US" w:eastAsia="zh-CN"/>
        </w:rPr>
        <w:t xml:space="preserve"> 湖铁职院物业公司</w:t>
      </w:r>
      <w:r>
        <w:rPr>
          <w:rFonts w:hint="eastAsia"/>
          <w:b/>
          <w:color w:val="auto"/>
          <w:sz w:val="36"/>
          <w:szCs w:val="36"/>
          <w:highlight w:val="none"/>
        </w:rPr>
        <w:t>会务管理考核</w:t>
      </w:r>
      <w:r>
        <w:rPr>
          <w:rFonts w:hint="eastAsia"/>
          <w:b/>
          <w:color w:val="auto"/>
          <w:sz w:val="36"/>
          <w:szCs w:val="36"/>
          <w:highlight w:val="none"/>
          <w:lang w:eastAsia="zh-CN"/>
        </w:rPr>
        <w:t>表</w:t>
      </w:r>
      <w:r>
        <w:rPr>
          <w:rFonts w:hint="eastAsia"/>
          <w:b/>
          <w:color w:val="auto"/>
          <w:sz w:val="36"/>
          <w:szCs w:val="36"/>
          <w:highlight w:val="none"/>
          <w:lang w:val="en-US" w:eastAsia="zh-CN"/>
        </w:rPr>
        <w:t xml:space="preserve">         </w:t>
      </w:r>
      <w:r>
        <w:rPr>
          <w:rFonts w:hint="eastAsia"/>
          <w:b/>
          <w:color w:val="auto"/>
          <w:sz w:val="18"/>
          <w:szCs w:val="18"/>
          <w:highlight w:val="none"/>
          <w:lang w:val="en-US" w:eastAsia="zh-CN"/>
        </w:rPr>
        <w:t>考核时间：      年       月</w:t>
      </w:r>
    </w:p>
    <w:tbl>
      <w:tblPr>
        <w:tblStyle w:val="45"/>
        <w:tblW w:w="1436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85"/>
        <w:gridCol w:w="1260"/>
        <w:gridCol w:w="7802"/>
        <w:gridCol w:w="1276"/>
        <w:gridCol w:w="1276"/>
        <w:gridCol w:w="2061"/>
      </w:tblGrid>
      <w:tr w14:paraId="00B4D9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685" w:type="dxa"/>
            <w:tcBorders>
              <w:tl2br w:val="nil"/>
              <w:tr2bl w:val="nil"/>
            </w:tcBorders>
            <w:noWrap w:val="0"/>
            <w:vAlign w:val="center"/>
          </w:tcPr>
          <w:p w14:paraId="4B64DB1F">
            <w:pPr>
              <w:jc w:val="center"/>
              <w:rPr>
                <w:b/>
                <w:color w:val="auto"/>
                <w:sz w:val="24"/>
                <w:szCs w:val="24"/>
                <w:highlight w:val="none"/>
              </w:rPr>
            </w:pPr>
            <w:r>
              <w:rPr>
                <w:rFonts w:hint="eastAsia"/>
                <w:b/>
                <w:color w:val="auto"/>
                <w:sz w:val="24"/>
                <w:szCs w:val="24"/>
                <w:highlight w:val="none"/>
              </w:rPr>
              <w:t>序</w:t>
            </w:r>
          </w:p>
        </w:tc>
        <w:tc>
          <w:tcPr>
            <w:tcW w:w="1260" w:type="dxa"/>
            <w:tcBorders>
              <w:tl2br w:val="nil"/>
              <w:tr2bl w:val="nil"/>
            </w:tcBorders>
            <w:noWrap w:val="0"/>
            <w:vAlign w:val="center"/>
          </w:tcPr>
          <w:p w14:paraId="2C7FDCA0">
            <w:pPr>
              <w:jc w:val="center"/>
              <w:rPr>
                <w:b/>
                <w:color w:val="auto"/>
                <w:sz w:val="24"/>
                <w:szCs w:val="24"/>
                <w:highlight w:val="none"/>
              </w:rPr>
            </w:pPr>
            <w:r>
              <w:rPr>
                <w:rFonts w:hint="eastAsia"/>
                <w:b/>
                <w:color w:val="auto"/>
                <w:sz w:val="24"/>
                <w:szCs w:val="24"/>
                <w:highlight w:val="none"/>
              </w:rPr>
              <w:t>考核项</w:t>
            </w:r>
          </w:p>
        </w:tc>
        <w:tc>
          <w:tcPr>
            <w:tcW w:w="7802" w:type="dxa"/>
            <w:tcBorders>
              <w:tl2br w:val="nil"/>
              <w:tr2bl w:val="nil"/>
            </w:tcBorders>
            <w:noWrap w:val="0"/>
            <w:vAlign w:val="center"/>
          </w:tcPr>
          <w:p w14:paraId="6C668AFD">
            <w:pPr>
              <w:jc w:val="center"/>
              <w:rPr>
                <w:b/>
                <w:color w:val="auto"/>
                <w:sz w:val="24"/>
                <w:szCs w:val="24"/>
                <w:highlight w:val="none"/>
              </w:rPr>
            </w:pPr>
            <w:r>
              <w:rPr>
                <w:rFonts w:hint="eastAsia"/>
                <w:b/>
                <w:color w:val="auto"/>
                <w:sz w:val="24"/>
                <w:szCs w:val="24"/>
                <w:highlight w:val="none"/>
              </w:rPr>
              <w:t>考</w:t>
            </w:r>
            <w:r>
              <w:rPr>
                <w:rFonts w:hint="eastAsia"/>
                <w:b/>
                <w:color w:val="auto"/>
                <w:sz w:val="24"/>
                <w:szCs w:val="24"/>
                <w:highlight w:val="none"/>
                <w:lang w:val="en-US" w:eastAsia="zh-CN"/>
              </w:rPr>
              <w:t xml:space="preserve">    </w:t>
            </w:r>
            <w:r>
              <w:rPr>
                <w:rFonts w:hint="eastAsia"/>
                <w:b/>
                <w:color w:val="auto"/>
                <w:sz w:val="24"/>
                <w:szCs w:val="24"/>
                <w:highlight w:val="none"/>
              </w:rPr>
              <w:t>核</w:t>
            </w:r>
            <w:r>
              <w:rPr>
                <w:rFonts w:hint="eastAsia"/>
                <w:b/>
                <w:color w:val="auto"/>
                <w:sz w:val="24"/>
                <w:szCs w:val="24"/>
                <w:highlight w:val="none"/>
                <w:lang w:val="en-US" w:eastAsia="zh-CN"/>
              </w:rPr>
              <w:t xml:space="preserve">    </w:t>
            </w:r>
            <w:r>
              <w:rPr>
                <w:rFonts w:hint="eastAsia"/>
                <w:b/>
                <w:color w:val="auto"/>
                <w:sz w:val="24"/>
                <w:szCs w:val="24"/>
                <w:highlight w:val="none"/>
              </w:rPr>
              <w:t>细</w:t>
            </w:r>
            <w:r>
              <w:rPr>
                <w:rFonts w:hint="eastAsia"/>
                <w:b/>
                <w:color w:val="auto"/>
                <w:sz w:val="24"/>
                <w:szCs w:val="24"/>
                <w:highlight w:val="none"/>
                <w:lang w:val="en-US" w:eastAsia="zh-CN"/>
              </w:rPr>
              <w:t xml:space="preserve">    </w:t>
            </w:r>
            <w:r>
              <w:rPr>
                <w:rFonts w:hint="eastAsia"/>
                <w:b/>
                <w:color w:val="auto"/>
                <w:sz w:val="24"/>
                <w:szCs w:val="24"/>
                <w:highlight w:val="none"/>
              </w:rPr>
              <w:t>则</w:t>
            </w:r>
          </w:p>
        </w:tc>
        <w:tc>
          <w:tcPr>
            <w:tcW w:w="1276" w:type="dxa"/>
            <w:tcBorders>
              <w:tl2br w:val="nil"/>
              <w:tr2bl w:val="nil"/>
            </w:tcBorders>
            <w:noWrap w:val="0"/>
            <w:vAlign w:val="center"/>
          </w:tcPr>
          <w:p w14:paraId="35934699">
            <w:pPr>
              <w:jc w:val="center"/>
              <w:rPr>
                <w:b/>
                <w:color w:val="auto"/>
                <w:sz w:val="24"/>
                <w:szCs w:val="24"/>
                <w:highlight w:val="none"/>
              </w:rPr>
            </w:pPr>
            <w:r>
              <w:rPr>
                <w:rFonts w:hint="eastAsia"/>
                <w:b/>
                <w:color w:val="auto"/>
                <w:sz w:val="24"/>
                <w:szCs w:val="24"/>
                <w:highlight w:val="none"/>
              </w:rPr>
              <w:t>占</w:t>
            </w:r>
            <w:r>
              <w:rPr>
                <w:rFonts w:hint="eastAsia"/>
                <w:b/>
                <w:color w:val="auto"/>
                <w:sz w:val="24"/>
                <w:szCs w:val="24"/>
                <w:highlight w:val="none"/>
                <w:lang w:val="en-US" w:eastAsia="zh-CN"/>
              </w:rPr>
              <w:t xml:space="preserve">  </w:t>
            </w:r>
            <w:r>
              <w:rPr>
                <w:rFonts w:hint="eastAsia"/>
                <w:b/>
                <w:color w:val="auto"/>
                <w:sz w:val="24"/>
                <w:szCs w:val="24"/>
                <w:highlight w:val="none"/>
              </w:rPr>
              <w:t>分</w:t>
            </w:r>
          </w:p>
        </w:tc>
        <w:tc>
          <w:tcPr>
            <w:tcW w:w="1276" w:type="dxa"/>
            <w:tcBorders>
              <w:tl2br w:val="nil"/>
              <w:tr2bl w:val="nil"/>
            </w:tcBorders>
            <w:noWrap w:val="0"/>
            <w:vAlign w:val="center"/>
          </w:tcPr>
          <w:p w14:paraId="1FBEC6AA">
            <w:pPr>
              <w:jc w:val="center"/>
              <w:rPr>
                <w:b/>
                <w:color w:val="auto"/>
                <w:sz w:val="24"/>
                <w:szCs w:val="24"/>
                <w:highlight w:val="none"/>
              </w:rPr>
            </w:pPr>
            <w:r>
              <w:rPr>
                <w:rFonts w:hint="eastAsia"/>
                <w:b/>
                <w:color w:val="auto"/>
                <w:sz w:val="24"/>
                <w:szCs w:val="24"/>
                <w:highlight w:val="none"/>
              </w:rPr>
              <w:t>得</w:t>
            </w:r>
            <w:r>
              <w:rPr>
                <w:rFonts w:hint="eastAsia"/>
                <w:b/>
                <w:color w:val="auto"/>
                <w:sz w:val="24"/>
                <w:szCs w:val="24"/>
                <w:highlight w:val="none"/>
                <w:lang w:val="en-US" w:eastAsia="zh-CN"/>
              </w:rPr>
              <w:t xml:space="preserve">  </w:t>
            </w:r>
            <w:r>
              <w:rPr>
                <w:rFonts w:hint="eastAsia"/>
                <w:b/>
                <w:color w:val="auto"/>
                <w:sz w:val="24"/>
                <w:szCs w:val="24"/>
                <w:highlight w:val="none"/>
              </w:rPr>
              <w:t>分</w:t>
            </w:r>
          </w:p>
        </w:tc>
        <w:tc>
          <w:tcPr>
            <w:tcW w:w="2061" w:type="dxa"/>
            <w:tcBorders>
              <w:tl2br w:val="nil"/>
              <w:tr2bl w:val="nil"/>
            </w:tcBorders>
            <w:noWrap w:val="0"/>
            <w:vAlign w:val="center"/>
          </w:tcPr>
          <w:p w14:paraId="3786BD54">
            <w:pPr>
              <w:jc w:val="center"/>
              <w:rPr>
                <w:b/>
                <w:color w:val="auto"/>
                <w:sz w:val="24"/>
                <w:szCs w:val="24"/>
                <w:highlight w:val="none"/>
              </w:rPr>
            </w:pPr>
            <w:r>
              <w:rPr>
                <w:rFonts w:hint="eastAsia"/>
                <w:b/>
                <w:color w:val="auto"/>
                <w:sz w:val="24"/>
                <w:szCs w:val="24"/>
                <w:highlight w:val="none"/>
              </w:rPr>
              <w:t>扣</w:t>
            </w:r>
            <w:r>
              <w:rPr>
                <w:rFonts w:hint="eastAsia"/>
                <w:b/>
                <w:color w:val="auto"/>
                <w:sz w:val="24"/>
                <w:szCs w:val="24"/>
                <w:highlight w:val="none"/>
                <w:lang w:val="en-US" w:eastAsia="zh-CN"/>
              </w:rPr>
              <w:t xml:space="preserve">  </w:t>
            </w:r>
            <w:r>
              <w:rPr>
                <w:rFonts w:hint="eastAsia"/>
                <w:b/>
                <w:color w:val="auto"/>
                <w:sz w:val="24"/>
                <w:szCs w:val="24"/>
                <w:highlight w:val="none"/>
              </w:rPr>
              <w:t>分</w:t>
            </w:r>
            <w:r>
              <w:rPr>
                <w:rFonts w:hint="eastAsia"/>
                <w:b/>
                <w:color w:val="auto"/>
                <w:sz w:val="24"/>
                <w:szCs w:val="24"/>
                <w:highlight w:val="none"/>
                <w:lang w:val="en-US" w:eastAsia="zh-CN"/>
              </w:rPr>
              <w:t xml:space="preserve">  </w:t>
            </w:r>
            <w:r>
              <w:rPr>
                <w:rFonts w:hint="eastAsia"/>
                <w:b/>
                <w:color w:val="auto"/>
                <w:sz w:val="24"/>
                <w:szCs w:val="24"/>
                <w:highlight w:val="none"/>
              </w:rPr>
              <w:t>标</w:t>
            </w:r>
            <w:r>
              <w:rPr>
                <w:rFonts w:hint="eastAsia"/>
                <w:b/>
                <w:color w:val="auto"/>
                <w:sz w:val="24"/>
                <w:szCs w:val="24"/>
                <w:highlight w:val="none"/>
                <w:lang w:val="en-US" w:eastAsia="zh-CN"/>
              </w:rPr>
              <w:t xml:space="preserve">  </w:t>
            </w:r>
            <w:r>
              <w:rPr>
                <w:rFonts w:hint="eastAsia"/>
                <w:b/>
                <w:color w:val="auto"/>
                <w:sz w:val="24"/>
                <w:szCs w:val="24"/>
                <w:highlight w:val="none"/>
              </w:rPr>
              <w:t>准</w:t>
            </w:r>
          </w:p>
        </w:tc>
      </w:tr>
      <w:tr w14:paraId="42B94A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restart"/>
            <w:tcBorders>
              <w:tl2br w:val="nil"/>
              <w:tr2bl w:val="nil"/>
            </w:tcBorders>
            <w:noWrap w:val="0"/>
            <w:vAlign w:val="center"/>
          </w:tcPr>
          <w:p w14:paraId="09CDE3FE">
            <w:pPr>
              <w:jc w:val="center"/>
              <w:rPr>
                <w:color w:val="auto"/>
                <w:highlight w:val="none"/>
              </w:rPr>
            </w:pPr>
            <w:r>
              <w:rPr>
                <w:rFonts w:hint="eastAsia"/>
                <w:color w:val="auto"/>
                <w:highlight w:val="none"/>
              </w:rPr>
              <w:t>1</w:t>
            </w:r>
          </w:p>
        </w:tc>
        <w:tc>
          <w:tcPr>
            <w:tcW w:w="1260" w:type="dxa"/>
            <w:vMerge w:val="restart"/>
            <w:tcBorders>
              <w:tl2br w:val="nil"/>
              <w:tr2bl w:val="nil"/>
            </w:tcBorders>
            <w:noWrap w:val="0"/>
            <w:vAlign w:val="center"/>
          </w:tcPr>
          <w:p w14:paraId="050F0256">
            <w:pPr>
              <w:jc w:val="center"/>
              <w:rPr>
                <w:color w:val="auto"/>
                <w:highlight w:val="none"/>
              </w:rPr>
            </w:pPr>
            <w:r>
              <w:rPr>
                <w:rFonts w:hint="eastAsia"/>
                <w:color w:val="auto"/>
                <w:highlight w:val="none"/>
              </w:rPr>
              <w:t>上岗纪律</w:t>
            </w:r>
          </w:p>
        </w:tc>
        <w:tc>
          <w:tcPr>
            <w:tcW w:w="7802" w:type="dxa"/>
            <w:tcBorders>
              <w:tl2br w:val="nil"/>
              <w:tr2bl w:val="nil"/>
            </w:tcBorders>
            <w:noWrap w:val="0"/>
            <w:vAlign w:val="center"/>
          </w:tcPr>
          <w:p w14:paraId="0FA52EC7">
            <w:pPr>
              <w:jc w:val="both"/>
              <w:rPr>
                <w:rFonts w:hint="eastAsia" w:eastAsia="宋体"/>
                <w:color w:val="auto"/>
                <w:highlight w:val="none"/>
                <w:lang w:eastAsia="zh-CN"/>
              </w:rPr>
            </w:pPr>
            <w:r>
              <w:rPr>
                <w:rFonts w:hint="eastAsia"/>
                <w:color w:val="auto"/>
                <w:highlight w:val="none"/>
              </w:rPr>
              <w:t>着工装</w:t>
            </w:r>
            <w:r>
              <w:rPr>
                <w:rFonts w:hint="eastAsia"/>
                <w:color w:val="auto"/>
                <w:highlight w:val="none"/>
                <w:lang w:eastAsia="zh-CN"/>
              </w:rPr>
              <w:t>，</w:t>
            </w:r>
            <w:r>
              <w:rPr>
                <w:rFonts w:hint="eastAsia"/>
                <w:color w:val="auto"/>
                <w:highlight w:val="none"/>
              </w:rPr>
              <w:t>化淡妆上岗</w:t>
            </w:r>
            <w:r>
              <w:rPr>
                <w:rFonts w:hint="eastAsia"/>
                <w:color w:val="auto"/>
                <w:highlight w:val="none"/>
                <w:lang w:eastAsia="zh-CN"/>
              </w:rPr>
              <w:t>，</w:t>
            </w:r>
            <w:r>
              <w:rPr>
                <w:rFonts w:hint="eastAsia"/>
                <w:color w:val="auto"/>
                <w:highlight w:val="none"/>
              </w:rPr>
              <w:t>穿戴整洁，佩戴工牌，不披头散发，刘海不过眉</w:t>
            </w:r>
            <w:r>
              <w:rPr>
                <w:rFonts w:hint="eastAsia"/>
                <w:color w:val="auto"/>
                <w:highlight w:val="none"/>
                <w:lang w:eastAsia="zh-CN"/>
              </w:rPr>
              <w:t>；</w:t>
            </w:r>
          </w:p>
        </w:tc>
        <w:tc>
          <w:tcPr>
            <w:tcW w:w="1276" w:type="dxa"/>
            <w:tcBorders>
              <w:tl2br w:val="nil"/>
              <w:tr2bl w:val="nil"/>
            </w:tcBorders>
            <w:noWrap w:val="0"/>
            <w:vAlign w:val="center"/>
          </w:tcPr>
          <w:p w14:paraId="464A3B26">
            <w:pPr>
              <w:jc w:val="center"/>
              <w:rPr>
                <w:color w:val="auto"/>
                <w:highlight w:val="none"/>
              </w:rPr>
            </w:pPr>
            <w:r>
              <w:rPr>
                <w:rFonts w:hint="eastAsia"/>
                <w:color w:val="auto"/>
                <w:highlight w:val="none"/>
              </w:rPr>
              <w:t>10分</w:t>
            </w:r>
          </w:p>
        </w:tc>
        <w:tc>
          <w:tcPr>
            <w:tcW w:w="1276" w:type="dxa"/>
            <w:tcBorders>
              <w:tl2br w:val="nil"/>
              <w:tr2bl w:val="nil"/>
            </w:tcBorders>
            <w:noWrap w:val="0"/>
            <w:vAlign w:val="top"/>
          </w:tcPr>
          <w:p w14:paraId="666F8DEB">
            <w:pPr>
              <w:jc w:val="center"/>
              <w:rPr>
                <w:color w:val="auto"/>
                <w:highlight w:val="none"/>
              </w:rPr>
            </w:pPr>
          </w:p>
        </w:tc>
        <w:tc>
          <w:tcPr>
            <w:tcW w:w="2061" w:type="dxa"/>
            <w:vMerge w:val="restart"/>
            <w:tcBorders>
              <w:tl2br w:val="nil"/>
              <w:tr2bl w:val="nil"/>
            </w:tcBorders>
            <w:noWrap w:val="0"/>
            <w:vAlign w:val="center"/>
          </w:tcPr>
          <w:p w14:paraId="7B12F329">
            <w:pPr>
              <w:rPr>
                <w:rFonts w:hint="eastAsia" w:eastAsia="宋体"/>
                <w:color w:val="auto"/>
                <w:highlight w:val="none"/>
                <w:lang w:eastAsia="zh-CN"/>
              </w:rPr>
            </w:pPr>
            <w:r>
              <w:rPr>
                <w:rFonts w:hint="eastAsia"/>
                <w:color w:val="auto"/>
                <w:highlight w:val="none"/>
              </w:rPr>
              <w:t>发现1次问题扣2分</w:t>
            </w:r>
            <w:r>
              <w:rPr>
                <w:rFonts w:hint="eastAsia"/>
                <w:color w:val="auto"/>
                <w:highlight w:val="none"/>
                <w:lang w:eastAsia="zh-CN"/>
              </w:rPr>
              <w:t>。</w:t>
            </w:r>
          </w:p>
        </w:tc>
      </w:tr>
      <w:tr w14:paraId="1ACC14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center"/>
          </w:tcPr>
          <w:p w14:paraId="320F53E8">
            <w:pPr>
              <w:jc w:val="center"/>
              <w:rPr>
                <w:color w:val="auto"/>
                <w:highlight w:val="none"/>
              </w:rPr>
            </w:pPr>
          </w:p>
        </w:tc>
        <w:tc>
          <w:tcPr>
            <w:tcW w:w="1260" w:type="dxa"/>
            <w:vMerge w:val="continue"/>
            <w:tcBorders>
              <w:tl2br w:val="nil"/>
              <w:tr2bl w:val="nil"/>
            </w:tcBorders>
            <w:noWrap w:val="0"/>
            <w:vAlign w:val="center"/>
          </w:tcPr>
          <w:p w14:paraId="245DA0AC">
            <w:pPr>
              <w:jc w:val="center"/>
              <w:rPr>
                <w:color w:val="auto"/>
                <w:highlight w:val="none"/>
              </w:rPr>
            </w:pPr>
          </w:p>
        </w:tc>
        <w:tc>
          <w:tcPr>
            <w:tcW w:w="7802" w:type="dxa"/>
            <w:tcBorders>
              <w:tl2br w:val="nil"/>
              <w:tr2bl w:val="nil"/>
            </w:tcBorders>
            <w:noWrap w:val="0"/>
            <w:vAlign w:val="center"/>
          </w:tcPr>
          <w:p w14:paraId="20A17AC8">
            <w:pPr>
              <w:jc w:val="both"/>
              <w:rPr>
                <w:rFonts w:hint="eastAsia" w:eastAsia="宋体"/>
                <w:color w:val="auto"/>
                <w:highlight w:val="none"/>
                <w:lang w:eastAsia="zh-CN"/>
              </w:rPr>
            </w:pPr>
            <w:r>
              <w:rPr>
                <w:rFonts w:hint="eastAsia"/>
                <w:color w:val="auto"/>
                <w:highlight w:val="none"/>
                <w:lang w:eastAsia="zh-CN"/>
              </w:rPr>
              <w:t>会议开始</w:t>
            </w:r>
            <w:r>
              <w:rPr>
                <w:rFonts w:hint="eastAsia"/>
                <w:color w:val="auto"/>
                <w:highlight w:val="none"/>
              </w:rPr>
              <w:t>前提前1小时到岗，做好会务服务的准备工作</w:t>
            </w:r>
            <w:r>
              <w:rPr>
                <w:rFonts w:hint="eastAsia"/>
                <w:color w:val="auto"/>
                <w:highlight w:val="none"/>
                <w:lang w:eastAsia="zh-CN"/>
              </w:rPr>
              <w:t>；</w:t>
            </w:r>
          </w:p>
        </w:tc>
        <w:tc>
          <w:tcPr>
            <w:tcW w:w="1276" w:type="dxa"/>
            <w:tcBorders>
              <w:tl2br w:val="nil"/>
              <w:tr2bl w:val="nil"/>
            </w:tcBorders>
            <w:noWrap w:val="0"/>
            <w:vAlign w:val="center"/>
          </w:tcPr>
          <w:p w14:paraId="7B920073">
            <w:pPr>
              <w:jc w:val="center"/>
              <w:rPr>
                <w:color w:val="auto"/>
                <w:highlight w:val="none"/>
              </w:rPr>
            </w:pPr>
            <w:r>
              <w:rPr>
                <w:rFonts w:hint="eastAsia"/>
                <w:color w:val="auto"/>
                <w:highlight w:val="none"/>
              </w:rPr>
              <w:t>5分</w:t>
            </w:r>
          </w:p>
        </w:tc>
        <w:tc>
          <w:tcPr>
            <w:tcW w:w="1276" w:type="dxa"/>
            <w:tcBorders>
              <w:tl2br w:val="nil"/>
              <w:tr2bl w:val="nil"/>
            </w:tcBorders>
            <w:noWrap w:val="0"/>
            <w:vAlign w:val="top"/>
          </w:tcPr>
          <w:p w14:paraId="2851143C">
            <w:pPr>
              <w:jc w:val="center"/>
              <w:rPr>
                <w:color w:val="auto"/>
                <w:highlight w:val="none"/>
              </w:rPr>
            </w:pPr>
          </w:p>
        </w:tc>
        <w:tc>
          <w:tcPr>
            <w:tcW w:w="2061" w:type="dxa"/>
            <w:vMerge w:val="continue"/>
            <w:tcBorders>
              <w:tl2br w:val="nil"/>
              <w:tr2bl w:val="nil"/>
            </w:tcBorders>
            <w:noWrap w:val="0"/>
            <w:vAlign w:val="center"/>
          </w:tcPr>
          <w:p w14:paraId="159A4362">
            <w:pPr>
              <w:rPr>
                <w:color w:val="auto"/>
                <w:highlight w:val="none"/>
              </w:rPr>
            </w:pPr>
          </w:p>
        </w:tc>
      </w:tr>
      <w:tr w14:paraId="6F388D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center"/>
          </w:tcPr>
          <w:p w14:paraId="492CC9DC">
            <w:pPr>
              <w:jc w:val="center"/>
              <w:rPr>
                <w:color w:val="auto"/>
                <w:highlight w:val="none"/>
              </w:rPr>
            </w:pPr>
          </w:p>
        </w:tc>
        <w:tc>
          <w:tcPr>
            <w:tcW w:w="1260" w:type="dxa"/>
            <w:vMerge w:val="continue"/>
            <w:tcBorders>
              <w:tl2br w:val="nil"/>
              <w:tr2bl w:val="nil"/>
            </w:tcBorders>
            <w:noWrap w:val="0"/>
            <w:vAlign w:val="center"/>
          </w:tcPr>
          <w:p w14:paraId="53BC8E08">
            <w:pPr>
              <w:jc w:val="center"/>
              <w:rPr>
                <w:color w:val="auto"/>
                <w:highlight w:val="none"/>
              </w:rPr>
            </w:pPr>
          </w:p>
        </w:tc>
        <w:tc>
          <w:tcPr>
            <w:tcW w:w="7802" w:type="dxa"/>
            <w:tcBorders>
              <w:tl2br w:val="nil"/>
              <w:tr2bl w:val="nil"/>
            </w:tcBorders>
            <w:noWrap w:val="0"/>
            <w:vAlign w:val="center"/>
          </w:tcPr>
          <w:p w14:paraId="41D1DE19">
            <w:pPr>
              <w:jc w:val="both"/>
              <w:rPr>
                <w:rFonts w:hint="eastAsia" w:eastAsia="宋体"/>
                <w:color w:val="auto"/>
                <w:highlight w:val="none"/>
                <w:lang w:eastAsia="zh-CN"/>
              </w:rPr>
            </w:pPr>
            <w:r>
              <w:rPr>
                <w:rFonts w:hint="eastAsia"/>
                <w:color w:val="auto"/>
                <w:highlight w:val="none"/>
              </w:rPr>
              <w:t>不擅自离岗、串岗，不扎堆聊天，会务服务期间不玩手机、不在会场吃东西</w:t>
            </w:r>
            <w:r>
              <w:rPr>
                <w:rFonts w:hint="eastAsia"/>
                <w:color w:val="auto"/>
                <w:highlight w:val="none"/>
                <w:lang w:eastAsia="zh-CN"/>
              </w:rPr>
              <w:t>；</w:t>
            </w:r>
          </w:p>
        </w:tc>
        <w:tc>
          <w:tcPr>
            <w:tcW w:w="1276" w:type="dxa"/>
            <w:tcBorders>
              <w:tl2br w:val="nil"/>
              <w:tr2bl w:val="nil"/>
            </w:tcBorders>
            <w:noWrap w:val="0"/>
            <w:vAlign w:val="center"/>
          </w:tcPr>
          <w:p w14:paraId="3AF44504">
            <w:pPr>
              <w:jc w:val="center"/>
              <w:rPr>
                <w:color w:val="auto"/>
                <w:highlight w:val="none"/>
              </w:rPr>
            </w:pPr>
            <w:r>
              <w:rPr>
                <w:rFonts w:hint="eastAsia"/>
                <w:color w:val="auto"/>
                <w:highlight w:val="none"/>
              </w:rPr>
              <w:t>5分</w:t>
            </w:r>
          </w:p>
        </w:tc>
        <w:tc>
          <w:tcPr>
            <w:tcW w:w="1276" w:type="dxa"/>
            <w:tcBorders>
              <w:tl2br w:val="nil"/>
              <w:tr2bl w:val="nil"/>
            </w:tcBorders>
            <w:noWrap w:val="0"/>
            <w:vAlign w:val="top"/>
          </w:tcPr>
          <w:p w14:paraId="04757EC2">
            <w:pPr>
              <w:jc w:val="center"/>
              <w:rPr>
                <w:color w:val="auto"/>
                <w:highlight w:val="none"/>
              </w:rPr>
            </w:pPr>
          </w:p>
        </w:tc>
        <w:tc>
          <w:tcPr>
            <w:tcW w:w="2061" w:type="dxa"/>
            <w:vMerge w:val="continue"/>
            <w:tcBorders>
              <w:tl2br w:val="nil"/>
              <w:tr2bl w:val="nil"/>
            </w:tcBorders>
            <w:noWrap w:val="0"/>
            <w:vAlign w:val="center"/>
          </w:tcPr>
          <w:p w14:paraId="155778F0">
            <w:pPr>
              <w:rPr>
                <w:color w:val="auto"/>
                <w:highlight w:val="none"/>
              </w:rPr>
            </w:pPr>
          </w:p>
        </w:tc>
      </w:tr>
      <w:tr w14:paraId="2D1D4F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center"/>
          </w:tcPr>
          <w:p w14:paraId="0AF15BBA">
            <w:pPr>
              <w:jc w:val="center"/>
              <w:rPr>
                <w:color w:val="auto"/>
                <w:highlight w:val="none"/>
              </w:rPr>
            </w:pPr>
          </w:p>
        </w:tc>
        <w:tc>
          <w:tcPr>
            <w:tcW w:w="1260" w:type="dxa"/>
            <w:vMerge w:val="continue"/>
            <w:tcBorders>
              <w:tl2br w:val="nil"/>
              <w:tr2bl w:val="nil"/>
            </w:tcBorders>
            <w:noWrap w:val="0"/>
            <w:vAlign w:val="center"/>
          </w:tcPr>
          <w:p w14:paraId="0875ED3D">
            <w:pPr>
              <w:jc w:val="center"/>
              <w:rPr>
                <w:color w:val="auto"/>
                <w:highlight w:val="none"/>
              </w:rPr>
            </w:pPr>
          </w:p>
        </w:tc>
        <w:tc>
          <w:tcPr>
            <w:tcW w:w="7802" w:type="dxa"/>
            <w:tcBorders>
              <w:tl2br w:val="nil"/>
              <w:tr2bl w:val="nil"/>
            </w:tcBorders>
            <w:noWrap w:val="0"/>
            <w:vAlign w:val="center"/>
          </w:tcPr>
          <w:p w14:paraId="094557FF">
            <w:pPr>
              <w:jc w:val="both"/>
              <w:rPr>
                <w:rFonts w:hint="eastAsia" w:eastAsia="宋体"/>
                <w:color w:val="auto"/>
                <w:highlight w:val="none"/>
                <w:lang w:eastAsia="zh-CN"/>
              </w:rPr>
            </w:pPr>
            <w:r>
              <w:rPr>
                <w:rFonts w:hint="eastAsia"/>
                <w:color w:val="auto"/>
                <w:highlight w:val="none"/>
              </w:rPr>
              <w:t>对会议安排及会务内容严格保密</w:t>
            </w:r>
            <w:r>
              <w:rPr>
                <w:rFonts w:hint="eastAsia"/>
                <w:color w:val="auto"/>
                <w:highlight w:val="none"/>
                <w:lang w:eastAsia="zh-CN"/>
              </w:rPr>
              <w:t>。</w:t>
            </w:r>
          </w:p>
        </w:tc>
        <w:tc>
          <w:tcPr>
            <w:tcW w:w="1276" w:type="dxa"/>
            <w:tcBorders>
              <w:tl2br w:val="nil"/>
              <w:tr2bl w:val="nil"/>
            </w:tcBorders>
            <w:noWrap w:val="0"/>
            <w:vAlign w:val="center"/>
          </w:tcPr>
          <w:p w14:paraId="316853A6">
            <w:pPr>
              <w:jc w:val="center"/>
              <w:rPr>
                <w:color w:val="auto"/>
                <w:highlight w:val="none"/>
              </w:rPr>
            </w:pPr>
            <w:r>
              <w:rPr>
                <w:rFonts w:hint="eastAsia"/>
                <w:color w:val="auto"/>
                <w:highlight w:val="none"/>
              </w:rPr>
              <w:t>10分</w:t>
            </w:r>
          </w:p>
        </w:tc>
        <w:tc>
          <w:tcPr>
            <w:tcW w:w="1276" w:type="dxa"/>
            <w:tcBorders>
              <w:tl2br w:val="nil"/>
              <w:tr2bl w:val="nil"/>
            </w:tcBorders>
            <w:noWrap w:val="0"/>
            <w:vAlign w:val="top"/>
          </w:tcPr>
          <w:p w14:paraId="1C7516A9">
            <w:pPr>
              <w:jc w:val="center"/>
              <w:rPr>
                <w:color w:val="auto"/>
                <w:highlight w:val="none"/>
              </w:rPr>
            </w:pPr>
          </w:p>
        </w:tc>
        <w:tc>
          <w:tcPr>
            <w:tcW w:w="2061" w:type="dxa"/>
            <w:tcBorders>
              <w:tl2br w:val="nil"/>
              <w:tr2bl w:val="nil"/>
            </w:tcBorders>
            <w:noWrap w:val="0"/>
            <w:vAlign w:val="center"/>
          </w:tcPr>
          <w:p w14:paraId="0C5FD780">
            <w:pPr>
              <w:rPr>
                <w:rFonts w:hint="eastAsia" w:eastAsia="宋体"/>
                <w:color w:val="auto"/>
                <w:highlight w:val="none"/>
                <w:lang w:eastAsia="zh-CN"/>
              </w:rPr>
            </w:pPr>
            <w:r>
              <w:rPr>
                <w:rFonts w:hint="eastAsia"/>
                <w:color w:val="auto"/>
                <w:highlight w:val="none"/>
              </w:rPr>
              <w:t>发现1次</w:t>
            </w:r>
            <w:r>
              <w:rPr>
                <w:rFonts w:hint="eastAsia"/>
                <w:color w:val="auto"/>
                <w:highlight w:val="none"/>
                <w:lang w:eastAsia="zh-CN"/>
              </w:rPr>
              <w:t>问题</w:t>
            </w:r>
            <w:r>
              <w:rPr>
                <w:rFonts w:hint="eastAsia"/>
                <w:color w:val="auto"/>
                <w:highlight w:val="none"/>
              </w:rPr>
              <w:t>扣10分</w:t>
            </w:r>
            <w:r>
              <w:rPr>
                <w:rFonts w:hint="eastAsia"/>
                <w:color w:val="auto"/>
                <w:highlight w:val="none"/>
                <w:lang w:eastAsia="zh-CN"/>
              </w:rPr>
              <w:t>。</w:t>
            </w:r>
          </w:p>
        </w:tc>
      </w:tr>
      <w:tr w14:paraId="7F15BB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restart"/>
            <w:tcBorders>
              <w:tl2br w:val="nil"/>
              <w:tr2bl w:val="nil"/>
            </w:tcBorders>
            <w:noWrap w:val="0"/>
            <w:vAlign w:val="center"/>
          </w:tcPr>
          <w:p w14:paraId="73026E08">
            <w:pPr>
              <w:jc w:val="center"/>
              <w:rPr>
                <w:color w:val="auto"/>
                <w:highlight w:val="none"/>
              </w:rPr>
            </w:pPr>
            <w:r>
              <w:rPr>
                <w:rFonts w:hint="eastAsia"/>
                <w:color w:val="auto"/>
                <w:highlight w:val="none"/>
              </w:rPr>
              <w:t>2</w:t>
            </w:r>
          </w:p>
        </w:tc>
        <w:tc>
          <w:tcPr>
            <w:tcW w:w="1260" w:type="dxa"/>
            <w:vMerge w:val="restart"/>
            <w:tcBorders>
              <w:tl2br w:val="nil"/>
              <w:tr2bl w:val="nil"/>
            </w:tcBorders>
            <w:noWrap w:val="0"/>
            <w:vAlign w:val="center"/>
          </w:tcPr>
          <w:p w14:paraId="09DD9664">
            <w:pPr>
              <w:jc w:val="center"/>
              <w:rPr>
                <w:color w:val="auto"/>
                <w:highlight w:val="none"/>
              </w:rPr>
            </w:pPr>
            <w:r>
              <w:rPr>
                <w:rFonts w:hint="eastAsia"/>
                <w:color w:val="auto"/>
                <w:highlight w:val="none"/>
              </w:rPr>
              <w:t>会务服务管理</w:t>
            </w:r>
          </w:p>
        </w:tc>
        <w:tc>
          <w:tcPr>
            <w:tcW w:w="7802" w:type="dxa"/>
            <w:tcBorders>
              <w:tl2br w:val="nil"/>
              <w:tr2bl w:val="nil"/>
            </w:tcBorders>
            <w:noWrap w:val="0"/>
            <w:vAlign w:val="center"/>
          </w:tcPr>
          <w:p w14:paraId="104C1C48">
            <w:pPr>
              <w:jc w:val="both"/>
              <w:rPr>
                <w:rFonts w:hint="eastAsia" w:eastAsia="宋体"/>
                <w:color w:val="auto"/>
                <w:highlight w:val="none"/>
                <w:lang w:eastAsia="zh-CN"/>
              </w:rPr>
            </w:pPr>
            <w:r>
              <w:rPr>
                <w:rFonts w:hint="eastAsia"/>
                <w:color w:val="auto"/>
                <w:highlight w:val="none"/>
              </w:rPr>
              <w:t>会前15分钟</w:t>
            </w:r>
            <w:r>
              <w:rPr>
                <w:rFonts w:hint="eastAsia"/>
                <w:color w:val="auto"/>
                <w:highlight w:val="none"/>
                <w:lang w:eastAsia="zh-CN"/>
              </w:rPr>
              <w:t>确定会议的准备事项</w:t>
            </w:r>
            <w:r>
              <w:rPr>
                <w:rFonts w:hint="eastAsia"/>
                <w:color w:val="auto"/>
                <w:highlight w:val="none"/>
              </w:rPr>
              <w:t>，</w:t>
            </w:r>
            <w:r>
              <w:rPr>
                <w:rFonts w:hint="eastAsia"/>
                <w:color w:val="auto"/>
                <w:highlight w:val="none"/>
                <w:lang w:eastAsia="zh-CN"/>
              </w:rPr>
              <w:t>并</w:t>
            </w:r>
            <w:r>
              <w:rPr>
                <w:rFonts w:hint="eastAsia"/>
                <w:color w:val="auto"/>
                <w:highlight w:val="none"/>
              </w:rPr>
              <w:t>在会场入口立岗</w:t>
            </w:r>
            <w:r>
              <w:rPr>
                <w:rFonts w:hint="eastAsia"/>
                <w:color w:val="auto"/>
                <w:highlight w:val="none"/>
                <w:lang w:eastAsia="zh-CN"/>
              </w:rPr>
              <w:t>；</w:t>
            </w:r>
          </w:p>
        </w:tc>
        <w:tc>
          <w:tcPr>
            <w:tcW w:w="1276" w:type="dxa"/>
            <w:tcBorders>
              <w:tl2br w:val="nil"/>
              <w:tr2bl w:val="nil"/>
            </w:tcBorders>
            <w:noWrap w:val="0"/>
            <w:vAlign w:val="center"/>
          </w:tcPr>
          <w:p w14:paraId="084BEDA2">
            <w:pPr>
              <w:jc w:val="center"/>
              <w:rPr>
                <w:color w:val="auto"/>
                <w:highlight w:val="none"/>
              </w:rPr>
            </w:pPr>
            <w:r>
              <w:rPr>
                <w:rFonts w:hint="eastAsia"/>
                <w:color w:val="auto"/>
                <w:highlight w:val="none"/>
              </w:rPr>
              <w:t>5分</w:t>
            </w:r>
          </w:p>
        </w:tc>
        <w:tc>
          <w:tcPr>
            <w:tcW w:w="1276" w:type="dxa"/>
            <w:tcBorders>
              <w:tl2br w:val="nil"/>
              <w:tr2bl w:val="nil"/>
            </w:tcBorders>
            <w:noWrap w:val="0"/>
            <w:vAlign w:val="top"/>
          </w:tcPr>
          <w:p w14:paraId="5C6B3739">
            <w:pPr>
              <w:jc w:val="center"/>
              <w:rPr>
                <w:color w:val="auto"/>
                <w:highlight w:val="none"/>
              </w:rPr>
            </w:pPr>
          </w:p>
        </w:tc>
        <w:tc>
          <w:tcPr>
            <w:tcW w:w="2061" w:type="dxa"/>
            <w:vMerge w:val="restart"/>
            <w:tcBorders>
              <w:tl2br w:val="nil"/>
              <w:tr2bl w:val="nil"/>
            </w:tcBorders>
            <w:noWrap w:val="0"/>
            <w:vAlign w:val="center"/>
          </w:tcPr>
          <w:p w14:paraId="070751DF">
            <w:pPr>
              <w:rPr>
                <w:rFonts w:hint="eastAsia" w:eastAsia="宋体"/>
                <w:color w:val="auto"/>
                <w:highlight w:val="none"/>
                <w:lang w:eastAsia="zh-CN"/>
              </w:rPr>
            </w:pPr>
            <w:r>
              <w:rPr>
                <w:rFonts w:hint="eastAsia"/>
                <w:color w:val="auto"/>
                <w:highlight w:val="none"/>
              </w:rPr>
              <w:t>发现1次问题扣2分</w:t>
            </w:r>
            <w:r>
              <w:rPr>
                <w:rFonts w:hint="eastAsia"/>
                <w:color w:val="auto"/>
                <w:highlight w:val="none"/>
                <w:lang w:eastAsia="zh-CN"/>
              </w:rPr>
              <w:t>。</w:t>
            </w:r>
          </w:p>
        </w:tc>
      </w:tr>
      <w:tr w14:paraId="2C20E4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685" w:type="dxa"/>
            <w:vMerge w:val="continue"/>
            <w:tcBorders>
              <w:tl2br w:val="nil"/>
              <w:tr2bl w:val="nil"/>
            </w:tcBorders>
            <w:noWrap w:val="0"/>
            <w:vAlign w:val="center"/>
          </w:tcPr>
          <w:p w14:paraId="2B6D20CE">
            <w:pPr>
              <w:jc w:val="center"/>
              <w:rPr>
                <w:color w:val="auto"/>
                <w:highlight w:val="none"/>
              </w:rPr>
            </w:pPr>
          </w:p>
        </w:tc>
        <w:tc>
          <w:tcPr>
            <w:tcW w:w="1260" w:type="dxa"/>
            <w:vMerge w:val="continue"/>
            <w:tcBorders>
              <w:tl2br w:val="nil"/>
              <w:tr2bl w:val="nil"/>
            </w:tcBorders>
            <w:noWrap w:val="0"/>
            <w:vAlign w:val="center"/>
          </w:tcPr>
          <w:p w14:paraId="16E83D72">
            <w:pPr>
              <w:jc w:val="center"/>
              <w:rPr>
                <w:color w:val="auto"/>
                <w:highlight w:val="none"/>
              </w:rPr>
            </w:pPr>
          </w:p>
        </w:tc>
        <w:tc>
          <w:tcPr>
            <w:tcW w:w="7802" w:type="dxa"/>
            <w:tcBorders>
              <w:tl2br w:val="nil"/>
              <w:tr2bl w:val="nil"/>
            </w:tcBorders>
            <w:noWrap w:val="0"/>
            <w:vAlign w:val="center"/>
          </w:tcPr>
          <w:p w14:paraId="6B5E84A2">
            <w:pPr>
              <w:jc w:val="both"/>
              <w:rPr>
                <w:rFonts w:hint="eastAsia" w:eastAsia="宋体"/>
                <w:color w:val="auto"/>
                <w:highlight w:val="none"/>
                <w:lang w:eastAsia="zh-CN"/>
              </w:rPr>
            </w:pPr>
            <w:r>
              <w:rPr>
                <w:rFonts w:hint="eastAsia"/>
                <w:color w:val="auto"/>
                <w:highlight w:val="none"/>
              </w:rPr>
              <w:t>会场卫生整洁，茶水台无灰尘、杂物，物品摆放整齐</w:t>
            </w:r>
            <w:r>
              <w:rPr>
                <w:rFonts w:hint="eastAsia"/>
                <w:color w:val="auto"/>
                <w:highlight w:val="none"/>
                <w:lang w:eastAsia="zh-CN"/>
              </w:rPr>
              <w:t>；</w:t>
            </w:r>
          </w:p>
        </w:tc>
        <w:tc>
          <w:tcPr>
            <w:tcW w:w="1276" w:type="dxa"/>
            <w:tcBorders>
              <w:tl2br w:val="nil"/>
              <w:tr2bl w:val="nil"/>
            </w:tcBorders>
            <w:noWrap w:val="0"/>
            <w:vAlign w:val="center"/>
          </w:tcPr>
          <w:p w14:paraId="4D769276">
            <w:pPr>
              <w:jc w:val="center"/>
              <w:rPr>
                <w:color w:val="auto"/>
                <w:highlight w:val="none"/>
              </w:rPr>
            </w:pPr>
            <w:r>
              <w:rPr>
                <w:rFonts w:hint="eastAsia"/>
                <w:color w:val="auto"/>
                <w:highlight w:val="none"/>
                <w:lang w:val="en-US" w:eastAsia="zh-CN"/>
              </w:rPr>
              <w:t>10</w:t>
            </w:r>
            <w:r>
              <w:rPr>
                <w:rFonts w:hint="eastAsia"/>
                <w:color w:val="auto"/>
                <w:highlight w:val="none"/>
              </w:rPr>
              <w:t>分</w:t>
            </w:r>
          </w:p>
        </w:tc>
        <w:tc>
          <w:tcPr>
            <w:tcW w:w="1276" w:type="dxa"/>
            <w:tcBorders>
              <w:tl2br w:val="nil"/>
              <w:tr2bl w:val="nil"/>
            </w:tcBorders>
            <w:noWrap w:val="0"/>
            <w:vAlign w:val="top"/>
          </w:tcPr>
          <w:p w14:paraId="344C1646">
            <w:pPr>
              <w:jc w:val="center"/>
              <w:rPr>
                <w:color w:val="auto"/>
                <w:highlight w:val="none"/>
              </w:rPr>
            </w:pPr>
          </w:p>
        </w:tc>
        <w:tc>
          <w:tcPr>
            <w:tcW w:w="2061" w:type="dxa"/>
            <w:vMerge w:val="continue"/>
            <w:tcBorders>
              <w:tl2br w:val="nil"/>
              <w:tr2bl w:val="nil"/>
            </w:tcBorders>
            <w:noWrap w:val="0"/>
            <w:vAlign w:val="center"/>
          </w:tcPr>
          <w:p w14:paraId="3271DB23">
            <w:pPr>
              <w:rPr>
                <w:color w:val="auto"/>
                <w:highlight w:val="none"/>
              </w:rPr>
            </w:pPr>
          </w:p>
        </w:tc>
      </w:tr>
      <w:tr w14:paraId="2DD9C4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685" w:type="dxa"/>
            <w:vMerge w:val="continue"/>
            <w:tcBorders>
              <w:tl2br w:val="nil"/>
              <w:tr2bl w:val="nil"/>
            </w:tcBorders>
            <w:noWrap w:val="0"/>
            <w:vAlign w:val="center"/>
          </w:tcPr>
          <w:p w14:paraId="4522A40F">
            <w:pPr>
              <w:jc w:val="center"/>
              <w:rPr>
                <w:color w:val="auto"/>
                <w:highlight w:val="none"/>
              </w:rPr>
            </w:pPr>
          </w:p>
        </w:tc>
        <w:tc>
          <w:tcPr>
            <w:tcW w:w="1260" w:type="dxa"/>
            <w:vMerge w:val="continue"/>
            <w:tcBorders>
              <w:tl2br w:val="nil"/>
              <w:tr2bl w:val="nil"/>
            </w:tcBorders>
            <w:noWrap w:val="0"/>
            <w:vAlign w:val="center"/>
          </w:tcPr>
          <w:p w14:paraId="7A8E1CC6">
            <w:pPr>
              <w:jc w:val="center"/>
              <w:rPr>
                <w:color w:val="auto"/>
                <w:highlight w:val="none"/>
              </w:rPr>
            </w:pPr>
          </w:p>
        </w:tc>
        <w:tc>
          <w:tcPr>
            <w:tcW w:w="7802" w:type="dxa"/>
            <w:tcBorders>
              <w:tl2br w:val="nil"/>
              <w:tr2bl w:val="nil"/>
            </w:tcBorders>
            <w:noWrap w:val="0"/>
            <w:vAlign w:val="center"/>
          </w:tcPr>
          <w:p w14:paraId="47740D1E">
            <w:pPr>
              <w:jc w:val="both"/>
              <w:rPr>
                <w:rFonts w:hint="eastAsia" w:eastAsia="宋体"/>
                <w:color w:val="auto"/>
                <w:highlight w:val="none"/>
                <w:lang w:eastAsia="zh-CN"/>
              </w:rPr>
            </w:pPr>
            <w:r>
              <w:rPr>
                <w:rFonts w:hint="eastAsia"/>
                <w:color w:val="auto"/>
                <w:highlight w:val="none"/>
              </w:rPr>
              <w:t>会前半个小时，将与会单位需要使用的会议设备调试到位</w:t>
            </w:r>
            <w:r>
              <w:rPr>
                <w:rFonts w:hint="eastAsia"/>
                <w:color w:val="auto"/>
                <w:highlight w:val="none"/>
                <w:lang w:eastAsia="zh-CN"/>
              </w:rPr>
              <w:t>；</w:t>
            </w:r>
          </w:p>
        </w:tc>
        <w:tc>
          <w:tcPr>
            <w:tcW w:w="1276" w:type="dxa"/>
            <w:tcBorders>
              <w:tl2br w:val="nil"/>
              <w:tr2bl w:val="nil"/>
            </w:tcBorders>
            <w:noWrap w:val="0"/>
            <w:vAlign w:val="center"/>
          </w:tcPr>
          <w:p w14:paraId="190BE888">
            <w:pPr>
              <w:jc w:val="center"/>
              <w:rPr>
                <w:color w:val="auto"/>
                <w:highlight w:val="none"/>
              </w:rPr>
            </w:pPr>
            <w:r>
              <w:rPr>
                <w:rFonts w:hint="eastAsia"/>
                <w:color w:val="auto"/>
                <w:highlight w:val="none"/>
              </w:rPr>
              <w:t>5分</w:t>
            </w:r>
          </w:p>
        </w:tc>
        <w:tc>
          <w:tcPr>
            <w:tcW w:w="1276" w:type="dxa"/>
            <w:tcBorders>
              <w:tl2br w:val="nil"/>
              <w:tr2bl w:val="nil"/>
            </w:tcBorders>
            <w:noWrap w:val="0"/>
            <w:vAlign w:val="top"/>
          </w:tcPr>
          <w:p w14:paraId="137A208E">
            <w:pPr>
              <w:jc w:val="center"/>
              <w:rPr>
                <w:color w:val="auto"/>
                <w:highlight w:val="none"/>
              </w:rPr>
            </w:pPr>
          </w:p>
        </w:tc>
        <w:tc>
          <w:tcPr>
            <w:tcW w:w="2061" w:type="dxa"/>
            <w:vMerge w:val="continue"/>
            <w:tcBorders>
              <w:tl2br w:val="nil"/>
              <w:tr2bl w:val="nil"/>
            </w:tcBorders>
            <w:noWrap w:val="0"/>
            <w:vAlign w:val="center"/>
          </w:tcPr>
          <w:p w14:paraId="157C9664">
            <w:pPr>
              <w:rPr>
                <w:color w:val="auto"/>
                <w:highlight w:val="none"/>
              </w:rPr>
            </w:pPr>
          </w:p>
        </w:tc>
      </w:tr>
      <w:tr w14:paraId="41359E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center"/>
          </w:tcPr>
          <w:p w14:paraId="12E82B68">
            <w:pPr>
              <w:jc w:val="center"/>
              <w:rPr>
                <w:color w:val="auto"/>
                <w:highlight w:val="none"/>
              </w:rPr>
            </w:pPr>
          </w:p>
        </w:tc>
        <w:tc>
          <w:tcPr>
            <w:tcW w:w="1260" w:type="dxa"/>
            <w:vMerge w:val="continue"/>
            <w:tcBorders>
              <w:tl2br w:val="nil"/>
              <w:tr2bl w:val="nil"/>
            </w:tcBorders>
            <w:noWrap w:val="0"/>
            <w:vAlign w:val="center"/>
          </w:tcPr>
          <w:p w14:paraId="190CB5D0">
            <w:pPr>
              <w:jc w:val="center"/>
              <w:rPr>
                <w:color w:val="auto"/>
                <w:highlight w:val="none"/>
              </w:rPr>
            </w:pPr>
          </w:p>
        </w:tc>
        <w:tc>
          <w:tcPr>
            <w:tcW w:w="7802" w:type="dxa"/>
            <w:tcBorders>
              <w:tl2br w:val="nil"/>
              <w:tr2bl w:val="nil"/>
            </w:tcBorders>
            <w:noWrap w:val="0"/>
            <w:vAlign w:val="center"/>
          </w:tcPr>
          <w:p w14:paraId="1481E80A">
            <w:pPr>
              <w:jc w:val="both"/>
              <w:rPr>
                <w:rFonts w:hint="eastAsia" w:eastAsia="宋体"/>
                <w:color w:val="auto"/>
                <w:highlight w:val="none"/>
                <w:lang w:eastAsia="zh-CN"/>
              </w:rPr>
            </w:pPr>
            <w:r>
              <w:rPr>
                <w:rFonts w:hint="eastAsia"/>
                <w:color w:val="auto"/>
                <w:highlight w:val="none"/>
              </w:rPr>
              <w:t>会议桌上茶杯、纸巾或会议资料按会务服务标准统一摆放，椅子的椅背摆放在同一水平线上</w:t>
            </w:r>
            <w:r>
              <w:rPr>
                <w:rFonts w:hint="eastAsia"/>
                <w:color w:val="auto"/>
                <w:highlight w:val="none"/>
                <w:lang w:eastAsia="zh-CN"/>
              </w:rPr>
              <w:t>；</w:t>
            </w:r>
          </w:p>
        </w:tc>
        <w:tc>
          <w:tcPr>
            <w:tcW w:w="1276" w:type="dxa"/>
            <w:tcBorders>
              <w:tl2br w:val="nil"/>
              <w:tr2bl w:val="nil"/>
            </w:tcBorders>
            <w:noWrap w:val="0"/>
            <w:vAlign w:val="center"/>
          </w:tcPr>
          <w:p w14:paraId="25549CDD">
            <w:pPr>
              <w:jc w:val="center"/>
              <w:rPr>
                <w:color w:val="auto"/>
                <w:highlight w:val="none"/>
              </w:rPr>
            </w:pPr>
            <w:r>
              <w:rPr>
                <w:rFonts w:hint="eastAsia"/>
                <w:color w:val="auto"/>
                <w:highlight w:val="none"/>
              </w:rPr>
              <w:t>5分</w:t>
            </w:r>
          </w:p>
        </w:tc>
        <w:tc>
          <w:tcPr>
            <w:tcW w:w="1276" w:type="dxa"/>
            <w:tcBorders>
              <w:tl2br w:val="nil"/>
              <w:tr2bl w:val="nil"/>
            </w:tcBorders>
            <w:noWrap w:val="0"/>
            <w:vAlign w:val="top"/>
          </w:tcPr>
          <w:p w14:paraId="32625584">
            <w:pPr>
              <w:jc w:val="center"/>
              <w:rPr>
                <w:color w:val="auto"/>
                <w:highlight w:val="none"/>
              </w:rPr>
            </w:pPr>
          </w:p>
        </w:tc>
        <w:tc>
          <w:tcPr>
            <w:tcW w:w="2061" w:type="dxa"/>
            <w:vMerge w:val="continue"/>
            <w:tcBorders>
              <w:tl2br w:val="nil"/>
              <w:tr2bl w:val="nil"/>
            </w:tcBorders>
            <w:noWrap w:val="0"/>
            <w:vAlign w:val="center"/>
          </w:tcPr>
          <w:p w14:paraId="4A343D80">
            <w:pPr>
              <w:rPr>
                <w:color w:val="auto"/>
                <w:highlight w:val="none"/>
              </w:rPr>
            </w:pPr>
          </w:p>
        </w:tc>
      </w:tr>
      <w:tr w14:paraId="640381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center"/>
          </w:tcPr>
          <w:p w14:paraId="0FF6D3F6">
            <w:pPr>
              <w:jc w:val="center"/>
              <w:rPr>
                <w:color w:val="auto"/>
                <w:highlight w:val="none"/>
              </w:rPr>
            </w:pPr>
          </w:p>
        </w:tc>
        <w:tc>
          <w:tcPr>
            <w:tcW w:w="1260" w:type="dxa"/>
            <w:vMerge w:val="continue"/>
            <w:tcBorders>
              <w:tl2br w:val="nil"/>
              <w:tr2bl w:val="nil"/>
            </w:tcBorders>
            <w:noWrap w:val="0"/>
            <w:vAlign w:val="center"/>
          </w:tcPr>
          <w:p w14:paraId="4B71E046">
            <w:pPr>
              <w:jc w:val="center"/>
              <w:rPr>
                <w:color w:val="auto"/>
                <w:highlight w:val="none"/>
              </w:rPr>
            </w:pPr>
          </w:p>
        </w:tc>
        <w:tc>
          <w:tcPr>
            <w:tcW w:w="7802" w:type="dxa"/>
            <w:tcBorders>
              <w:tl2br w:val="nil"/>
              <w:tr2bl w:val="nil"/>
            </w:tcBorders>
            <w:noWrap w:val="0"/>
            <w:vAlign w:val="center"/>
          </w:tcPr>
          <w:p w14:paraId="67DBA2E0">
            <w:pPr>
              <w:spacing w:line="340" w:lineRule="exact"/>
              <w:jc w:val="both"/>
              <w:rPr>
                <w:rFonts w:hint="eastAsia" w:ascii="仿宋_GB2312" w:hAnsi="宋体" w:eastAsia="宋体"/>
                <w:color w:val="auto"/>
                <w:szCs w:val="21"/>
                <w:highlight w:val="none"/>
                <w:lang w:eastAsia="zh-CN"/>
              </w:rPr>
            </w:pPr>
            <w:r>
              <w:rPr>
                <w:rFonts w:hint="eastAsia"/>
                <w:color w:val="auto"/>
                <w:highlight w:val="none"/>
              </w:rPr>
              <w:t>每间隔15分钟续水一次，严禁将茶水滴溅到桌面或参会人员身上</w:t>
            </w:r>
            <w:r>
              <w:rPr>
                <w:rFonts w:hint="eastAsia"/>
                <w:color w:val="auto"/>
                <w:highlight w:val="none"/>
                <w:lang w:eastAsia="zh-CN"/>
              </w:rPr>
              <w:t>；</w:t>
            </w:r>
          </w:p>
        </w:tc>
        <w:tc>
          <w:tcPr>
            <w:tcW w:w="1276" w:type="dxa"/>
            <w:tcBorders>
              <w:tl2br w:val="nil"/>
              <w:tr2bl w:val="nil"/>
            </w:tcBorders>
            <w:noWrap w:val="0"/>
            <w:vAlign w:val="center"/>
          </w:tcPr>
          <w:p w14:paraId="7C81AB23">
            <w:pPr>
              <w:jc w:val="center"/>
              <w:rPr>
                <w:color w:val="auto"/>
                <w:highlight w:val="none"/>
              </w:rPr>
            </w:pPr>
            <w:r>
              <w:rPr>
                <w:rFonts w:hint="eastAsia"/>
                <w:color w:val="auto"/>
                <w:highlight w:val="none"/>
              </w:rPr>
              <w:t>5分</w:t>
            </w:r>
          </w:p>
        </w:tc>
        <w:tc>
          <w:tcPr>
            <w:tcW w:w="1276" w:type="dxa"/>
            <w:tcBorders>
              <w:tl2br w:val="nil"/>
              <w:tr2bl w:val="nil"/>
            </w:tcBorders>
            <w:noWrap w:val="0"/>
            <w:vAlign w:val="top"/>
          </w:tcPr>
          <w:p w14:paraId="099AA7C9">
            <w:pPr>
              <w:jc w:val="center"/>
              <w:rPr>
                <w:color w:val="auto"/>
                <w:highlight w:val="none"/>
              </w:rPr>
            </w:pPr>
          </w:p>
        </w:tc>
        <w:tc>
          <w:tcPr>
            <w:tcW w:w="2061" w:type="dxa"/>
            <w:vMerge w:val="continue"/>
            <w:tcBorders>
              <w:tl2br w:val="nil"/>
              <w:tr2bl w:val="nil"/>
            </w:tcBorders>
            <w:noWrap w:val="0"/>
            <w:vAlign w:val="center"/>
          </w:tcPr>
          <w:p w14:paraId="103B8AD3">
            <w:pPr>
              <w:rPr>
                <w:color w:val="auto"/>
                <w:highlight w:val="none"/>
              </w:rPr>
            </w:pPr>
          </w:p>
        </w:tc>
      </w:tr>
      <w:tr w14:paraId="72A0EF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center"/>
          </w:tcPr>
          <w:p w14:paraId="5D3F9069">
            <w:pPr>
              <w:jc w:val="center"/>
              <w:rPr>
                <w:color w:val="auto"/>
                <w:highlight w:val="none"/>
              </w:rPr>
            </w:pPr>
          </w:p>
        </w:tc>
        <w:tc>
          <w:tcPr>
            <w:tcW w:w="1260" w:type="dxa"/>
            <w:vMerge w:val="continue"/>
            <w:tcBorders>
              <w:tl2br w:val="nil"/>
              <w:tr2bl w:val="nil"/>
            </w:tcBorders>
            <w:noWrap w:val="0"/>
            <w:vAlign w:val="center"/>
          </w:tcPr>
          <w:p w14:paraId="1006D12B">
            <w:pPr>
              <w:jc w:val="center"/>
              <w:rPr>
                <w:color w:val="auto"/>
                <w:highlight w:val="none"/>
              </w:rPr>
            </w:pPr>
          </w:p>
        </w:tc>
        <w:tc>
          <w:tcPr>
            <w:tcW w:w="7802" w:type="dxa"/>
            <w:tcBorders>
              <w:tl2br w:val="nil"/>
              <w:tr2bl w:val="nil"/>
            </w:tcBorders>
            <w:noWrap w:val="0"/>
            <w:vAlign w:val="center"/>
          </w:tcPr>
          <w:p w14:paraId="49F5A6B4">
            <w:pPr>
              <w:spacing w:line="340" w:lineRule="exact"/>
              <w:jc w:val="both"/>
              <w:rPr>
                <w:rFonts w:hint="eastAsia" w:ascii="仿宋_GB2312" w:hAnsi="宋体" w:eastAsia="宋体"/>
                <w:color w:val="auto"/>
                <w:szCs w:val="21"/>
                <w:highlight w:val="none"/>
                <w:lang w:eastAsia="zh-CN"/>
              </w:rPr>
            </w:pPr>
            <w:r>
              <w:rPr>
                <w:rFonts w:hint="eastAsia"/>
                <w:color w:val="auto"/>
                <w:highlight w:val="none"/>
              </w:rPr>
              <w:t>除提供会务服务外，其他时间严禁在会场内旁听</w:t>
            </w:r>
            <w:r>
              <w:rPr>
                <w:rFonts w:hint="eastAsia"/>
                <w:color w:val="auto"/>
                <w:highlight w:val="none"/>
                <w:lang w:eastAsia="zh-CN"/>
              </w:rPr>
              <w:t>；</w:t>
            </w:r>
          </w:p>
        </w:tc>
        <w:tc>
          <w:tcPr>
            <w:tcW w:w="1276" w:type="dxa"/>
            <w:tcBorders>
              <w:tl2br w:val="nil"/>
              <w:tr2bl w:val="nil"/>
            </w:tcBorders>
            <w:noWrap w:val="0"/>
            <w:vAlign w:val="center"/>
          </w:tcPr>
          <w:p w14:paraId="6B288C91">
            <w:pPr>
              <w:jc w:val="center"/>
              <w:rPr>
                <w:color w:val="auto"/>
                <w:highlight w:val="none"/>
              </w:rPr>
            </w:pPr>
            <w:r>
              <w:rPr>
                <w:rFonts w:hint="eastAsia"/>
                <w:color w:val="auto"/>
                <w:highlight w:val="none"/>
              </w:rPr>
              <w:t>5分</w:t>
            </w:r>
          </w:p>
        </w:tc>
        <w:tc>
          <w:tcPr>
            <w:tcW w:w="1276" w:type="dxa"/>
            <w:tcBorders>
              <w:tl2br w:val="nil"/>
              <w:tr2bl w:val="nil"/>
            </w:tcBorders>
            <w:noWrap w:val="0"/>
            <w:vAlign w:val="top"/>
          </w:tcPr>
          <w:p w14:paraId="499D485C">
            <w:pPr>
              <w:jc w:val="center"/>
              <w:rPr>
                <w:color w:val="auto"/>
                <w:highlight w:val="none"/>
              </w:rPr>
            </w:pPr>
          </w:p>
        </w:tc>
        <w:tc>
          <w:tcPr>
            <w:tcW w:w="2061" w:type="dxa"/>
            <w:vMerge w:val="continue"/>
            <w:tcBorders>
              <w:tl2br w:val="nil"/>
              <w:tr2bl w:val="nil"/>
            </w:tcBorders>
            <w:noWrap w:val="0"/>
            <w:vAlign w:val="center"/>
          </w:tcPr>
          <w:p w14:paraId="73021417">
            <w:pPr>
              <w:rPr>
                <w:color w:val="auto"/>
                <w:highlight w:val="none"/>
              </w:rPr>
            </w:pPr>
          </w:p>
        </w:tc>
      </w:tr>
      <w:tr w14:paraId="2FC2E4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685" w:type="dxa"/>
            <w:vMerge w:val="continue"/>
            <w:tcBorders>
              <w:tl2br w:val="nil"/>
              <w:tr2bl w:val="nil"/>
            </w:tcBorders>
            <w:noWrap w:val="0"/>
            <w:vAlign w:val="center"/>
          </w:tcPr>
          <w:p w14:paraId="683CC325">
            <w:pPr>
              <w:jc w:val="center"/>
              <w:rPr>
                <w:color w:val="auto"/>
                <w:highlight w:val="none"/>
              </w:rPr>
            </w:pPr>
          </w:p>
        </w:tc>
        <w:tc>
          <w:tcPr>
            <w:tcW w:w="1260" w:type="dxa"/>
            <w:vMerge w:val="continue"/>
            <w:tcBorders>
              <w:tl2br w:val="nil"/>
              <w:tr2bl w:val="nil"/>
            </w:tcBorders>
            <w:noWrap w:val="0"/>
            <w:vAlign w:val="center"/>
          </w:tcPr>
          <w:p w14:paraId="3A8D4574">
            <w:pPr>
              <w:jc w:val="center"/>
              <w:rPr>
                <w:color w:val="auto"/>
                <w:highlight w:val="none"/>
              </w:rPr>
            </w:pPr>
          </w:p>
        </w:tc>
        <w:tc>
          <w:tcPr>
            <w:tcW w:w="7802" w:type="dxa"/>
            <w:tcBorders>
              <w:tl2br w:val="nil"/>
              <w:tr2bl w:val="nil"/>
            </w:tcBorders>
            <w:noWrap w:val="0"/>
            <w:vAlign w:val="center"/>
          </w:tcPr>
          <w:p w14:paraId="70F44298">
            <w:pPr>
              <w:spacing w:line="340" w:lineRule="exact"/>
              <w:jc w:val="both"/>
              <w:rPr>
                <w:rFonts w:hint="eastAsia" w:eastAsia="宋体"/>
                <w:color w:val="auto"/>
                <w:highlight w:val="none"/>
                <w:lang w:eastAsia="zh-CN"/>
              </w:rPr>
            </w:pPr>
            <w:r>
              <w:rPr>
                <w:rFonts w:hint="eastAsia"/>
                <w:color w:val="auto"/>
                <w:highlight w:val="none"/>
              </w:rPr>
              <w:t>无会务服务投诉发生</w:t>
            </w:r>
            <w:r>
              <w:rPr>
                <w:rFonts w:hint="eastAsia"/>
                <w:color w:val="auto"/>
                <w:highlight w:val="none"/>
                <w:lang w:eastAsia="zh-CN"/>
              </w:rPr>
              <w:t>。</w:t>
            </w:r>
          </w:p>
        </w:tc>
        <w:tc>
          <w:tcPr>
            <w:tcW w:w="1276" w:type="dxa"/>
            <w:tcBorders>
              <w:tl2br w:val="nil"/>
              <w:tr2bl w:val="nil"/>
            </w:tcBorders>
            <w:noWrap w:val="0"/>
            <w:vAlign w:val="center"/>
          </w:tcPr>
          <w:p w14:paraId="00C32F7C">
            <w:pPr>
              <w:jc w:val="center"/>
              <w:rPr>
                <w:color w:val="auto"/>
                <w:highlight w:val="none"/>
              </w:rPr>
            </w:pPr>
            <w:r>
              <w:rPr>
                <w:rFonts w:hint="eastAsia"/>
                <w:color w:val="auto"/>
                <w:highlight w:val="none"/>
              </w:rPr>
              <w:t>10分</w:t>
            </w:r>
          </w:p>
        </w:tc>
        <w:tc>
          <w:tcPr>
            <w:tcW w:w="1276" w:type="dxa"/>
            <w:tcBorders>
              <w:tl2br w:val="nil"/>
              <w:tr2bl w:val="nil"/>
            </w:tcBorders>
            <w:noWrap w:val="0"/>
            <w:vAlign w:val="top"/>
          </w:tcPr>
          <w:p w14:paraId="70E305F6">
            <w:pPr>
              <w:jc w:val="center"/>
              <w:rPr>
                <w:color w:val="auto"/>
                <w:highlight w:val="none"/>
              </w:rPr>
            </w:pPr>
          </w:p>
        </w:tc>
        <w:tc>
          <w:tcPr>
            <w:tcW w:w="2061" w:type="dxa"/>
            <w:tcBorders>
              <w:tl2br w:val="nil"/>
              <w:tr2bl w:val="nil"/>
            </w:tcBorders>
            <w:noWrap w:val="0"/>
            <w:vAlign w:val="center"/>
          </w:tcPr>
          <w:p w14:paraId="69DEE98D">
            <w:pPr>
              <w:rPr>
                <w:rFonts w:hint="eastAsia" w:eastAsia="宋体"/>
                <w:color w:val="auto"/>
                <w:highlight w:val="none"/>
                <w:lang w:eastAsia="zh-CN"/>
              </w:rPr>
            </w:pPr>
            <w:r>
              <w:rPr>
                <w:rFonts w:hint="eastAsia"/>
                <w:color w:val="auto"/>
                <w:highlight w:val="none"/>
              </w:rPr>
              <w:t>发生一次有效投诉扣10分</w:t>
            </w:r>
            <w:r>
              <w:rPr>
                <w:rFonts w:hint="eastAsia"/>
                <w:color w:val="auto"/>
                <w:highlight w:val="none"/>
                <w:lang w:eastAsia="zh-CN"/>
              </w:rPr>
              <w:t>。</w:t>
            </w:r>
          </w:p>
        </w:tc>
      </w:tr>
      <w:tr w14:paraId="7BF94B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restart"/>
            <w:tcBorders>
              <w:tl2br w:val="nil"/>
              <w:tr2bl w:val="nil"/>
            </w:tcBorders>
            <w:noWrap w:val="0"/>
            <w:vAlign w:val="center"/>
          </w:tcPr>
          <w:p w14:paraId="7F1AE403">
            <w:pPr>
              <w:jc w:val="center"/>
              <w:rPr>
                <w:color w:val="auto"/>
                <w:highlight w:val="none"/>
              </w:rPr>
            </w:pPr>
            <w:r>
              <w:rPr>
                <w:rFonts w:hint="eastAsia"/>
                <w:color w:val="auto"/>
                <w:highlight w:val="none"/>
              </w:rPr>
              <w:t>3</w:t>
            </w:r>
          </w:p>
        </w:tc>
        <w:tc>
          <w:tcPr>
            <w:tcW w:w="1260" w:type="dxa"/>
            <w:vMerge w:val="restart"/>
            <w:tcBorders>
              <w:tl2br w:val="nil"/>
              <w:tr2bl w:val="nil"/>
            </w:tcBorders>
            <w:noWrap w:val="0"/>
            <w:vAlign w:val="center"/>
          </w:tcPr>
          <w:p w14:paraId="0D7EF970">
            <w:pPr>
              <w:jc w:val="center"/>
              <w:rPr>
                <w:color w:val="auto"/>
                <w:highlight w:val="none"/>
              </w:rPr>
            </w:pPr>
            <w:r>
              <w:rPr>
                <w:rFonts w:hint="eastAsia"/>
                <w:color w:val="auto"/>
                <w:highlight w:val="none"/>
              </w:rPr>
              <w:t>应知应会</w:t>
            </w:r>
          </w:p>
        </w:tc>
        <w:tc>
          <w:tcPr>
            <w:tcW w:w="7802" w:type="dxa"/>
            <w:tcBorders>
              <w:tl2br w:val="nil"/>
              <w:tr2bl w:val="nil"/>
            </w:tcBorders>
            <w:noWrap w:val="0"/>
            <w:vAlign w:val="center"/>
          </w:tcPr>
          <w:p w14:paraId="2AC128BD">
            <w:pPr>
              <w:jc w:val="both"/>
              <w:rPr>
                <w:rFonts w:hint="eastAsia" w:eastAsia="宋体"/>
                <w:color w:val="auto"/>
                <w:highlight w:val="none"/>
                <w:lang w:eastAsia="zh-CN"/>
              </w:rPr>
            </w:pPr>
            <w:r>
              <w:rPr>
                <w:rFonts w:hint="eastAsia"/>
                <w:color w:val="auto"/>
                <w:highlight w:val="none"/>
              </w:rPr>
              <w:t>熟悉本岗位的岗位职责</w:t>
            </w:r>
            <w:r>
              <w:rPr>
                <w:rFonts w:hint="eastAsia"/>
                <w:color w:val="auto"/>
                <w:highlight w:val="none"/>
                <w:lang w:eastAsia="zh-CN"/>
              </w:rPr>
              <w:t>；</w:t>
            </w:r>
          </w:p>
        </w:tc>
        <w:tc>
          <w:tcPr>
            <w:tcW w:w="1276" w:type="dxa"/>
            <w:tcBorders>
              <w:tl2br w:val="nil"/>
              <w:tr2bl w:val="nil"/>
            </w:tcBorders>
            <w:noWrap w:val="0"/>
            <w:vAlign w:val="center"/>
          </w:tcPr>
          <w:p w14:paraId="6E7DB3D7">
            <w:pPr>
              <w:jc w:val="center"/>
              <w:rPr>
                <w:color w:val="auto"/>
                <w:highlight w:val="none"/>
              </w:rPr>
            </w:pPr>
            <w:r>
              <w:rPr>
                <w:rFonts w:hint="eastAsia"/>
                <w:color w:val="auto"/>
                <w:highlight w:val="none"/>
              </w:rPr>
              <w:t>5分</w:t>
            </w:r>
          </w:p>
        </w:tc>
        <w:tc>
          <w:tcPr>
            <w:tcW w:w="1276" w:type="dxa"/>
            <w:tcBorders>
              <w:tl2br w:val="nil"/>
              <w:tr2bl w:val="nil"/>
            </w:tcBorders>
            <w:noWrap w:val="0"/>
            <w:vAlign w:val="top"/>
          </w:tcPr>
          <w:p w14:paraId="7D814E0B">
            <w:pPr>
              <w:jc w:val="center"/>
              <w:rPr>
                <w:color w:val="auto"/>
                <w:highlight w:val="none"/>
              </w:rPr>
            </w:pPr>
          </w:p>
        </w:tc>
        <w:tc>
          <w:tcPr>
            <w:tcW w:w="2061" w:type="dxa"/>
            <w:vMerge w:val="restart"/>
            <w:tcBorders>
              <w:tl2br w:val="nil"/>
              <w:tr2bl w:val="nil"/>
            </w:tcBorders>
            <w:noWrap w:val="0"/>
            <w:vAlign w:val="center"/>
          </w:tcPr>
          <w:p w14:paraId="5E85F409">
            <w:pPr>
              <w:rPr>
                <w:rFonts w:hint="eastAsia" w:eastAsia="宋体"/>
                <w:color w:val="auto"/>
                <w:highlight w:val="none"/>
                <w:lang w:eastAsia="zh-CN"/>
              </w:rPr>
            </w:pPr>
            <w:r>
              <w:rPr>
                <w:rFonts w:hint="eastAsia"/>
                <w:color w:val="auto"/>
                <w:highlight w:val="none"/>
              </w:rPr>
              <w:t>发现1次问题扣5分</w:t>
            </w:r>
            <w:r>
              <w:rPr>
                <w:rFonts w:hint="eastAsia"/>
                <w:color w:val="auto"/>
                <w:highlight w:val="none"/>
                <w:lang w:eastAsia="zh-CN"/>
              </w:rPr>
              <w:t>。</w:t>
            </w:r>
          </w:p>
        </w:tc>
      </w:tr>
      <w:tr w14:paraId="0542F5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center"/>
          </w:tcPr>
          <w:p w14:paraId="73133A33">
            <w:pPr>
              <w:jc w:val="center"/>
              <w:rPr>
                <w:color w:val="auto"/>
                <w:highlight w:val="none"/>
              </w:rPr>
            </w:pPr>
          </w:p>
        </w:tc>
        <w:tc>
          <w:tcPr>
            <w:tcW w:w="1260" w:type="dxa"/>
            <w:vMerge w:val="continue"/>
            <w:tcBorders>
              <w:tl2br w:val="nil"/>
              <w:tr2bl w:val="nil"/>
            </w:tcBorders>
            <w:noWrap w:val="0"/>
            <w:vAlign w:val="center"/>
          </w:tcPr>
          <w:p w14:paraId="6FB7930F">
            <w:pPr>
              <w:jc w:val="center"/>
              <w:rPr>
                <w:color w:val="auto"/>
                <w:highlight w:val="none"/>
              </w:rPr>
            </w:pPr>
          </w:p>
        </w:tc>
        <w:tc>
          <w:tcPr>
            <w:tcW w:w="7802" w:type="dxa"/>
            <w:tcBorders>
              <w:tl2br w:val="nil"/>
              <w:tr2bl w:val="nil"/>
            </w:tcBorders>
            <w:noWrap w:val="0"/>
            <w:vAlign w:val="center"/>
          </w:tcPr>
          <w:p w14:paraId="22CD16E6">
            <w:pPr>
              <w:jc w:val="both"/>
              <w:rPr>
                <w:rFonts w:hint="eastAsia" w:eastAsia="宋体"/>
                <w:color w:val="auto"/>
                <w:highlight w:val="none"/>
                <w:lang w:eastAsia="zh-CN"/>
              </w:rPr>
            </w:pPr>
            <w:r>
              <w:rPr>
                <w:rFonts w:hint="eastAsia"/>
                <w:color w:val="auto"/>
                <w:highlight w:val="none"/>
              </w:rPr>
              <w:t>熟练掌握会务突发事件应急流程，并能实际运用</w:t>
            </w:r>
            <w:r>
              <w:rPr>
                <w:rFonts w:hint="eastAsia"/>
                <w:color w:val="auto"/>
                <w:highlight w:val="none"/>
                <w:lang w:eastAsia="zh-CN"/>
              </w:rPr>
              <w:t>。</w:t>
            </w:r>
          </w:p>
        </w:tc>
        <w:tc>
          <w:tcPr>
            <w:tcW w:w="1276" w:type="dxa"/>
            <w:tcBorders>
              <w:tl2br w:val="nil"/>
              <w:tr2bl w:val="nil"/>
            </w:tcBorders>
            <w:noWrap w:val="0"/>
            <w:vAlign w:val="center"/>
          </w:tcPr>
          <w:p w14:paraId="14C9002F">
            <w:pPr>
              <w:jc w:val="center"/>
              <w:rPr>
                <w:color w:val="auto"/>
                <w:highlight w:val="none"/>
              </w:rPr>
            </w:pPr>
            <w:r>
              <w:rPr>
                <w:rFonts w:hint="eastAsia"/>
                <w:color w:val="auto"/>
                <w:highlight w:val="none"/>
              </w:rPr>
              <w:t>5分</w:t>
            </w:r>
          </w:p>
        </w:tc>
        <w:tc>
          <w:tcPr>
            <w:tcW w:w="1276" w:type="dxa"/>
            <w:tcBorders>
              <w:tl2br w:val="nil"/>
              <w:tr2bl w:val="nil"/>
            </w:tcBorders>
            <w:noWrap w:val="0"/>
            <w:vAlign w:val="top"/>
          </w:tcPr>
          <w:p w14:paraId="5C903274">
            <w:pPr>
              <w:jc w:val="center"/>
              <w:rPr>
                <w:color w:val="auto"/>
                <w:highlight w:val="none"/>
              </w:rPr>
            </w:pPr>
          </w:p>
        </w:tc>
        <w:tc>
          <w:tcPr>
            <w:tcW w:w="2061" w:type="dxa"/>
            <w:vMerge w:val="continue"/>
            <w:tcBorders>
              <w:tl2br w:val="nil"/>
              <w:tr2bl w:val="nil"/>
            </w:tcBorders>
            <w:noWrap w:val="0"/>
            <w:vAlign w:val="center"/>
          </w:tcPr>
          <w:p w14:paraId="2D1B1F31">
            <w:pPr>
              <w:rPr>
                <w:color w:val="auto"/>
                <w:highlight w:val="none"/>
              </w:rPr>
            </w:pPr>
          </w:p>
        </w:tc>
      </w:tr>
      <w:tr w14:paraId="6967E5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restart"/>
            <w:tcBorders>
              <w:tl2br w:val="nil"/>
              <w:tr2bl w:val="nil"/>
            </w:tcBorders>
            <w:noWrap w:val="0"/>
            <w:vAlign w:val="center"/>
          </w:tcPr>
          <w:p w14:paraId="1C525549">
            <w:pPr>
              <w:jc w:val="center"/>
              <w:rPr>
                <w:color w:val="auto"/>
                <w:highlight w:val="none"/>
              </w:rPr>
            </w:pPr>
            <w:r>
              <w:rPr>
                <w:rFonts w:hint="eastAsia"/>
                <w:color w:val="auto"/>
                <w:highlight w:val="none"/>
              </w:rPr>
              <w:t>4</w:t>
            </w:r>
          </w:p>
        </w:tc>
        <w:tc>
          <w:tcPr>
            <w:tcW w:w="1260" w:type="dxa"/>
            <w:vMerge w:val="restart"/>
            <w:tcBorders>
              <w:tl2br w:val="nil"/>
              <w:tr2bl w:val="nil"/>
            </w:tcBorders>
            <w:noWrap w:val="0"/>
            <w:vAlign w:val="center"/>
          </w:tcPr>
          <w:p w14:paraId="637A3FBD">
            <w:pPr>
              <w:jc w:val="center"/>
              <w:rPr>
                <w:color w:val="auto"/>
                <w:highlight w:val="none"/>
              </w:rPr>
            </w:pPr>
            <w:r>
              <w:rPr>
                <w:rFonts w:hint="eastAsia"/>
                <w:color w:val="auto"/>
                <w:highlight w:val="none"/>
              </w:rPr>
              <w:t>物品领用管理</w:t>
            </w:r>
          </w:p>
        </w:tc>
        <w:tc>
          <w:tcPr>
            <w:tcW w:w="7802" w:type="dxa"/>
            <w:tcBorders>
              <w:tl2br w:val="nil"/>
              <w:tr2bl w:val="nil"/>
            </w:tcBorders>
            <w:noWrap w:val="0"/>
            <w:vAlign w:val="center"/>
          </w:tcPr>
          <w:p w14:paraId="16B78E43">
            <w:pPr>
              <w:jc w:val="both"/>
              <w:rPr>
                <w:rFonts w:hint="eastAsia" w:eastAsia="宋体"/>
                <w:color w:val="auto"/>
                <w:highlight w:val="none"/>
                <w:lang w:eastAsia="zh-CN"/>
              </w:rPr>
            </w:pPr>
            <w:r>
              <w:rPr>
                <w:rFonts w:hint="eastAsia"/>
                <w:color w:val="auto"/>
                <w:highlight w:val="none"/>
              </w:rPr>
              <w:t>领用物品时，做好物品领用登记</w:t>
            </w:r>
            <w:r>
              <w:rPr>
                <w:rFonts w:hint="eastAsia"/>
                <w:color w:val="auto"/>
                <w:highlight w:val="none"/>
                <w:lang w:eastAsia="zh-CN"/>
              </w:rPr>
              <w:t>；</w:t>
            </w:r>
          </w:p>
        </w:tc>
        <w:tc>
          <w:tcPr>
            <w:tcW w:w="1276" w:type="dxa"/>
            <w:tcBorders>
              <w:tl2br w:val="nil"/>
              <w:tr2bl w:val="nil"/>
            </w:tcBorders>
            <w:noWrap w:val="0"/>
            <w:vAlign w:val="center"/>
          </w:tcPr>
          <w:p w14:paraId="3B571228">
            <w:pPr>
              <w:jc w:val="center"/>
              <w:rPr>
                <w:color w:val="auto"/>
                <w:highlight w:val="none"/>
              </w:rPr>
            </w:pPr>
            <w:r>
              <w:rPr>
                <w:rFonts w:hint="eastAsia"/>
                <w:color w:val="auto"/>
                <w:highlight w:val="none"/>
              </w:rPr>
              <w:t>5分</w:t>
            </w:r>
          </w:p>
        </w:tc>
        <w:tc>
          <w:tcPr>
            <w:tcW w:w="1276" w:type="dxa"/>
            <w:tcBorders>
              <w:tl2br w:val="nil"/>
              <w:tr2bl w:val="nil"/>
            </w:tcBorders>
            <w:noWrap w:val="0"/>
            <w:vAlign w:val="top"/>
          </w:tcPr>
          <w:p w14:paraId="66F21D1C">
            <w:pPr>
              <w:jc w:val="center"/>
              <w:rPr>
                <w:color w:val="auto"/>
                <w:highlight w:val="none"/>
              </w:rPr>
            </w:pPr>
          </w:p>
        </w:tc>
        <w:tc>
          <w:tcPr>
            <w:tcW w:w="2061" w:type="dxa"/>
            <w:tcBorders>
              <w:tl2br w:val="nil"/>
              <w:tr2bl w:val="nil"/>
            </w:tcBorders>
            <w:noWrap w:val="0"/>
            <w:vAlign w:val="center"/>
          </w:tcPr>
          <w:p w14:paraId="0767EBF2">
            <w:pPr>
              <w:rPr>
                <w:rFonts w:hint="eastAsia" w:eastAsia="宋体"/>
                <w:color w:val="auto"/>
                <w:highlight w:val="none"/>
                <w:lang w:eastAsia="zh-CN"/>
              </w:rPr>
            </w:pPr>
            <w:r>
              <w:rPr>
                <w:rFonts w:hint="eastAsia"/>
                <w:color w:val="auto"/>
                <w:highlight w:val="none"/>
              </w:rPr>
              <w:t>发现1次问题扣2分</w:t>
            </w:r>
            <w:r>
              <w:rPr>
                <w:rFonts w:hint="eastAsia"/>
                <w:color w:val="auto"/>
                <w:highlight w:val="none"/>
                <w:lang w:eastAsia="zh-CN"/>
              </w:rPr>
              <w:t>。</w:t>
            </w:r>
          </w:p>
        </w:tc>
      </w:tr>
      <w:tr w14:paraId="1CEEA89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top"/>
          </w:tcPr>
          <w:p w14:paraId="6D688300">
            <w:pPr>
              <w:rPr>
                <w:color w:val="auto"/>
                <w:highlight w:val="none"/>
              </w:rPr>
            </w:pPr>
          </w:p>
        </w:tc>
        <w:tc>
          <w:tcPr>
            <w:tcW w:w="1260" w:type="dxa"/>
            <w:vMerge w:val="continue"/>
            <w:tcBorders>
              <w:tl2br w:val="nil"/>
              <w:tr2bl w:val="nil"/>
            </w:tcBorders>
            <w:noWrap w:val="0"/>
            <w:vAlign w:val="top"/>
          </w:tcPr>
          <w:p w14:paraId="10AE8A9F">
            <w:pPr>
              <w:jc w:val="center"/>
              <w:rPr>
                <w:color w:val="auto"/>
                <w:highlight w:val="none"/>
              </w:rPr>
            </w:pPr>
          </w:p>
        </w:tc>
        <w:tc>
          <w:tcPr>
            <w:tcW w:w="7802" w:type="dxa"/>
            <w:tcBorders>
              <w:tl2br w:val="nil"/>
              <w:tr2bl w:val="nil"/>
            </w:tcBorders>
            <w:noWrap w:val="0"/>
            <w:vAlign w:val="center"/>
          </w:tcPr>
          <w:p w14:paraId="676986C9">
            <w:pPr>
              <w:jc w:val="both"/>
              <w:rPr>
                <w:rFonts w:hint="eastAsia" w:eastAsia="宋体"/>
                <w:color w:val="auto"/>
                <w:highlight w:val="none"/>
                <w:lang w:eastAsia="zh-CN"/>
              </w:rPr>
            </w:pPr>
            <w:r>
              <w:rPr>
                <w:rFonts w:hint="eastAsia"/>
                <w:color w:val="auto"/>
                <w:highlight w:val="none"/>
              </w:rPr>
              <w:t>保管好所</w:t>
            </w:r>
            <w:r>
              <w:rPr>
                <w:rFonts w:hint="eastAsia"/>
                <w:color w:val="auto"/>
                <w:highlight w:val="none"/>
                <w:lang w:eastAsia="zh-CN"/>
              </w:rPr>
              <w:t>有</w:t>
            </w:r>
            <w:r>
              <w:rPr>
                <w:rFonts w:hint="eastAsia"/>
                <w:color w:val="auto"/>
                <w:highlight w:val="none"/>
              </w:rPr>
              <w:t>领用的会议物资，未用完的物资，退回管理处，不允许私自带走</w:t>
            </w:r>
            <w:r>
              <w:rPr>
                <w:rFonts w:hint="eastAsia"/>
                <w:color w:val="auto"/>
                <w:highlight w:val="none"/>
                <w:lang w:eastAsia="zh-CN"/>
              </w:rPr>
              <w:t>。</w:t>
            </w:r>
          </w:p>
        </w:tc>
        <w:tc>
          <w:tcPr>
            <w:tcW w:w="1276" w:type="dxa"/>
            <w:tcBorders>
              <w:tl2br w:val="nil"/>
              <w:tr2bl w:val="nil"/>
            </w:tcBorders>
            <w:noWrap w:val="0"/>
            <w:vAlign w:val="center"/>
          </w:tcPr>
          <w:p w14:paraId="23F7D93F">
            <w:pPr>
              <w:jc w:val="center"/>
              <w:rPr>
                <w:color w:val="auto"/>
                <w:highlight w:val="none"/>
              </w:rPr>
            </w:pPr>
            <w:r>
              <w:rPr>
                <w:rFonts w:hint="eastAsia"/>
                <w:color w:val="auto"/>
                <w:highlight w:val="none"/>
              </w:rPr>
              <w:t>10分</w:t>
            </w:r>
          </w:p>
        </w:tc>
        <w:tc>
          <w:tcPr>
            <w:tcW w:w="1276" w:type="dxa"/>
            <w:tcBorders>
              <w:tl2br w:val="nil"/>
              <w:tr2bl w:val="nil"/>
            </w:tcBorders>
            <w:noWrap w:val="0"/>
            <w:vAlign w:val="top"/>
          </w:tcPr>
          <w:p w14:paraId="380E5D7F">
            <w:pPr>
              <w:jc w:val="center"/>
              <w:rPr>
                <w:color w:val="auto"/>
                <w:highlight w:val="none"/>
              </w:rPr>
            </w:pPr>
          </w:p>
        </w:tc>
        <w:tc>
          <w:tcPr>
            <w:tcW w:w="2061" w:type="dxa"/>
            <w:tcBorders>
              <w:tl2br w:val="nil"/>
              <w:tr2bl w:val="nil"/>
            </w:tcBorders>
            <w:noWrap w:val="0"/>
            <w:vAlign w:val="center"/>
          </w:tcPr>
          <w:p w14:paraId="2A9231A2">
            <w:pPr>
              <w:rPr>
                <w:rFonts w:hint="eastAsia" w:eastAsia="宋体"/>
                <w:color w:val="auto"/>
                <w:highlight w:val="none"/>
                <w:lang w:eastAsia="zh-CN"/>
              </w:rPr>
            </w:pPr>
            <w:r>
              <w:rPr>
                <w:rFonts w:hint="eastAsia"/>
                <w:color w:val="auto"/>
                <w:highlight w:val="none"/>
              </w:rPr>
              <w:t>发现1次</w:t>
            </w:r>
            <w:r>
              <w:rPr>
                <w:rFonts w:hint="eastAsia"/>
                <w:color w:val="auto"/>
                <w:highlight w:val="none"/>
                <w:lang w:eastAsia="zh-CN"/>
              </w:rPr>
              <w:t>问题</w:t>
            </w:r>
            <w:r>
              <w:rPr>
                <w:rFonts w:hint="eastAsia"/>
                <w:color w:val="auto"/>
                <w:highlight w:val="none"/>
              </w:rPr>
              <w:t>扣10分</w:t>
            </w:r>
            <w:r>
              <w:rPr>
                <w:rFonts w:hint="eastAsia"/>
                <w:color w:val="auto"/>
                <w:highlight w:val="none"/>
                <w:lang w:eastAsia="zh-CN"/>
              </w:rPr>
              <w:t>。</w:t>
            </w:r>
          </w:p>
        </w:tc>
      </w:tr>
      <w:tr w14:paraId="7283AB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747" w:type="dxa"/>
            <w:gridSpan w:val="3"/>
            <w:tcBorders>
              <w:tl2br w:val="nil"/>
              <w:tr2bl w:val="nil"/>
            </w:tcBorders>
            <w:noWrap w:val="0"/>
            <w:vAlign w:val="center"/>
          </w:tcPr>
          <w:p w14:paraId="6586E714">
            <w:pPr>
              <w:jc w:val="center"/>
              <w:rPr>
                <w:color w:val="auto"/>
                <w:highlight w:val="none"/>
              </w:rPr>
            </w:pPr>
            <w:r>
              <w:rPr>
                <w:rFonts w:hint="eastAsia"/>
                <w:b/>
                <w:bCs/>
                <w:color w:val="auto"/>
                <w:highlight w:val="none"/>
              </w:rPr>
              <w:t xml:space="preserve">合  </w:t>
            </w:r>
            <w:r>
              <w:rPr>
                <w:rFonts w:hint="eastAsia"/>
                <w:b/>
                <w:bCs/>
                <w:color w:val="auto"/>
                <w:highlight w:val="none"/>
                <w:lang w:val="en-US" w:eastAsia="zh-CN"/>
              </w:rPr>
              <w:t xml:space="preserve">      </w:t>
            </w:r>
            <w:r>
              <w:rPr>
                <w:rFonts w:hint="eastAsia"/>
                <w:b/>
                <w:bCs/>
                <w:color w:val="auto"/>
                <w:highlight w:val="none"/>
              </w:rPr>
              <w:t xml:space="preserve"> 计</w:t>
            </w:r>
          </w:p>
        </w:tc>
        <w:tc>
          <w:tcPr>
            <w:tcW w:w="1276" w:type="dxa"/>
            <w:tcBorders>
              <w:tl2br w:val="nil"/>
              <w:tr2bl w:val="nil"/>
            </w:tcBorders>
            <w:noWrap w:val="0"/>
            <w:vAlign w:val="center"/>
          </w:tcPr>
          <w:p w14:paraId="7B0A3F60">
            <w:pPr>
              <w:jc w:val="center"/>
              <w:rPr>
                <w:color w:val="auto"/>
                <w:highlight w:val="none"/>
              </w:rPr>
            </w:pPr>
            <w:r>
              <w:rPr>
                <w:rFonts w:hint="eastAsia"/>
                <w:color w:val="auto"/>
                <w:highlight w:val="none"/>
              </w:rPr>
              <w:t>100分</w:t>
            </w:r>
          </w:p>
        </w:tc>
        <w:tc>
          <w:tcPr>
            <w:tcW w:w="1276" w:type="dxa"/>
            <w:tcBorders>
              <w:tl2br w:val="nil"/>
              <w:tr2bl w:val="nil"/>
            </w:tcBorders>
            <w:noWrap w:val="0"/>
            <w:vAlign w:val="center"/>
          </w:tcPr>
          <w:p w14:paraId="0C71463C">
            <w:pPr>
              <w:jc w:val="center"/>
              <w:rPr>
                <w:color w:val="auto"/>
                <w:highlight w:val="none"/>
              </w:rPr>
            </w:pPr>
          </w:p>
        </w:tc>
        <w:tc>
          <w:tcPr>
            <w:tcW w:w="2061" w:type="dxa"/>
            <w:tcBorders>
              <w:tl2br w:val="nil"/>
              <w:tr2bl w:val="nil"/>
            </w:tcBorders>
            <w:noWrap w:val="0"/>
            <w:vAlign w:val="center"/>
          </w:tcPr>
          <w:p w14:paraId="5E284BD7">
            <w:pPr>
              <w:jc w:val="center"/>
              <w:rPr>
                <w:color w:val="auto"/>
                <w:highlight w:val="none"/>
              </w:rPr>
            </w:pPr>
          </w:p>
        </w:tc>
      </w:tr>
      <w:tr w14:paraId="73C5BD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43" w:hRule="atLeast"/>
          <w:jc w:val="center"/>
        </w:trPr>
        <w:tc>
          <w:tcPr>
            <w:tcW w:w="14360" w:type="dxa"/>
            <w:gridSpan w:val="6"/>
            <w:tcBorders>
              <w:tl2br w:val="nil"/>
              <w:tr2bl w:val="nil"/>
            </w:tcBorders>
            <w:noWrap w:val="0"/>
            <w:vAlign w:val="center"/>
          </w:tcPr>
          <w:p w14:paraId="7CFFCA14">
            <w:pPr>
              <w:jc w:val="both"/>
              <w:rPr>
                <w:rFonts w:hint="eastAsia"/>
                <w:color w:val="auto"/>
                <w:highlight w:val="none"/>
              </w:rPr>
            </w:pPr>
            <w:r>
              <w:rPr>
                <w:rFonts w:hint="eastAsia"/>
                <w:color w:val="auto"/>
                <w:highlight w:val="none"/>
              </w:rPr>
              <w:t>考核办法：</w:t>
            </w:r>
          </w:p>
          <w:p w14:paraId="7F7B3808">
            <w:pPr>
              <w:ind w:firstLine="840" w:firstLineChars="400"/>
              <w:jc w:val="both"/>
              <w:rPr>
                <w:color w:val="auto"/>
                <w:highlight w:val="none"/>
              </w:rPr>
            </w:pPr>
            <w:r>
              <w:rPr>
                <w:rFonts w:hint="eastAsia"/>
                <w:color w:val="auto"/>
                <w:highlight w:val="none"/>
              </w:rPr>
              <w:t>①以月为考核周期，每月总计100分</w:t>
            </w:r>
            <w:r>
              <w:rPr>
                <w:rFonts w:hint="eastAsia"/>
                <w:color w:val="auto"/>
                <w:highlight w:val="none"/>
                <w:lang w:eastAsia="zh-CN"/>
              </w:rPr>
              <w:t>。校方分项目考核负责人</w:t>
            </w:r>
            <w:r>
              <w:rPr>
                <w:rFonts w:hint="eastAsia"/>
                <w:color w:val="auto"/>
                <w:highlight w:val="none"/>
              </w:rPr>
              <w:t>依据考核细则对</w:t>
            </w:r>
            <w:r>
              <w:rPr>
                <w:rFonts w:hint="eastAsia"/>
                <w:color w:val="auto"/>
                <w:highlight w:val="none"/>
                <w:lang w:eastAsia="zh-CN"/>
              </w:rPr>
              <w:t>会务员</w:t>
            </w:r>
            <w:r>
              <w:rPr>
                <w:rFonts w:hint="eastAsia"/>
                <w:color w:val="auto"/>
                <w:highlight w:val="none"/>
              </w:rPr>
              <w:t>工作进行监督，实行累计扣分制</w:t>
            </w:r>
            <w:r>
              <w:rPr>
                <w:rFonts w:hint="eastAsia"/>
                <w:color w:val="auto"/>
                <w:highlight w:val="none"/>
                <w:lang w:eastAsia="zh-CN"/>
              </w:rPr>
              <w:t>。</w:t>
            </w:r>
            <w:r>
              <w:rPr>
                <w:rFonts w:hint="eastAsia"/>
                <w:color w:val="auto"/>
                <w:highlight w:val="none"/>
              </w:rPr>
              <w:t>每违纪一次，按扣分标准扣分，重复违纪的，予以重复考核扣分，</w:t>
            </w:r>
            <w:r>
              <w:rPr>
                <w:color w:val="auto"/>
                <w:highlight w:val="none"/>
              </w:rPr>
              <w:t xml:space="preserve"> </w:t>
            </w:r>
            <w:r>
              <w:rPr>
                <w:rFonts w:hint="eastAsia"/>
                <w:color w:val="auto"/>
                <w:highlight w:val="none"/>
              </w:rPr>
              <w:t>如此累计得出</w:t>
            </w:r>
            <w:r>
              <w:rPr>
                <w:rFonts w:hint="eastAsia"/>
                <w:color w:val="auto"/>
                <w:highlight w:val="none"/>
                <w:lang w:eastAsia="zh-CN"/>
              </w:rPr>
              <w:t>会务岗位</w:t>
            </w:r>
            <w:r>
              <w:rPr>
                <w:rFonts w:hint="eastAsia"/>
                <w:color w:val="auto"/>
                <w:highlight w:val="none"/>
              </w:rPr>
              <w:t>每月最终考核得分。</w:t>
            </w:r>
          </w:p>
          <w:p w14:paraId="5CAB544B">
            <w:pPr>
              <w:ind w:firstLine="840" w:firstLineChars="400"/>
              <w:jc w:val="both"/>
              <w:rPr>
                <w:color w:val="auto"/>
                <w:highlight w:val="none"/>
              </w:rPr>
            </w:pPr>
            <w:r>
              <w:rPr>
                <w:rFonts w:hint="eastAsia"/>
                <w:color w:val="auto"/>
                <w:highlight w:val="none"/>
              </w:rPr>
              <w:t>②</w:t>
            </w:r>
            <w:r>
              <w:rPr>
                <w:rFonts w:hint="eastAsia"/>
                <w:color w:val="auto"/>
                <w:highlight w:val="none"/>
                <w:lang w:val="en-US" w:eastAsia="zh-CN"/>
              </w:rPr>
              <w:t>90</w:t>
            </w:r>
            <w:r>
              <w:rPr>
                <w:rFonts w:hint="eastAsia"/>
                <w:color w:val="auto"/>
                <w:highlight w:val="none"/>
              </w:rPr>
              <w:t>分~100分为</w:t>
            </w:r>
            <w:r>
              <w:rPr>
                <w:rFonts w:hint="eastAsia"/>
                <w:color w:val="auto"/>
                <w:highlight w:val="none"/>
                <w:lang w:eastAsia="zh-CN"/>
              </w:rPr>
              <w:t>合格</w:t>
            </w:r>
            <w:r>
              <w:rPr>
                <w:rFonts w:hint="eastAsia"/>
                <w:color w:val="auto"/>
                <w:highlight w:val="none"/>
              </w:rPr>
              <w:t>；</w:t>
            </w:r>
            <w:r>
              <w:rPr>
                <w:rFonts w:hint="eastAsia"/>
                <w:color w:val="auto"/>
                <w:highlight w:val="none"/>
                <w:lang w:val="en-US" w:eastAsia="zh-CN"/>
              </w:rPr>
              <w:t>90</w:t>
            </w:r>
            <w:r>
              <w:rPr>
                <w:rFonts w:hint="eastAsia"/>
                <w:color w:val="auto"/>
                <w:highlight w:val="none"/>
              </w:rPr>
              <w:t>分</w:t>
            </w:r>
            <w:r>
              <w:rPr>
                <w:rFonts w:hint="eastAsia"/>
                <w:color w:val="auto"/>
                <w:highlight w:val="none"/>
                <w:lang w:eastAsia="zh-CN"/>
              </w:rPr>
              <w:t>以下</w:t>
            </w:r>
            <w:r>
              <w:rPr>
                <w:rFonts w:hint="eastAsia"/>
                <w:color w:val="auto"/>
                <w:highlight w:val="none"/>
              </w:rPr>
              <w:t>为不合格，扣罚</w:t>
            </w:r>
            <w:r>
              <w:rPr>
                <w:rFonts w:hint="eastAsia"/>
                <w:color w:val="auto"/>
                <w:highlight w:val="none"/>
                <w:lang w:eastAsia="zh-CN"/>
              </w:rPr>
              <w:t>物业公</w:t>
            </w:r>
            <w:r>
              <w:rPr>
                <w:rFonts w:hint="eastAsia" w:ascii="Calibri" w:hAnsi="Calibri" w:eastAsia="宋体" w:cs="Times New Roman"/>
                <w:color w:val="auto"/>
                <w:highlight w:val="none"/>
                <w:lang w:eastAsia="zh-CN"/>
              </w:rPr>
              <w:t>司</w:t>
            </w:r>
            <w:r>
              <w:rPr>
                <w:rFonts w:hint="eastAsia" w:ascii="Calibri" w:hAnsi="Calibri" w:eastAsia="宋体" w:cs="Times New Roman"/>
                <w:color w:val="auto"/>
                <w:highlight w:val="none"/>
              </w:rPr>
              <w:t>当月服务费中的1%做为罚金；连续3</w:t>
            </w:r>
            <w:r>
              <w:rPr>
                <w:rFonts w:hint="eastAsia"/>
                <w:color w:val="auto"/>
                <w:highlight w:val="none"/>
              </w:rPr>
              <w:t>个月考核在</w:t>
            </w:r>
            <w:r>
              <w:rPr>
                <w:rFonts w:hint="eastAsia"/>
                <w:color w:val="auto"/>
                <w:highlight w:val="none"/>
                <w:lang w:val="en-US" w:eastAsia="zh-CN"/>
              </w:rPr>
              <w:t>90</w:t>
            </w:r>
            <w:r>
              <w:rPr>
                <w:rFonts w:hint="eastAsia"/>
                <w:color w:val="auto"/>
                <w:highlight w:val="none"/>
              </w:rPr>
              <w:t>分以下的员工，视为不符合本岗位工作要求，</w:t>
            </w:r>
            <w:r>
              <w:rPr>
                <w:rFonts w:hint="eastAsia"/>
                <w:color w:val="auto"/>
                <w:highlight w:val="none"/>
                <w:lang w:eastAsia="zh-CN"/>
              </w:rPr>
              <w:t>建议物业公司</w:t>
            </w:r>
            <w:r>
              <w:rPr>
                <w:rFonts w:hint="eastAsia"/>
                <w:color w:val="auto"/>
                <w:highlight w:val="none"/>
              </w:rPr>
              <w:t>做辞退处理。</w:t>
            </w:r>
          </w:p>
        </w:tc>
      </w:tr>
    </w:tbl>
    <w:p w14:paraId="5AF49864">
      <w:pP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物业公司负责人</w:t>
      </w:r>
      <w:r>
        <w:rPr>
          <w:rFonts w:hint="eastAsia" w:ascii="宋体" w:hAnsi="宋体" w:eastAsia="宋体" w:cs="宋体"/>
          <w:b w:val="0"/>
          <w:bCs/>
          <w:color w:val="auto"/>
          <w:sz w:val="21"/>
          <w:szCs w:val="21"/>
          <w:highlight w:val="none"/>
        </w:rPr>
        <w:t xml:space="preserve">签名/日期:                             </w:t>
      </w:r>
      <w:r>
        <w:rPr>
          <w:rFonts w:hint="eastAsia" w:ascii="宋体" w:hAnsi="宋体" w:eastAsia="宋体" w:cs="宋体"/>
          <w:b w:val="0"/>
          <w:bCs/>
          <w:color w:val="auto"/>
          <w:sz w:val="21"/>
          <w:szCs w:val="21"/>
          <w:highlight w:val="none"/>
          <w:lang w:val="en-US" w:eastAsia="zh-CN"/>
        </w:rPr>
        <w:t xml:space="preserve">                       校方分项目考核负责人</w:t>
      </w:r>
      <w:r>
        <w:rPr>
          <w:rFonts w:hint="eastAsia" w:ascii="宋体" w:hAnsi="宋体" w:eastAsia="宋体" w:cs="宋体"/>
          <w:b w:val="0"/>
          <w:bCs/>
          <w:color w:val="auto"/>
          <w:sz w:val="21"/>
          <w:szCs w:val="21"/>
          <w:highlight w:val="none"/>
        </w:rPr>
        <w:t>签名/日期:</w:t>
      </w:r>
    </w:p>
    <w:p w14:paraId="797BC919">
      <w:pPr>
        <w:widowControl/>
        <w:jc w:val="center"/>
        <w:rPr>
          <w:rFonts w:hint="eastAsia"/>
          <w:b/>
          <w:color w:val="auto"/>
          <w:sz w:val="36"/>
          <w:szCs w:val="36"/>
          <w:highlight w:val="none"/>
          <w:lang w:val="en-US" w:eastAsia="zh-CN"/>
        </w:rPr>
      </w:pPr>
      <w:r>
        <w:rPr>
          <w:rFonts w:hint="eastAsia"/>
          <w:b/>
          <w:color w:val="auto"/>
          <w:sz w:val="36"/>
          <w:szCs w:val="36"/>
          <w:highlight w:val="none"/>
          <w:lang w:val="en-US" w:eastAsia="zh-CN"/>
        </w:rPr>
        <w:t xml:space="preserve">     </w:t>
      </w:r>
    </w:p>
    <w:p w14:paraId="3F170563">
      <w:pPr>
        <w:rPr>
          <w:rFonts w:hint="eastAsia"/>
          <w:b/>
          <w:color w:val="auto"/>
          <w:sz w:val="36"/>
          <w:szCs w:val="36"/>
          <w:highlight w:val="none"/>
          <w:lang w:val="en-US" w:eastAsia="zh-CN"/>
        </w:rPr>
      </w:pPr>
      <w:r>
        <w:rPr>
          <w:rFonts w:hint="eastAsia"/>
          <w:b/>
          <w:color w:val="auto"/>
          <w:sz w:val="36"/>
          <w:szCs w:val="36"/>
          <w:highlight w:val="none"/>
          <w:lang w:val="en-US" w:eastAsia="zh-CN"/>
        </w:rPr>
        <w:br w:type="page"/>
      </w:r>
    </w:p>
    <w:p w14:paraId="1F721191">
      <w:pPr>
        <w:widowControl/>
        <w:jc w:val="left"/>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附表4：湖铁职院物业公司维修管理考核表</w:t>
      </w:r>
    </w:p>
    <w:p w14:paraId="6E991474">
      <w:pPr>
        <w:widowControl/>
        <w:jc w:val="center"/>
        <w:rPr>
          <w:rFonts w:hint="default"/>
          <w:color w:val="auto"/>
          <w:highlight w:val="none"/>
          <w:lang w:val="en-US" w:eastAsia="zh-CN"/>
        </w:rPr>
      </w:pPr>
      <w:r>
        <w:rPr>
          <w:rFonts w:hint="eastAsia"/>
          <w:b/>
          <w:color w:val="auto"/>
          <w:sz w:val="36"/>
          <w:szCs w:val="36"/>
          <w:highlight w:val="none"/>
          <w:lang w:val="en-US" w:eastAsia="zh-CN"/>
        </w:rPr>
        <w:t>湖铁职院物业公司</w:t>
      </w:r>
      <w:r>
        <w:rPr>
          <w:rFonts w:hint="eastAsia"/>
          <w:b/>
          <w:bCs/>
          <w:color w:val="auto"/>
          <w:sz w:val="36"/>
          <w:szCs w:val="36"/>
          <w:highlight w:val="none"/>
        </w:rPr>
        <w:t>维修</w:t>
      </w:r>
      <w:r>
        <w:rPr>
          <w:rFonts w:hint="eastAsia"/>
          <w:b/>
          <w:color w:val="auto"/>
          <w:sz w:val="36"/>
          <w:szCs w:val="36"/>
          <w:highlight w:val="none"/>
        </w:rPr>
        <w:t>管理考核</w:t>
      </w:r>
      <w:r>
        <w:rPr>
          <w:rFonts w:hint="eastAsia"/>
          <w:b/>
          <w:color w:val="auto"/>
          <w:sz w:val="36"/>
          <w:szCs w:val="36"/>
          <w:highlight w:val="none"/>
          <w:lang w:eastAsia="zh-CN"/>
        </w:rPr>
        <w:t>表</w:t>
      </w:r>
      <w:r>
        <w:rPr>
          <w:rFonts w:hint="eastAsia"/>
          <w:b/>
          <w:color w:val="auto"/>
          <w:sz w:val="36"/>
          <w:szCs w:val="36"/>
          <w:highlight w:val="none"/>
          <w:lang w:val="en-US" w:eastAsia="zh-CN"/>
        </w:rPr>
        <w:t xml:space="preserve">     </w:t>
      </w:r>
      <w:r>
        <w:rPr>
          <w:rFonts w:hint="eastAsia"/>
          <w:b/>
          <w:color w:val="auto"/>
          <w:sz w:val="18"/>
          <w:szCs w:val="18"/>
          <w:highlight w:val="none"/>
          <w:lang w:val="en-US" w:eastAsia="zh-CN"/>
        </w:rPr>
        <w:t>考核时间：      年       月</w:t>
      </w:r>
    </w:p>
    <w:tbl>
      <w:tblPr>
        <w:tblStyle w:val="45"/>
        <w:tblW w:w="1428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85"/>
        <w:gridCol w:w="1085"/>
        <w:gridCol w:w="175"/>
        <w:gridCol w:w="8369"/>
        <w:gridCol w:w="1011"/>
        <w:gridCol w:w="990"/>
        <w:gridCol w:w="1950"/>
        <w:gridCol w:w="15"/>
      </w:tblGrid>
      <w:tr w14:paraId="1595D5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487" w:hRule="atLeast"/>
        </w:trPr>
        <w:tc>
          <w:tcPr>
            <w:tcW w:w="685" w:type="dxa"/>
            <w:tcBorders>
              <w:tl2br w:val="nil"/>
              <w:tr2bl w:val="nil"/>
            </w:tcBorders>
            <w:noWrap w:val="0"/>
            <w:vAlign w:val="center"/>
          </w:tcPr>
          <w:p w14:paraId="7224BC0A">
            <w:pPr>
              <w:jc w:val="center"/>
              <w:rPr>
                <w:b/>
                <w:color w:val="auto"/>
                <w:sz w:val="24"/>
                <w:szCs w:val="24"/>
                <w:highlight w:val="none"/>
              </w:rPr>
            </w:pPr>
            <w:r>
              <w:rPr>
                <w:rFonts w:hint="eastAsia"/>
                <w:b/>
                <w:color w:val="auto"/>
                <w:sz w:val="24"/>
                <w:szCs w:val="24"/>
                <w:highlight w:val="none"/>
              </w:rPr>
              <w:t>序</w:t>
            </w:r>
          </w:p>
        </w:tc>
        <w:tc>
          <w:tcPr>
            <w:tcW w:w="1085" w:type="dxa"/>
            <w:tcBorders>
              <w:tl2br w:val="nil"/>
              <w:tr2bl w:val="nil"/>
            </w:tcBorders>
            <w:noWrap w:val="0"/>
            <w:vAlign w:val="center"/>
          </w:tcPr>
          <w:p w14:paraId="797BEFE6">
            <w:pPr>
              <w:jc w:val="center"/>
              <w:rPr>
                <w:b/>
                <w:color w:val="auto"/>
                <w:sz w:val="24"/>
                <w:szCs w:val="24"/>
                <w:highlight w:val="none"/>
              </w:rPr>
            </w:pPr>
            <w:r>
              <w:rPr>
                <w:rFonts w:hint="eastAsia"/>
                <w:b/>
                <w:color w:val="auto"/>
                <w:sz w:val="24"/>
                <w:szCs w:val="24"/>
                <w:highlight w:val="none"/>
              </w:rPr>
              <w:t>考核项</w:t>
            </w:r>
          </w:p>
        </w:tc>
        <w:tc>
          <w:tcPr>
            <w:tcW w:w="8544" w:type="dxa"/>
            <w:gridSpan w:val="2"/>
            <w:tcBorders>
              <w:tl2br w:val="nil"/>
              <w:tr2bl w:val="nil"/>
            </w:tcBorders>
            <w:noWrap w:val="0"/>
            <w:vAlign w:val="center"/>
          </w:tcPr>
          <w:p w14:paraId="085A5DD8">
            <w:pPr>
              <w:jc w:val="center"/>
              <w:rPr>
                <w:b/>
                <w:color w:val="auto"/>
                <w:sz w:val="24"/>
                <w:szCs w:val="24"/>
                <w:highlight w:val="none"/>
              </w:rPr>
            </w:pPr>
            <w:r>
              <w:rPr>
                <w:rFonts w:hint="eastAsia"/>
                <w:b/>
                <w:color w:val="auto"/>
                <w:sz w:val="24"/>
                <w:szCs w:val="24"/>
                <w:highlight w:val="none"/>
              </w:rPr>
              <w:t>考</w:t>
            </w:r>
            <w:r>
              <w:rPr>
                <w:rFonts w:hint="eastAsia"/>
                <w:b/>
                <w:color w:val="auto"/>
                <w:sz w:val="24"/>
                <w:szCs w:val="24"/>
                <w:highlight w:val="none"/>
                <w:lang w:val="en-US" w:eastAsia="zh-CN"/>
              </w:rPr>
              <w:t xml:space="preserve">    </w:t>
            </w:r>
            <w:r>
              <w:rPr>
                <w:rFonts w:hint="eastAsia"/>
                <w:b/>
                <w:color w:val="auto"/>
                <w:sz w:val="24"/>
                <w:szCs w:val="24"/>
                <w:highlight w:val="none"/>
              </w:rPr>
              <w:t>核</w:t>
            </w:r>
            <w:r>
              <w:rPr>
                <w:rFonts w:hint="eastAsia"/>
                <w:b/>
                <w:color w:val="auto"/>
                <w:sz w:val="24"/>
                <w:szCs w:val="24"/>
                <w:highlight w:val="none"/>
                <w:lang w:val="en-US" w:eastAsia="zh-CN"/>
              </w:rPr>
              <w:t xml:space="preserve">    </w:t>
            </w:r>
            <w:r>
              <w:rPr>
                <w:rFonts w:hint="eastAsia"/>
                <w:b/>
                <w:color w:val="auto"/>
                <w:sz w:val="24"/>
                <w:szCs w:val="24"/>
                <w:highlight w:val="none"/>
              </w:rPr>
              <w:t>细</w:t>
            </w:r>
            <w:r>
              <w:rPr>
                <w:rFonts w:hint="eastAsia"/>
                <w:b/>
                <w:color w:val="auto"/>
                <w:sz w:val="24"/>
                <w:szCs w:val="24"/>
                <w:highlight w:val="none"/>
                <w:lang w:val="en-US" w:eastAsia="zh-CN"/>
              </w:rPr>
              <w:t xml:space="preserve">    </w:t>
            </w:r>
            <w:r>
              <w:rPr>
                <w:rFonts w:hint="eastAsia"/>
                <w:b/>
                <w:color w:val="auto"/>
                <w:sz w:val="24"/>
                <w:szCs w:val="24"/>
                <w:highlight w:val="none"/>
              </w:rPr>
              <w:t>则</w:t>
            </w:r>
          </w:p>
        </w:tc>
        <w:tc>
          <w:tcPr>
            <w:tcW w:w="1011" w:type="dxa"/>
            <w:tcBorders>
              <w:tl2br w:val="nil"/>
              <w:tr2bl w:val="nil"/>
            </w:tcBorders>
            <w:noWrap w:val="0"/>
            <w:vAlign w:val="center"/>
          </w:tcPr>
          <w:p w14:paraId="2A497070">
            <w:pPr>
              <w:jc w:val="center"/>
              <w:rPr>
                <w:b/>
                <w:color w:val="auto"/>
                <w:sz w:val="24"/>
                <w:szCs w:val="24"/>
                <w:highlight w:val="none"/>
              </w:rPr>
            </w:pPr>
            <w:r>
              <w:rPr>
                <w:rFonts w:hint="eastAsia"/>
                <w:b/>
                <w:color w:val="auto"/>
                <w:sz w:val="24"/>
                <w:szCs w:val="24"/>
                <w:highlight w:val="none"/>
              </w:rPr>
              <w:t>占</w:t>
            </w:r>
            <w:r>
              <w:rPr>
                <w:rFonts w:hint="eastAsia"/>
                <w:b/>
                <w:color w:val="auto"/>
                <w:sz w:val="24"/>
                <w:szCs w:val="24"/>
                <w:highlight w:val="none"/>
                <w:lang w:val="en-US" w:eastAsia="zh-CN"/>
              </w:rPr>
              <w:t xml:space="preserve">  </w:t>
            </w:r>
            <w:r>
              <w:rPr>
                <w:rFonts w:hint="eastAsia"/>
                <w:b/>
                <w:color w:val="auto"/>
                <w:sz w:val="24"/>
                <w:szCs w:val="24"/>
                <w:highlight w:val="none"/>
              </w:rPr>
              <w:t>分</w:t>
            </w:r>
          </w:p>
        </w:tc>
        <w:tc>
          <w:tcPr>
            <w:tcW w:w="990" w:type="dxa"/>
            <w:tcBorders>
              <w:tl2br w:val="nil"/>
              <w:tr2bl w:val="nil"/>
            </w:tcBorders>
            <w:noWrap w:val="0"/>
            <w:vAlign w:val="center"/>
          </w:tcPr>
          <w:p w14:paraId="0914CA58">
            <w:pPr>
              <w:jc w:val="center"/>
              <w:rPr>
                <w:b/>
                <w:color w:val="auto"/>
                <w:sz w:val="24"/>
                <w:szCs w:val="24"/>
                <w:highlight w:val="none"/>
              </w:rPr>
            </w:pPr>
            <w:r>
              <w:rPr>
                <w:rFonts w:hint="eastAsia"/>
                <w:b/>
                <w:color w:val="auto"/>
                <w:sz w:val="24"/>
                <w:szCs w:val="24"/>
                <w:highlight w:val="none"/>
              </w:rPr>
              <w:t>得</w:t>
            </w:r>
            <w:r>
              <w:rPr>
                <w:rFonts w:hint="eastAsia"/>
                <w:b/>
                <w:color w:val="auto"/>
                <w:sz w:val="24"/>
                <w:szCs w:val="24"/>
                <w:highlight w:val="none"/>
                <w:lang w:val="en-US" w:eastAsia="zh-CN"/>
              </w:rPr>
              <w:t xml:space="preserve">  </w:t>
            </w:r>
            <w:r>
              <w:rPr>
                <w:rFonts w:hint="eastAsia"/>
                <w:b/>
                <w:color w:val="auto"/>
                <w:sz w:val="24"/>
                <w:szCs w:val="24"/>
                <w:highlight w:val="none"/>
              </w:rPr>
              <w:t>分</w:t>
            </w:r>
          </w:p>
        </w:tc>
        <w:tc>
          <w:tcPr>
            <w:tcW w:w="1950" w:type="dxa"/>
            <w:tcBorders>
              <w:tl2br w:val="nil"/>
              <w:tr2bl w:val="nil"/>
            </w:tcBorders>
            <w:noWrap w:val="0"/>
            <w:vAlign w:val="center"/>
          </w:tcPr>
          <w:p w14:paraId="4C145010">
            <w:pPr>
              <w:jc w:val="center"/>
              <w:rPr>
                <w:b/>
                <w:color w:val="auto"/>
                <w:sz w:val="24"/>
                <w:szCs w:val="24"/>
                <w:highlight w:val="none"/>
              </w:rPr>
            </w:pPr>
            <w:r>
              <w:rPr>
                <w:rFonts w:hint="eastAsia"/>
                <w:b/>
                <w:color w:val="auto"/>
                <w:sz w:val="24"/>
                <w:szCs w:val="24"/>
                <w:highlight w:val="none"/>
              </w:rPr>
              <w:t>扣</w:t>
            </w:r>
            <w:r>
              <w:rPr>
                <w:rFonts w:hint="eastAsia"/>
                <w:b/>
                <w:color w:val="auto"/>
                <w:sz w:val="24"/>
                <w:szCs w:val="24"/>
                <w:highlight w:val="none"/>
                <w:lang w:val="en-US" w:eastAsia="zh-CN"/>
              </w:rPr>
              <w:t xml:space="preserve">  </w:t>
            </w:r>
            <w:r>
              <w:rPr>
                <w:rFonts w:hint="eastAsia"/>
                <w:b/>
                <w:color w:val="auto"/>
                <w:sz w:val="24"/>
                <w:szCs w:val="24"/>
                <w:highlight w:val="none"/>
              </w:rPr>
              <w:t>分</w:t>
            </w:r>
            <w:r>
              <w:rPr>
                <w:rFonts w:hint="eastAsia"/>
                <w:b/>
                <w:color w:val="auto"/>
                <w:sz w:val="24"/>
                <w:szCs w:val="24"/>
                <w:highlight w:val="none"/>
                <w:lang w:val="en-US" w:eastAsia="zh-CN"/>
              </w:rPr>
              <w:t xml:space="preserve">  </w:t>
            </w:r>
            <w:r>
              <w:rPr>
                <w:rFonts w:hint="eastAsia"/>
                <w:b/>
                <w:color w:val="auto"/>
                <w:sz w:val="24"/>
                <w:szCs w:val="24"/>
                <w:highlight w:val="none"/>
              </w:rPr>
              <w:t>标</w:t>
            </w:r>
            <w:r>
              <w:rPr>
                <w:rFonts w:hint="eastAsia"/>
                <w:b/>
                <w:color w:val="auto"/>
                <w:sz w:val="24"/>
                <w:szCs w:val="24"/>
                <w:highlight w:val="none"/>
                <w:lang w:val="en-US" w:eastAsia="zh-CN"/>
              </w:rPr>
              <w:t xml:space="preserve">  </w:t>
            </w:r>
            <w:r>
              <w:rPr>
                <w:rFonts w:hint="eastAsia"/>
                <w:b/>
                <w:color w:val="auto"/>
                <w:sz w:val="24"/>
                <w:szCs w:val="24"/>
                <w:highlight w:val="none"/>
              </w:rPr>
              <w:t>准</w:t>
            </w:r>
          </w:p>
        </w:tc>
      </w:tr>
      <w:tr w14:paraId="0F098E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restart"/>
            <w:tcBorders>
              <w:tl2br w:val="nil"/>
              <w:tr2bl w:val="nil"/>
            </w:tcBorders>
            <w:noWrap w:val="0"/>
            <w:vAlign w:val="center"/>
          </w:tcPr>
          <w:p w14:paraId="501ABBE7">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eastAsia="宋体"/>
                <w:color w:val="auto"/>
                <w:highlight w:val="none"/>
                <w:lang w:eastAsia="zh-CN"/>
              </w:rPr>
            </w:pPr>
            <w:r>
              <w:rPr>
                <w:rFonts w:hint="eastAsia"/>
                <w:color w:val="auto"/>
                <w:highlight w:val="none"/>
                <w:lang w:val="en-US" w:eastAsia="zh-CN"/>
              </w:rPr>
              <w:t>1</w:t>
            </w:r>
          </w:p>
        </w:tc>
        <w:tc>
          <w:tcPr>
            <w:tcW w:w="1085" w:type="dxa"/>
            <w:vMerge w:val="restart"/>
            <w:tcBorders>
              <w:tl2br w:val="nil"/>
              <w:tr2bl w:val="nil"/>
            </w:tcBorders>
            <w:noWrap w:val="0"/>
            <w:vAlign w:val="center"/>
          </w:tcPr>
          <w:p w14:paraId="7BBDB715">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w:t>
            </w:r>
          </w:p>
          <w:p w14:paraId="61AC5D5C">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管理         </w:t>
            </w:r>
          </w:p>
        </w:tc>
        <w:tc>
          <w:tcPr>
            <w:tcW w:w="8544" w:type="dxa"/>
            <w:gridSpan w:val="2"/>
            <w:tcBorders>
              <w:tl2br w:val="nil"/>
              <w:tr2bl w:val="nil"/>
            </w:tcBorders>
            <w:noWrap w:val="0"/>
            <w:vAlign w:val="center"/>
          </w:tcPr>
          <w:p w14:paraId="1F7C575B">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有</w:t>
            </w:r>
            <w:r>
              <w:rPr>
                <w:rFonts w:hint="eastAsia" w:ascii="宋体" w:hAnsi="宋体" w:eastAsia="宋体" w:cs="宋体"/>
                <w:color w:val="auto"/>
                <w:kern w:val="0"/>
                <w:sz w:val="21"/>
                <w:szCs w:val="21"/>
                <w:highlight w:val="none"/>
              </w:rPr>
              <w:t>制定设备维修、保养的计划；并按计划执行。</w:t>
            </w:r>
          </w:p>
        </w:tc>
        <w:tc>
          <w:tcPr>
            <w:tcW w:w="1011" w:type="dxa"/>
            <w:tcBorders>
              <w:tl2br w:val="nil"/>
              <w:tr2bl w:val="nil"/>
            </w:tcBorders>
            <w:noWrap w:val="0"/>
            <w:vAlign w:val="center"/>
          </w:tcPr>
          <w:p w14:paraId="1049E8FA">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r>
              <w:rPr>
                <w:rFonts w:hint="eastAsia"/>
                <w:color w:val="auto"/>
                <w:highlight w:val="none"/>
                <w:lang w:val="en-US" w:eastAsia="zh-CN"/>
              </w:rPr>
              <w:t>2</w:t>
            </w:r>
            <w:r>
              <w:rPr>
                <w:rFonts w:hint="eastAsia"/>
                <w:color w:val="auto"/>
                <w:highlight w:val="none"/>
              </w:rPr>
              <w:t>分</w:t>
            </w:r>
          </w:p>
        </w:tc>
        <w:tc>
          <w:tcPr>
            <w:tcW w:w="990" w:type="dxa"/>
            <w:tcBorders>
              <w:tl2br w:val="nil"/>
              <w:tr2bl w:val="nil"/>
            </w:tcBorders>
            <w:noWrap w:val="0"/>
            <w:vAlign w:val="top"/>
          </w:tcPr>
          <w:p w14:paraId="73D351F7">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vMerge w:val="restart"/>
            <w:tcBorders>
              <w:tl2br w:val="nil"/>
              <w:tr2bl w:val="nil"/>
            </w:tcBorders>
            <w:noWrap w:val="0"/>
            <w:vAlign w:val="center"/>
          </w:tcPr>
          <w:p w14:paraId="72749F26">
            <w:pPr>
              <w:keepNext w:val="0"/>
              <w:keepLines w:val="0"/>
              <w:pageBreakBefore w:val="0"/>
              <w:kinsoku/>
              <w:wordWrap/>
              <w:overflowPunct/>
              <w:topLinePunct w:val="0"/>
              <w:autoSpaceDE/>
              <w:autoSpaceDN/>
              <w:bidi w:val="0"/>
              <w:adjustRightInd/>
              <w:snapToGrid/>
              <w:spacing w:line="15" w:lineRule="auto"/>
              <w:textAlignment w:val="auto"/>
              <w:rPr>
                <w:rFonts w:hint="eastAsia" w:eastAsia="宋体"/>
                <w:color w:val="auto"/>
                <w:highlight w:val="none"/>
                <w:lang w:eastAsia="zh-CN"/>
              </w:rPr>
            </w:pPr>
          </w:p>
        </w:tc>
      </w:tr>
      <w:tr w14:paraId="10C425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62" w:hRule="atLeast"/>
        </w:trPr>
        <w:tc>
          <w:tcPr>
            <w:tcW w:w="685" w:type="dxa"/>
            <w:vMerge w:val="continue"/>
            <w:tcBorders>
              <w:tl2br w:val="nil"/>
              <w:tr2bl w:val="nil"/>
            </w:tcBorders>
            <w:noWrap w:val="0"/>
            <w:vAlign w:val="center"/>
          </w:tcPr>
          <w:p w14:paraId="000F9644">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center"/>
          </w:tcPr>
          <w:p w14:paraId="74614016">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5E043428">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维修工作不能团结协作，</w:t>
            </w:r>
            <w:r>
              <w:rPr>
                <w:rFonts w:hint="eastAsia" w:ascii="宋体" w:hAnsi="宋体" w:eastAsia="宋体" w:cs="宋体"/>
                <w:color w:val="auto"/>
                <w:kern w:val="0"/>
                <w:sz w:val="21"/>
                <w:szCs w:val="21"/>
                <w:highlight w:val="none"/>
                <w:lang w:eastAsia="zh-CN"/>
              </w:rPr>
              <w:t>不</w:t>
            </w:r>
            <w:r>
              <w:rPr>
                <w:rFonts w:hint="eastAsia" w:ascii="宋体" w:hAnsi="宋体" w:eastAsia="宋体" w:cs="宋体"/>
                <w:color w:val="auto"/>
                <w:kern w:val="0"/>
                <w:sz w:val="21"/>
                <w:szCs w:val="21"/>
                <w:highlight w:val="none"/>
              </w:rPr>
              <w:t>积极配合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设备出现问题推卸责任。</w:t>
            </w:r>
          </w:p>
        </w:tc>
        <w:tc>
          <w:tcPr>
            <w:tcW w:w="1011" w:type="dxa"/>
            <w:tcBorders>
              <w:tl2br w:val="nil"/>
              <w:tr2bl w:val="nil"/>
            </w:tcBorders>
            <w:noWrap w:val="0"/>
            <w:vAlign w:val="center"/>
          </w:tcPr>
          <w:p w14:paraId="23041236">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r>
              <w:rPr>
                <w:rFonts w:hint="eastAsia"/>
                <w:color w:val="auto"/>
                <w:highlight w:val="none"/>
                <w:lang w:val="en-US" w:eastAsia="zh-CN"/>
              </w:rPr>
              <w:t>2</w:t>
            </w:r>
            <w:r>
              <w:rPr>
                <w:rFonts w:hint="eastAsia"/>
                <w:color w:val="auto"/>
                <w:highlight w:val="none"/>
              </w:rPr>
              <w:t>分</w:t>
            </w:r>
          </w:p>
        </w:tc>
        <w:tc>
          <w:tcPr>
            <w:tcW w:w="990" w:type="dxa"/>
            <w:tcBorders>
              <w:tl2br w:val="nil"/>
              <w:tr2bl w:val="nil"/>
            </w:tcBorders>
            <w:noWrap w:val="0"/>
            <w:vAlign w:val="top"/>
          </w:tcPr>
          <w:p w14:paraId="0950CAF4">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vMerge w:val="continue"/>
            <w:tcBorders>
              <w:tl2br w:val="nil"/>
              <w:tr2bl w:val="nil"/>
            </w:tcBorders>
            <w:noWrap w:val="0"/>
            <w:vAlign w:val="center"/>
          </w:tcPr>
          <w:p w14:paraId="61D99B86">
            <w:pPr>
              <w:keepNext w:val="0"/>
              <w:keepLines w:val="0"/>
              <w:pageBreakBefore w:val="0"/>
              <w:kinsoku/>
              <w:wordWrap/>
              <w:overflowPunct/>
              <w:topLinePunct w:val="0"/>
              <w:autoSpaceDE/>
              <w:autoSpaceDN/>
              <w:bidi w:val="0"/>
              <w:adjustRightInd/>
              <w:snapToGrid/>
              <w:spacing w:line="15" w:lineRule="auto"/>
              <w:textAlignment w:val="auto"/>
              <w:rPr>
                <w:color w:val="auto"/>
                <w:highlight w:val="none"/>
              </w:rPr>
            </w:pPr>
          </w:p>
        </w:tc>
      </w:tr>
      <w:tr w14:paraId="031129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42" w:hRule="atLeast"/>
        </w:trPr>
        <w:tc>
          <w:tcPr>
            <w:tcW w:w="685" w:type="dxa"/>
            <w:vMerge w:val="continue"/>
            <w:tcBorders>
              <w:tl2br w:val="nil"/>
              <w:tr2bl w:val="nil"/>
            </w:tcBorders>
            <w:noWrap w:val="0"/>
            <w:vAlign w:val="center"/>
          </w:tcPr>
          <w:p w14:paraId="61F74242">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center"/>
          </w:tcPr>
          <w:p w14:paraId="6A1AB530">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7BC8C1CD">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每天按制度对设备进行检</w:t>
            </w:r>
            <w:r>
              <w:rPr>
                <w:rFonts w:hint="eastAsia" w:ascii="宋体" w:hAnsi="宋体" w:eastAsia="宋体" w:cs="宋体"/>
                <w:color w:val="auto"/>
                <w:kern w:val="0"/>
                <w:sz w:val="21"/>
                <w:szCs w:val="21"/>
                <w:highlight w:val="none"/>
                <w:lang w:eastAsia="zh-CN"/>
              </w:rPr>
              <w:t>查</w:t>
            </w:r>
            <w:r>
              <w:rPr>
                <w:rFonts w:hint="eastAsia" w:ascii="宋体" w:hAnsi="宋体" w:eastAsia="宋体" w:cs="宋体"/>
                <w:color w:val="auto"/>
                <w:kern w:val="0"/>
                <w:sz w:val="21"/>
                <w:szCs w:val="21"/>
                <w:highlight w:val="none"/>
              </w:rPr>
              <w:t>，维修记录完整准确，对日常的维修保养工作不失误，不延误工作进程。</w:t>
            </w:r>
          </w:p>
        </w:tc>
        <w:tc>
          <w:tcPr>
            <w:tcW w:w="1011" w:type="dxa"/>
            <w:tcBorders>
              <w:tl2br w:val="nil"/>
              <w:tr2bl w:val="nil"/>
            </w:tcBorders>
            <w:noWrap w:val="0"/>
            <w:vAlign w:val="center"/>
          </w:tcPr>
          <w:p w14:paraId="2D8E2D2A">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r>
              <w:rPr>
                <w:rFonts w:hint="eastAsia"/>
                <w:color w:val="auto"/>
                <w:highlight w:val="none"/>
                <w:lang w:val="en-US" w:eastAsia="zh-CN"/>
              </w:rPr>
              <w:t>2</w:t>
            </w:r>
            <w:r>
              <w:rPr>
                <w:rFonts w:hint="eastAsia"/>
                <w:color w:val="auto"/>
                <w:highlight w:val="none"/>
              </w:rPr>
              <w:t>分</w:t>
            </w:r>
          </w:p>
        </w:tc>
        <w:tc>
          <w:tcPr>
            <w:tcW w:w="990" w:type="dxa"/>
            <w:tcBorders>
              <w:tl2br w:val="nil"/>
              <w:tr2bl w:val="nil"/>
            </w:tcBorders>
            <w:noWrap w:val="0"/>
            <w:vAlign w:val="top"/>
          </w:tcPr>
          <w:p w14:paraId="21762126">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vMerge w:val="continue"/>
            <w:tcBorders>
              <w:tl2br w:val="nil"/>
              <w:tr2bl w:val="nil"/>
            </w:tcBorders>
            <w:noWrap w:val="0"/>
            <w:vAlign w:val="center"/>
          </w:tcPr>
          <w:p w14:paraId="03C4E522">
            <w:pPr>
              <w:keepNext w:val="0"/>
              <w:keepLines w:val="0"/>
              <w:pageBreakBefore w:val="0"/>
              <w:kinsoku/>
              <w:wordWrap/>
              <w:overflowPunct/>
              <w:topLinePunct w:val="0"/>
              <w:autoSpaceDE/>
              <w:autoSpaceDN/>
              <w:bidi w:val="0"/>
              <w:adjustRightInd/>
              <w:snapToGrid/>
              <w:spacing w:line="15" w:lineRule="auto"/>
              <w:textAlignment w:val="auto"/>
              <w:rPr>
                <w:color w:val="auto"/>
                <w:highlight w:val="none"/>
              </w:rPr>
            </w:pPr>
          </w:p>
        </w:tc>
      </w:tr>
      <w:tr w14:paraId="2E5397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center"/>
          </w:tcPr>
          <w:p w14:paraId="79C22A32">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center"/>
          </w:tcPr>
          <w:p w14:paraId="7117EB0A">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175E254A">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设备完好率≥</w:t>
            </w:r>
            <w:r>
              <w:rPr>
                <w:rFonts w:hint="eastAsia" w:ascii="宋体" w:hAnsi="宋体" w:eastAsia="宋体" w:cs="宋体"/>
                <w:color w:val="auto"/>
                <w:kern w:val="0"/>
                <w:sz w:val="21"/>
                <w:szCs w:val="21"/>
                <w:highlight w:val="none"/>
                <w:lang w:val="en-US" w:eastAsia="zh-CN"/>
              </w:rPr>
              <w:t>80</w:t>
            </w:r>
            <w:r>
              <w:rPr>
                <w:rFonts w:hint="eastAsia" w:ascii="宋体" w:hAnsi="宋体" w:eastAsia="宋体" w:cs="宋体"/>
                <w:color w:val="auto"/>
                <w:kern w:val="0"/>
                <w:sz w:val="21"/>
                <w:szCs w:val="21"/>
                <w:highlight w:val="none"/>
              </w:rPr>
              <w:t>%，主体设备清洁、建立定期设备清洁制度并落实到人</w:t>
            </w:r>
          </w:p>
        </w:tc>
        <w:tc>
          <w:tcPr>
            <w:tcW w:w="1011" w:type="dxa"/>
            <w:tcBorders>
              <w:tl2br w:val="nil"/>
              <w:tr2bl w:val="nil"/>
            </w:tcBorders>
            <w:noWrap w:val="0"/>
            <w:vAlign w:val="center"/>
          </w:tcPr>
          <w:p w14:paraId="4ED9F333">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r>
              <w:rPr>
                <w:rFonts w:hint="eastAsia"/>
                <w:color w:val="auto"/>
                <w:highlight w:val="none"/>
                <w:lang w:val="en-US" w:eastAsia="zh-CN"/>
              </w:rPr>
              <w:t>2</w:t>
            </w:r>
            <w:r>
              <w:rPr>
                <w:rFonts w:hint="eastAsia"/>
                <w:color w:val="auto"/>
                <w:highlight w:val="none"/>
              </w:rPr>
              <w:t>分</w:t>
            </w:r>
          </w:p>
        </w:tc>
        <w:tc>
          <w:tcPr>
            <w:tcW w:w="990" w:type="dxa"/>
            <w:tcBorders>
              <w:tl2br w:val="nil"/>
              <w:tr2bl w:val="nil"/>
            </w:tcBorders>
            <w:noWrap w:val="0"/>
            <w:vAlign w:val="top"/>
          </w:tcPr>
          <w:p w14:paraId="5E640636">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vMerge w:val="continue"/>
            <w:tcBorders>
              <w:tl2br w:val="nil"/>
              <w:tr2bl w:val="nil"/>
            </w:tcBorders>
            <w:noWrap w:val="0"/>
            <w:vAlign w:val="center"/>
          </w:tcPr>
          <w:p w14:paraId="4537E0E0">
            <w:pPr>
              <w:keepNext w:val="0"/>
              <w:keepLines w:val="0"/>
              <w:pageBreakBefore w:val="0"/>
              <w:kinsoku/>
              <w:wordWrap/>
              <w:overflowPunct/>
              <w:topLinePunct w:val="0"/>
              <w:autoSpaceDE/>
              <w:autoSpaceDN/>
              <w:bidi w:val="0"/>
              <w:adjustRightInd/>
              <w:snapToGrid/>
              <w:spacing w:line="15" w:lineRule="auto"/>
              <w:textAlignment w:val="auto"/>
              <w:rPr>
                <w:color w:val="auto"/>
                <w:highlight w:val="none"/>
              </w:rPr>
            </w:pPr>
          </w:p>
        </w:tc>
      </w:tr>
      <w:tr w14:paraId="0E2CBA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center"/>
          </w:tcPr>
          <w:p w14:paraId="57E94D40">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center"/>
          </w:tcPr>
          <w:p w14:paraId="01243497">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648D3501">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电气、设备要符合使用安全操作规范要求，对不符要求的限期整改。</w:t>
            </w:r>
          </w:p>
        </w:tc>
        <w:tc>
          <w:tcPr>
            <w:tcW w:w="1011" w:type="dxa"/>
            <w:tcBorders>
              <w:tl2br w:val="nil"/>
              <w:tr2bl w:val="nil"/>
            </w:tcBorders>
            <w:noWrap w:val="0"/>
            <w:vAlign w:val="center"/>
          </w:tcPr>
          <w:p w14:paraId="2E32366B">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r>
              <w:rPr>
                <w:rFonts w:hint="eastAsia"/>
                <w:color w:val="auto"/>
                <w:highlight w:val="none"/>
                <w:lang w:val="en-US" w:eastAsia="zh-CN"/>
              </w:rPr>
              <w:t>2</w:t>
            </w:r>
            <w:r>
              <w:rPr>
                <w:rFonts w:hint="eastAsia"/>
                <w:color w:val="auto"/>
                <w:highlight w:val="none"/>
              </w:rPr>
              <w:t>分</w:t>
            </w:r>
          </w:p>
        </w:tc>
        <w:tc>
          <w:tcPr>
            <w:tcW w:w="990" w:type="dxa"/>
            <w:tcBorders>
              <w:tl2br w:val="nil"/>
              <w:tr2bl w:val="nil"/>
            </w:tcBorders>
            <w:noWrap w:val="0"/>
            <w:vAlign w:val="top"/>
          </w:tcPr>
          <w:p w14:paraId="5C2C7E2F">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vMerge w:val="continue"/>
            <w:tcBorders>
              <w:tl2br w:val="nil"/>
              <w:tr2bl w:val="nil"/>
            </w:tcBorders>
            <w:noWrap w:val="0"/>
            <w:vAlign w:val="center"/>
          </w:tcPr>
          <w:p w14:paraId="123A554C">
            <w:pPr>
              <w:keepNext w:val="0"/>
              <w:keepLines w:val="0"/>
              <w:pageBreakBefore w:val="0"/>
              <w:kinsoku/>
              <w:wordWrap/>
              <w:overflowPunct/>
              <w:topLinePunct w:val="0"/>
              <w:autoSpaceDE/>
              <w:autoSpaceDN/>
              <w:bidi w:val="0"/>
              <w:adjustRightInd/>
              <w:snapToGrid/>
              <w:spacing w:line="15" w:lineRule="auto"/>
              <w:textAlignment w:val="auto"/>
              <w:rPr>
                <w:color w:val="auto"/>
                <w:highlight w:val="none"/>
              </w:rPr>
            </w:pPr>
          </w:p>
        </w:tc>
      </w:tr>
      <w:tr w14:paraId="0B535D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restart"/>
            <w:tcBorders>
              <w:tl2br w:val="nil"/>
              <w:tr2bl w:val="nil"/>
            </w:tcBorders>
            <w:noWrap w:val="0"/>
            <w:vAlign w:val="center"/>
          </w:tcPr>
          <w:p w14:paraId="70D1CE49">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lang w:val="en-US" w:eastAsia="zh-CN"/>
              </w:rPr>
            </w:pPr>
          </w:p>
          <w:p w14:paraId="1A1BAE36">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lang w:val="en-US" w:eastAsia="zh-CN"/>
              </w:rPr>
            </w:pPr>
          </w:p>
          <w:p w14:paraId="31CE201D">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lang w:val="en-US" w:eastAsia="zh-CN"/>
              </w:rPr>
            </w:pPr>
            <w:r>
              <w:rPr>
                <w:rFonts w:hint="eastAsia"/>
                <w:color w:val="auto"/>
                <w:highlight w:val="none"/>
                <w:lang w:val="en-US" w:eastAsia="zh-CN"/>
              </w:rPr>
              <w:t>2</w:t>
            </w:r>
          </w:p>
          <w:p w14:paraId="54CA827C">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lang w:val="en-US" w:eastAsia="zh-CN"/>
              </w:rPr>
            </w:pPr>
          </w:p>
          <w:p w14:paraId="2BBE0468">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lang w:val="en-US" w:eastAsia="zh-CN"/>
              </w:rPr>
            </w:pPr>
          </w:p>
          <w:p w14:paraId="6628A421">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lang w:val="en-US" w:eastAsia="zh-CN"/>
              </w:rPr>
            </w:pPr>
          </w:p>
          <w:p w14:paraId="14EC85A1">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lang w:val="en-US" w:eastAsia="zh-CN"/>
              </w:rPr>
            </w:pPr>
          </w:p>
          <w:p w14:paraId="48DDBCA7">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eastAsia="宋体"/>
                <w:color w:val="auto"/>
                <w:highlight w:val="none"/>
                <w:lang w:val="en-US" w:eastAsia="zh-CN"/>
              </w:rPr>
            </w:pPr>
          </w:p>
        </w:tc>
        <w:tc>
          <w:tcPr>
            <w:tcW w:w="1085" w:type="dxa"/>
            <w:vMerge w:val="restart"/>
            <w:tcBorders>
              <w:tl2br w:val="nil"/>
              <w:tr2bl w:val="nil"/>
            </w:tcBorders>
            <w:noWrap w:val="0"/>
            <w:vAlign w:val="center"/>
          </w:tcPr>
          <w:p w14:paraId="7292697F">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供电设备</w:t>
            </w:r>
            <w:r>
              <w:rPr>
                <w:rFonts w:hint="eastAsia" w:ascii="宋体" w:hAnsi="宋体" w:eastAsia="宋体" w:cs="宋体"/>
                <w:color w:val="auto"/>
                <w:kern w:val="0"/>
                <w:sz w:val="21"/>
                <w:szCs w:val="21"/>
                <w:highlight w:val="none"/>
              </w:rPr>
              <w:t xml:space="preserve">管理   </w:t>
            </w:r>
          </w:p>
        </w:tc>
        <w:tc>
          <w:tcPr>
            <w:tcW w:w="8544" w:type="dxa"/>
            <w:gridSpan w:val="2"/>
            <w:tcBorders>
              <w:tl2br w:val="nil"/>
              <w:tr2bl w:val="nil"/>
            </w:tcBorders>
            <w:noWrap w:val="0"/>
            <w:vAlign w:val="center"/>
          </w:tcPr>
          <w:p w14:paraId="0A7D84FE">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根据</w:t>
            </w:r>
            <w:r>
              <w:rPr>
                <w:rFonts w:hint="eastAsia" w:ascii="宋体" w:hAnsi="宋体" w:eastAsia="宋体" w:cs="宋体"/>
                <w:color w:val="auto"/>
                <w:kern w:val="0"/>
                <w:sz w:val="21"/>
                <w:szCs w:val="21"/>
                <w:highlight w:val="none"/>
                <w:lang w:eastAsia="zh-CN"/>
              </w:rPr>
              <w:t>高压供电设备管理规定时间定时巡查并做好巡查记录</w:t>
            </w:r>
            <w:r>
              <w:rPr>
                <w:rFonts w:hint="eastAsia" w:ascii="宋体" w:hAnsi="宋体" w:eastAsia="宋体" w:cs="宋体"/>
                <w:color w:val="auto"/>
                <w:kern w:val="0"/>
                <w:sz w:val="21"/>
                <w:szCs w:val="21"/>
                <w:highlight w:val="none"/>
              </w:rPr>
              <w:t>。</w:t>
            </w:r>
          </w:p>
        </w:tc>
        <w:tc>
          <w:tcPr>
            <w:tcW w:w="1011" w:type="dxa"/>
            <w:tcBorders>
              <w:tl2br w:val="nil"/>
              <w:tr2bl w:val="nil"/>
            </w:tcBorders>
            <w:noWrap w:val="0"/>
            <w:vAlign w:val="center"/>
          </w:tcPr>
          <w:p w14:paraId="29586D09">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r>
              <w:rPr>
                <w:rFonts w:hint="eastAsia"/>
                <w:color w:val="auto"/>
                <w:highlight w:val="none"/>
              </w:rPr>
              <w:t>5分</w:t>
            </w:r>
          </w:p>
        </w:tc>
        <w:tc>
          <w:tcPr>
            <w:tcW w:w="990" w:type="dxa"/>
            <w:tcBorders>
              <w:tl2br w:val="nil"/>
              <w:tr2bl w:val="nil"/>
            </w:tcBorders>
            <w:noWrap w:val="0"/>
            <w:vAlign w:val="top"/>
          </w:tcPr>
          <w:p w14:paraId="7DE408D9">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vMerge w:val="restart"/>
            <w:tcBorders>
              <w:tl2br w:val="nil"/>
              <w:tr2bl w:val="nil"/>
            </w:tcBorders>
            <w:noWrap w:val="0"/>
            <w:vAlign w:val="center"/>
          </w:tcPr>
          <w:p w14:paraId="50D6C656">
            <w:pPr>
              <w:keepNext w:val="0"/>
              <w:keepLines w:val="0"/>
              <w:pageBreakBefore w:val="0"/>
              <w:kinsoku/>
              <w:wordWrap/>
              <w:overflowPunct/>
              <w:topLinePunct w:val="0"/>
              <w:autoSpaceDE/>
              <w:autoSpaceDN/>
              <w:bidi w:val="0"/>
              <w:adjustRightInd/>
              <w:snapToGrid/>
              <w:spacing w:line="15" w:lineRule="auto"/>
              <w:textAlignment w:val="auto"/>
              <w:rPr>
                <w:rFonts w:hint="eastAsia" w:eastAsia="宋体"/>
                <w:color w:val="auto"/>
                <w:highlight w:val="none"/>
                <w:lang w:eastAsia="zh-CN"/>
              </w:rPr>
            </w:pPr>
          </w:p>
        </w:tc>
      </w:tr>
      <w:tr w14:paraId="743913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center"/>
          </w:tcPr>
          <w:p w14:paraId="4EECD736">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center"/>
          </w:tcPr>
          <w:p w14:paraId="32EE3B71">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05C9EF77">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每周打扫配电房一次，每月检查切换一次双电源，并记录《设备定期启动表》</w:t>
            </w:r>
            <w:r>
              <w:rPr>
                <w:rFonts w:hint="eastAsia" w:ascii="宋体" w:hAnsi="宋体" w:eastAsia="宋体" w:cs="宋体"/>
                <w:color w:val="auto"/>
                <w:kern w:val="0"/>
                <w:sz w:val="21"/>
                <w:szCs w:val="21"/>
                <w:highlight w:val="none"/>
              </w:rPr>
              <w:t>。</w:t>
            </w:r>
          </w:p>
        </w:tc>
        <w:tc>
          <w:tcPr>
            <w:tcW w:w="1011" w:type="dxa"/>
            <w:tcBorders>
              <w:tl2br w:val="nil"/>
              <w:tr2bl w:val="nil"/>
            </w:tcBorders>
            <w:noWrap w:val="0"/>
            <w:vAlign w:val="center"/>
          </w:tcPr>
          <w:p w14:paraId="42F6CEC7">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r>
              <w:rPr>
                <w:rFonts w:hint="eastAsia"/>
                <w:color w:val="auto"/>
                <w:highlight w:val="none"/>
              </w:rPr>
              <w:t>5分</w:t>
            </w:r>
          </w:p>
        </w:tc>
        <w:tc>
          <w:tcPr>
            <w:tcW w:w="990" w:type="dxa"/>
            <w:tcBorders>
              <w:tl2br w:val="nil"/>
              <w:tr2bl w:val="nil"/>
            </w:tcBorders>
            <w:noWrap w:val="0"/>
            <w:vAlign w:val="top"/>
          </w:tcPr>
          <w:p w14:paraId="66236BD3">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vMerge w:val="continue"/>
            <w:tcBorders>
              <w:tl2br w:val="nil"/>
              <w:tr2bl w:val="nil"/>
            </w:tcBorders>
            <w:noWrap w:val="0"/>
            <w:vAlign w:val="center"/>
          </w:tcPr>
          <w:p w14:paraId="430E58C9">
            <w:pPr>
              <w:keepNext w:val="0"/>
              <w:keepLines w:val="0"/>
              <w:pageBreakBefore w:val="0"/>
              <w:kinsoku/>
              <w:wordWrap/>
              <w:overflowPunct/>
              <w:topLinePunct w:val="0"/>
              <w:autoSpaceDE/>
              <w:autoSpaceDN/>
              <w:bidi w:val="0"/>
              <w:adjustRightInd/>
              <w:snapToGrid/>
              <w:spacing w:line="15" w:lineRule="auto"/>
              <w:textAlignment w:val="auto"/>
              <w:rPr>
                <w:color w:val="auto"/>
                <w:highlight w:val="none"/>
              </w:rPr>
            </w:pPr>
          </w:p>
        </w:tc>
      </w:tr>
      <w:tr w14:paraId="2D4799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center"/>
          </w:tcPr>
          <w:p w14:paraId="4D73671F">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center"/>
          </w:tcPr>
          <w:p w14:paraId="21DD0C08">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3F3118E9">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供电设施发生异常和故障及时报告，并在《设备故障记录表》中记录，按操作规程排除异常和故障</w:t>
            </w:r>
            <w:r>
              <w:rPr>
                <w:rFonts w:hint="eastAsia" w:ascii="宋体" w:hAnsi="宋体" w:eastAsia="宋体" w:cs="宋体"/>
                <w:color w:val="auto"/>
                <w:kern w:val="0"/>
                <w:sz w:val="21"/>
                <w:szCs w:val="21"/>
                <w:highlight w:val="none"/>
              </w:rPr>
              <w:t>。</w:t>
            </w:r>
          </w:p>
        </w:tc>
        <w:tc>
          <w:tcPr>
            <w:tcW w:w="1011" w:type="dxa"/>
            <w:tcBorders>
              <w:tl2br w:val="nil"/>
              <w:tr2bl w:val="nil"/>
            </w:tcBorders>
            <w:noWrap w:val="0"/>
            <w:vAlign w:val="center"/>
          </w:tcPr>
          <w:p w14:paraId="639F4AA7">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color w:val="auto"/>
                <w:highlight w:val="none"/>
              </w:rPr>
              <w:t>5分</w:t>
            </w:r>
          </w:p>
        </w:tc>
        <w:tc>
          <w:tcPr>
            <w:tcW w:w="990" w:type="dxa"/>
            <w:tcBorders>
              <w:tl2br w:val="nil"/>
              <w:tr2bl w:val="nil"/>
            </w:tcBorders>
            <w:noWrap w:val="0"/>
            <w:vAlign w:val="top"/>
          </w:tcPr>
          <w:p w14:paraId="117FBBEC">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12AEE216">
            <w:pPr>
              <w:keepNext w:val="0"/>
              <w:keepLines w:val="0"/>
              <w:pageBreakBefore w:val="0"/>
              <w:kinsoku/>
              <w:wordWrap/>
              <w:overflowPunct/>
              <w:topLinePunct w:val="0"/>
              <w:autoSpaceDE/>
              <w:autoSpaceDN/>
              <w:bidi w:val="0"/>
              <w:adjustRightInd/>
              <w:snapToGrid/>
              <w:spacing w:line="15" w:lineRule="auto"/>
              <w:textAlignment w:val="auto"/>
              <w:rPr>
                <w:color w:val="auto"/>
                <w:highlight w:val="none"/>
              </w:rPr>
            </w:pPr>
          </w:p>
        </w:tc>
      </w:tr>
      <w:tr w14:paraId="3B7967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center"/>
          </w:tcPr>
          <w:p w14:paraId="0D962898">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center"/>
          </w:tcPr>
          <w:p w14:paraId="38D10295">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548BB32F">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供电设备维修工作做好记录于《房屋，设施，设备维修记录表》内</w:t>
            </w:r>
            <w:r>
              <w:rPr>
                <w:rFonts w:hint="eastAsia" w:ascii="宋体" w:hAnsi="宋体" w:eastAsia="宋体" w:cs="宋体"/>
                <w:color w:val="auto"/>
                <w:kern w:val="0"/>
                <w:sz w:val="21"/>
                <w:szCs w:val="21"/>
                <w:highlight w:val="none"/>
              </w:rPr>
              <w:t>。</w:t>
            </w:r>
          </w:p>
        </w:tc>
        <w:tc>
          <w:tcPr>
            <w:tcW w:w="1011" w:type="dxa"/>
            <w:tcBorders>
              <w:tl2br w:val="nil"/>
              <w:tr2bl w:val="nil"/>
            </w:tcBorders>
            <w:noWrap w:val="0"/>
            <w:vAlign w:val="center"/>
          </w:tcPr>
          <w:p w14:paraId="5F075F52">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r>
              <w:rPr>
                <w:rFonts w:hint="eastAsia"/>
                <w:color w:val="auto"/>
                <w:highlight w:val="none"/>
              </w:rPr>
              <w:t>5分</w:t>
            </w:r>
          </w:p>
        </w:tc>
        <w:tc>
          <w:tcPr>
            <w:tcW w:w="990" w:type="dxa"/>
            <w:tcBorders>
              <w:tl2br w:val="nil"/>
              <w:tr2bl w:val="nil"/>
            </w:tcBorders>
            <w:noWrap w:val="0"/>
            <w:vAlign w:val="top"/>
          </w:tcPr>
          <w:p w14:paraId="62AB0155">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5B0B6E24">
            <w:pPr>
              <w:keepNext w:val="0"/>
              <w:keepLines w:val="0"/>
              <w:pageBreakBefore w:val="0"/>
              <w:kinsoku/>
              <w:wordWrap/>
              <w:overflowPunct/>
              <w:topLinePunct w:val="0"/>
              <w:autoSpaceDE/>
              <w:autoSpaceDN/>
              <w:bidi w:val="0"/>
              <w:adjustRightInd/>
              <w:snapToGrid/>
              <w:spacing w:line="15" w:lineRule="auto"/>
              <w:textAlignment w:val="auto"/>
              <w:rPr>
                <w:rFonts w:hint="eastAsia" w:eastAsia="宋体"/>
                <w:color w:val="auto"/>
                <w:highlight w:val="none"/>
                <w:lang w:eastAsia="zh-CN"/>
              </w:rPr>
            </w:pPr>
          </w:p>
        </w:tc>
      </w:tr>
      <w:tr w14:paraId="3D714A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287EBF42">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top"/>
          </w:tcPr>
          <w:p w14:paraId="2AE751B5">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325BA133">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设备故障换下来配件、5天内修复好备用，并能降低维修费用</w:t>
            </w:r>
            <w:r>
              <w:rPr>
                <w:rFonts w:hint="eastAsia" w:ascii="宋体" w:hAnsi="宋体" w:eastAsia="宋体" w:cs="宋体"/>
                <w:color w:val="auto"/>
                <w:kern w:val="0"/>
                <w:sz w:val="21"/>
                <w:szCs w:val="21"/>
                <w:highlight w:val="none"/>
                <w:lang w:eastAsia="zh-CN"/>
              </w:rPr>
              <w:t>，该购买的及时申请购买</w:t>
            </w:r>
            <w:r>
              <w:rPr>
                <w:rFonts w:hint="eastAsia" w:ascii="宋体" w:hAnsi="宋体" w:eastAsia="宋体" w:cs="宋体"/>
                <w:color w:val="auto"/>
                <w:kern w:val="0"/>
                <w:sz w:val="21"/>
                <w:szCs w:val="21"/>
                <w:highlight w:val="none"/>
              </w:rPr>
              <w:t>。</w:t>
            </w:r>
          </w:p>
        </w:tc>
        <w:tc>
          <w:tcPr>
            <w:tcW w:w="1011" w:type="dxa"/>
            <w:tcBorders>
              <w:tl2br w:val="nil"/>
              <w:tr2bl w:val="nil"/>
            </w:tcBorders>
            <w:noWrap w:val="0"/>
            <w:vAlign w:val="center"/>
          </w:tcPr>
          <w:p w14:paraId="25BF357E">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r>
              <w:rPr>
                <w:rFonts w:hint="eastAsia"/>
                <w:color w:val="auto"/>
                <w:highlight w:val="none"/>
              </w:rPr>
              <w:t>5分</w:t>
            </w:r>
          </w:p>
        </w:tc>
        <w:tc>
          <w:tcPr>
            <w:tcW w:w="990" w:type="dxa"/>
            <w:tcBorders>
              <w:tl2br w:val="nil"/>
              <w:tr2bl w:val="nil"/>
            </w:tcBorders>
            <w:noWrap w:val="0"/>
            <w:vAlign w:val="top"/>
          </w:tcPr>
          <w:p w14:paraId="7551D23D">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0AB7F699">
            <w:pPr>
              <w:keepNext w:val="0"/>
              <w:keepLines w:val="0"/>
              <w:pageBreakBefore w:val="0"/>
              <w:kinsoku/>
              <w:wordWrap/>
              <w:overflowPunct/>
              <w:topLinePunct w:val="0"/>
              <w:autoSpaceDE/>
              <w:autoSpaceDN/>
              <w:bidi w:val="0"/>
              <w:adjustRightInd/>
              <w:snapToGrid/>
              <w:spacing w:line="15" w:lineRule="auto"/>
              <w:textAlignment w:val="auto"/>
              <w:rPr>
                <w:rFonts w:hint="eastAsia" w:eastAsia="宋体"/>
                <w:color w:val="auto"/>
                <w:highlight w:val="none"/>
                <w:lang w:eastAsia="zh-CN"/>
              </w:rPr>
            </w:pPr>
          </w:p>
        </w:tc>
      </w:tr>
      <w:tr w14:paraId="2C0D27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restart"/>
            <w:tcBorders>
              <w:tl2br w:val="nil"/>
              <w:tr2bl w:val="nil"/>
            </w:tcBorders>
            <w:noWrap w:val="0"/>
            <w:vAlign w:val="top"/>
          </w:tcPr>
          <w:p w14:paraId="25E47FD2">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lang w:val="en-US" w:eastAsia="zh-CN"/>
              </w:rPr>
            </w:pPr>
          </w:p>
          <w:p w14:paraId="593C21F5">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lang w:val="en-US" w:eastAsia="zh-CN"/>
              </w:rPr>
            </w:pPr>
          </w:p>
          <w:p w14:paraId="18470428">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lang w:val="en-US" w:eastAsia="zh-CN"/>
              </w:rPr>
            </w:pPr>
          </w:p>
          <w:p w14:paraId="2E2985EB">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lang w:val="en-US" w:eastAsia="zh-CN"/>
              </w:rPr>
            </w:pPr>
          </w:p>
          <w:p w14:paraId="246939BD">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eastAsia="宋体"/>
                <w:color w:val="auto"/>
                <w:highlight w:val="none"/>
                <w:lang w:val="en-US" w:eastAsia="zh-CN"/>
              </w:rPr>
            </w:pPr>
            <w:r>
              <w:rPr>
                <w:rFonts w:hint="eastAsia"/>
                <w:color w:val="auto"/>
                <w:highlight w:val="none"/>
                <w:lang w:val="en-US" w:eastAsia="zh-CN"/>
              </w:rPr>
              <w:t>3</w:t>
            </w:r>
          </w:p>
        </w:tc>
        <w:tc>
          <w:tcPr>
            <w:tcW w:w="1085" w:type="dxa"/>
            <w:vMerge w:val="restart"/>
            <w:tcBorders>
              <w:tl2br w:val="nil"/>
              <w:tr2bl w:val="nil"/>
            </w:tcBorders>
            <w:noWrap w:val="0"/>
            <w:vAlign w:val="center"/>
          </w:tcPr>
          <w:p w14:paraId="4DD6112C">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w:t>
            </w:r>
          </w:p>
          <w:p w14:paraId="54810DAF">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管理  </w:t>
            </w:r>
          </w:p>
        </w:tc>
        <w:tc>
          <w:tcPr>
            <w:tcW w:w="8544" w:type="dxa"/>
            <w:gridSpan w:val="2"/>
            <w:tcBorders>
              <w:tl2br w:val="nil"/>
              <w:tr2bl w:val="nil"/>
            </w:tcBorders>
            <w:noWrap w:val="0"/>
            <w:vAlign w:val="center"/>
          </w:tcPr>
          <w:p w14:paraId="792343A9">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凡是因工作失误、巡检不到位发生设备事故的（设备非正常损坏，电机非正常损坏，发生设备事故要在24小时内上报）</w:t>
            </w:r>
          </w:p>
        </w:tc>
        <w:tc>
          <w:tcPr>
            <w:tcW w:w="1011" w:type="dxa"/>
            <w:tcBorders>
              <w:tl2br w:val="nil"/>
              <w:tr2bl w:val="nil"/>
            </w:tcBorders>
            <w:noWrap w:val="0"/>
            <w:vAlign w:val="center"/>
          </w:tcPr>
          <w:p w14:paraId="0495CB86">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color w:val="auto"/>
                <w:highlight w:val="none"/>
                <w:lang w:val="en-US" w:eastAsia="zh-CN"/>
              </w:rPr>
              <w:t>5</w:t>
            </w:r>
            <w:r>
              <w:rPr>
                <w:rFonts w:hint="eastAsia"/>
                <w:color w:val="auto"/>
                <w:highlight w:val="none"/>
              </w:rPr>
              <w:t>分</w:t>
            </w:r>
          </w:p>
        </w:tc>
        <w:tc>
          <w:tcPr>
            <w:tcW w:w="990" w:type="dxa"/>
            <w:tcBorders>
              <w:tl2br w:val="nil"/>
              <w:tr2bl w:val="nil"/>
            </w:tcBorders>
            <w:noWrap w:val="0"/>
            <w:vAlign w:val="top"/>
          </w:tcPr>
          <w:p w14:paraId="7568F087">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1A0A392F">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2D0980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3BCFCABD">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top"/>
          </w:tcPr>
          <w:p w14:paraId="0B5F29E4">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794EACA2">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发生人员安全事故，不按安全规定作业。每发生一次事故（发生人身伤害事故要在24小时内上报）</w:t>
            </w:r>
          </w:p>
        </w:tc>
        <w:tc>
          <w:tcPr>
            <w:tcW w:w="1011" w:type="dxa"/>
            <w:tcBorders>
              <w:tl2br w:val="nil"/>
              <w:tr2bl w:val="nil"/>
            </w:tcBorders>
            <w:noWrap w:val="0"/>
            <w:vAlign w:val="center"/>
          </w:tcPr>
          <w:p w14:paraId="296CDB7D">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color w:val="auto"/>
                <w:highlight w:val="none"/>
                <w:lang w:val="en-US" w:eastAsia="zh-CN"/>
              </w:rPr>
              <w:t>5</w:t>
            </w:r>
            <w:r>
              <w:rPr>
                <w:rFonts w:hint="eastAsia"/>
                <w:color w:val="auto"/>
                <w:highlight w:val="none"/>
              </w:rPr>
              <w:t>分</w:t>
            </w:r>
          </w:p>
        </w:tc>
        <w:tc>
          <w:tcPr>
            <w:tcW w:w="990" w:type="dxa"/>
            <w:tcBorders>
              <w:tl2br w:val="nil"/>
              <w:tr2bl w:val="nil"/>
            </w:tcBorders>
            <w:noWrap w:val="0"/>
            <w:vAlign w:val="top"/>
          </w:tcPr>
          <w:p w14:paraId="4205C0E9">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770192FD">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049CB6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162734FC">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top"/>
          </w:tcPr>
          <w:p w14:paraId="6375D1FB">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0F88AA0F">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 xml:space="preserve">设备不安全隐患整改率100% </w:t>
            </w:r>
          </w:p>
        </w:tc>
        <w:tc>
          <w:tcPr>
            <w:tcW w:w="1011" w:type="dxa"/>
            <w:tcBorders>
              <w:tl2br w:val="nil"/>
              <w:tr2bl w:val="nil"/>
            </w:tcBorders>
            <w:noWrap w:val="0"/>
            <w:vAlign w:val="center"/>
          </w:tcPr>
          <w:p w14:paraId="591CDBFF">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rPr>
              <w:t>2分</w:t>
            </w:r>
          </w:p>
        </w:tc>
        <w:tc>
          <w:tcPr>
            <w:tcW w:w="990" w:type="dxa"/>
            <w:tcBorders>
              <w:tl2br w:val="nil"/>
              <w:tr2bl w:val="nil"/>
            </w:tcBorders>
            <w:noWrap w:val="0"/>
            <w:vAlign w:val="top"/>
          </w:tcPr>
          <w:p w14:paraId="45CE03FE">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33A7F24A">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3A324F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02039D6E">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top"/>
          </w:tcPr>
          <w:p w14:paraId="67BAC81D">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12E0AC2A">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每月组织设备维修人员参加安全教育培训一次。</w:t>
            </w:r>
          </w:p>
        </w:tc>
        <w:tc>
          <w:tcPr>
            <w:tcW w:w="1011" w:type="dxa"/>
            <w:tcBorders>
              <w:tl2br w:val="nil"/>
              <w:tr2bl w:val="nil"/>
            </w:tcBorders>
            <w:noWrap w:val="0"/>
            <w:vAlign w:val="center"/>
          </w:tcPr>
          <w:p w14:paraId="6621E689">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rPr>
              <w:t>2分</w:t>
            </w:r>
          </w:p>
        </w:tc>
        <w:tc>
          <w:tcPr>
            <w:tcW w:w="990" w:type="dxa"/>
            <w:tcBorders>
              <w:tl2br w:val="nil"/>
              <w:tr2bl w:val="nil"/>
            </w:tcBorders>
            <w:noWrap w:val="0"/>
            <w:vAlign w:val="top"/>
          </w:tcPr>
          <w:p w14:paraId="14AA894D">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30C6A8F2">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2F90A5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35E40A23">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top"/>
          </w:tcPr>
          <w:p w14:paraId="7BF8677B">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5016BC24">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对发生设备事故，要按照“四不放过”原则由发生事故部门上报处理。</w:t>
            </w:r>
          </w:p>
        </w:tc>
        <w:tc>
          <w:tcPr>
            <w:tcW w:w="1011" w:type="dxa"/>
            <w:tcBorders>
              <w:tl2br w:val="nil"/>
              <w:tr2bl w:val="nil"/>
            </w:tcBorders>
            <w:noWrap w:val="0"/>
            <w:vAlign w:val="center"/>
          </w:tcPr>
          <w:p w14:paraId="4364C6AB">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rPr>
              <w:t>2分</w:t>
            </w:r>
          </w:p>
        </w:tc>
        <w:tc>
          <w:tcPr>
            <w:tcW w:w="990" w:type="dxa"/>
            <w:tcBorders>
              <w:tl2br w:val="nil"/>
              <w:tr2bl w:val="nil"/>
            </w:tcBorders>
            <w:noWrap w:val="0"/>
            <w:vAlign w:val="top"/>
          </w:tcPr>
          <w:p w14:paraId="529FE0A7">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552207FD">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4F8E71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restart"/>
            <w:tcBorders>
              <w:tl2br w:val="nil"/>
              <w:tr2bl w:val="nil"/>
            </w:tcBorders>
            <w:noWrap w:val="0"/>
            <w:vAlign w:val="top"/>
          </w:tcPr>
          <w:p w14:paraId="0C85C754">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p w14:paraId="3661FF97">
            <w:pPr>
              <w:pStyle w:val="6"/>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p w14:paraId="1D53BEE1">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eastAsia="宋体"/>
                <w:color w:val="auto"/>
                <w:highlight w:val="none"/>
                <w:lang w:val="en-US" w:eastAsia="zh-CN"/>
              </w:rPr>
            </w:pPr>
            <w:r>
              <w:rPr>
                <w:rFonts w:hint="eastAsia"/>
                <w:color w:val="auto"/>
                <w:highlight w:val="none"/>
                <w:lang w:val="en-US" w:eastAsia="zh-CN"/>
              </w:rPr>
              <w:t>4</w:t>
            </w:r>
          </w:p>
        </w:tc>
        <w:tc>
          <w:tcPr>
            <w:tcW w:w="1085" w:type="dxa"/>
            <w:vMerge w:val="restart"/>
            <w:tcBorders>
              <w:tl2br w:val="nil"/>
              <w:tr2bl w:val="nil"/>
            </w:tcBorders>
            <w:noWrap w:val="0"/>
            <w:vAlign w:val="center"/>
          </w:tcPr>
          <w:p w14:paraId="7351DE41">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kern w:val="0"/>
                <w:sz w:val="21"/>
                <w:szCs w:val="21"/>
                <w:highlight w:val="none"/>
                <w:lang w:eastAsia="zh-CN"/>
              </w:rPr>
            </w:pPr>
          </w:p>
          <w:p w14:paraId="7EE1F56D">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kern w:val="0"/>
                <w:sz w:val="21"/>
                <w:szCs w:val="21"/>
                <w:highlight w:val="none"/>
                <w:lang w:eastAsia="zh-CN"/>
              </w:rPr>
            </w:pPr>
          </w:p>
          <w:p w14:paraId="6FCC9800">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kern w:val="0"/>
                <w:sz w:val="21"/>
                <w:szCs w:val="21"/>
                <w:highlight w:val="none"/>
                <w:lang w:eastAsia="zh-CN"/>
              </w:rPr>
            </w:pPr>
          </w:p>
          <w:p w14:paraId="66F88A7B">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消防及给水设施</w:t>
            </w:r>
            <w:r>
              <w:rPr>
                <w:rFonts w:hint="eastAsia" w:ascii="宋体" w:hAnsi="宋体" w:eastAsia="宋体" w:cs="宋体"/>
                <w:color w:val="auto"/>
                <w:kern w:val="0"/>
                <w:sz w:val="21"/>
                <w:szCs w:val="21"/>
                <w:highlight w:val="none"/>
              </w:rPr>
              <w:t>管理</w:t>
            </w:r>
          </w:p>
        </w:tc>
        <w:tc>
          <w:tcPr>
            <w:tcW w:w="8544" w:type="dxa"/>
            <w:gridSpan w:val="2"/>
            <w:tcBorders>
              <w:tl2br w:val="nil"/>
              <w:tr2bl w:val="nil"/>
            </w:tcBorders>
            <w:noWrap w:val="0"/>
            <w:vAlign w:val="center"/>
          </w:tcPr>
          <w:p w14:paraId="2B5B0131">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日常巡查每日一次并记录《巡查记录本》中，发现问题及时报告处理</w:t>
            </w:r>
            <w:r>
              <w:rPr>
                <w:rFonts w:hint="eastAsia" w:ascii="宋体" w:hAnsi="宋体" w:eastAsia="宋体" w:cs="宋体"/>
                <w:color w:val="auto"/>
                <w:kern w:val="0"/>
                <w:sz w:val="21"/>
                <w:szCs w:val="21"/>
                <w:highlight w:val="none"/>
              </w:rPr>
              <w:t>。</w:t>
            </w:r>
          </w:p>
        </w:tc>
        <w:tc>
          <w:tcPr>
            <w:tcW w:w="1011" w:type="dxa"/>
            <w:tcBorders>
              <w:tl2br w:val="nil"/>
              <w:tr2bl w:val="nil"/>
            </w:tcBorders>
            <w:noWrap w:val="0"/>
            <w:vAlign w:val="center"/>
          </w:tcPr>
          <w:p w14:paraId="32DBF844">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rPr>
              <w:t>2分</w:t>
            </w:r>
          </w:p>
        </w:tc>
        <w:tc>
          <w:tcPr>
            <w:tcW w:w="990" w:type="dxa"/>
            <w:tcBorders>
              <w:tl2br w:val="nil"/>
              <w:tr2bl w:val="nil"/>
            </w:tcBorders>
            <w:noWrap w:val="0"/>
            <w:vAlign w:val="top"/>
          </w:tcPr>
          <w:p w14:paraId="2E45725C">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5CB4D101">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64556C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37BAB87A">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top"/>
          </w:tcPr>
          <w:p w14:paraId="1BEA6CA8">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5FA19CA5">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设备发生故障，维修人员</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分钟没有到现场处理。</w:t>
            </w:r>
          </w:p>
        </w:tc>
        <w:tc>
          <w:tcPr>
            <w:tcW w:w="1011" w:type="dxa"/>
            <w:tcBorders>
              <w:tl2br w:val="nil"/>
              <w:tr2bl w:val="nil"/>
            </w:tcBorders>
            <w:noWrap w:val="0"/>
            <w:vAlign w:val="center"/>
          </w:tcPr>
          <w:p w14:paraId="59F3D84D">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990" w:type="dxa"/>
            <w:tcBorders>
              <w:tl2br w:val="nil"/>
              <w:tr2bl w:val="nil"/>
            </w:tcBorders>
            <w:noWrap w:val="0"/>
            <w:vAlign w:val="top"/>
          </w:tcPr>
          <w:p w14:paraId="3D192B11">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46B3A20D">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35A493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1932227E">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top"/>
          </w:tcPr>
          <w:p w14:paraId="0B4D7A63">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02E19F6A">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抢修要及时、快速，抢修不及时或拖延时间影响</w:t>
            </w:r>
            <w:r>
              <w:rPr>
                <w:rFonts w:hint="eastAsia" w:ascii="宋体" w:hAnsi="宋体" w:eastAsia="宋体" w:cs="宋体"/>
                <w:color w:val="auto"/>
                <w:kern w:val="0"/>
                <w:sz w:val="21"/>
                <w:szCs w:val="21"/>
                <w:highlight w:val="none"/>
                <w:lang w:eastAsia="zh-CN"/>
              </w:rPr>
              <w:t>使用的</w:t>
            </w:r>
          </w:p>
        </w:tc>
        <w:tc>
          <w:tcPr>
            <w:tcW w:w="1011" w:type="dxa"/>
            <w:tcBorders>
              <w:tl2br w:val="nil"/>
              <w:tr2bl w:val="nil"/>
            </w:tcBorders>
            <w:noWrap w:val="0"/>
            <w:vAlign w:val="center"/>
          </w:tcPr>
          <w:p w14:paraId="33D26AAF">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990" w:type="dxa"/>
            <w:tcBorders>
              <w:tl2br w:val="nil"/>
              <w:tr2bl w:val="nil"/>
            </w:tcBorders>
            <w:noWrap w:val="0"/>
            <w:vAlign w:val="top"/>
          </w:tcPr>
          <w:p w14:paraId="7ED04B98">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5060DF81">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4AF4BE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7ED41974">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top"/>
          </w:tcPr>
          <w:p w14:paraId="1FBFAA70">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197E2201">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加强设备现场维护管理，杜绝跑、冒、滴、漏（机械密封泄漏超标）现象，限期未整改。</w:t>
            </w:r>
          </w:p>
        </w:tc>
        <w:tc>
          <w:tcPr>
            <w:tcW w:w="1011" w:type="dxa"/>
            <w:tcBorders>
              <w:tl2br w:val="nil"/>
              <w:tr2bl w:val="nil"/>
            </w:tcBorders>
            <w:noWrap w:val="0"/>
            <w:vAlign w:val="center"/>
          </w:tcPr>
          <w:p w14:paraId="68DF46A2">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tc>
        <w:tc>
          <w:tcPr>
            <w:tcW w:w="990" w:type="dxa"/>
            <w:tcBorders>
              <w:tl2br w:val="nil"/>
              <w:tr2bl w:val="nil"/>
            </w:tcBorders>
            <w:noWrap w:val="0"/>
            <w:vAlign w:val="top"/>
          </w:tcPr>
          <w:p w14:paraId="397590E9">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75F158DC">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6BC837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24AE108A">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top"/>
          </w:tcPr>
          <w:p w14:paraId="0488730C">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4825FEF2">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每月一次消防栓泵，喷淋泵，双电源启动测试，由维修主管组织，每年进行一次消防栓，喷淋泵系统测试并记录在《消防栓，喷淋泵系统测试记录表》中。</w:t>
            </w:r>
          </w:p>
        </w:tc>
        <w:tc>
          <w:tcPr>
            <w:tcW w:w="1011" w:type="dxa"/>
            <w:tcBorders>
              <w:tl2br w:val="nil"/>
              <w:tr2bl w:val="nil"/>
            </w:tcBorders>
            <w:noWrap w:val="0"/>
            <w:vAlign w:val="center"/>
          </w:tcPr>
          <w:p w14:paraId="290FFE42">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tc>
        <w:tc>
          <w:tcPr>
            <w:tcW w:w="990" w:type="dxa"/>
            <w:tcBorders>
              <w:tl2br w:val="nil"/>
              <w:tr2bl w:val="nil"/>
            </w:tcBorders>
            <w:noWrap w:val="0"/>
            <w:vAlign w:val="top"/>
          </w:tcPr>
          <w:p w14:paraId="5567217C">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0283A498">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1855F9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6F6569FC">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top"/>
          </w:tcPr>
          <w:p w14:paraId="2E24CE9E">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2808C10E">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设备发生故障后</w:t>
            </w:r>
            <w:r>
              <w:rPr>
                <w:rFonts w:hint="eastAsia" w:ascii="宋体" w:hAnsi="宋体" w:eastAsia="宋体" w:cs="宋体"/>
                <w:color w:val="auto"/>
                <w:kern w:val="0"/>
                <w:sz w:val="21"/>
                <w:szCs w:val="21"/>
                <w:highlight w:val="none"/>
                <w:lang w:eastAsia="zh-CN"/>
              </w:rPr>
              <w:t>应</w:t>
            </w:r>
            <w:r>
              <w:rPr>
                <w:rFonts w:hint="eastAsia" w:ascii="宋体" w:hAnsi="宋体" w:eastAsia="宋体" w:cs="宋体"/>
                <w:color w:val="auto"/>
                <w:kern w:val="0"/>
                <w:sz w:val="21"/>
                <w:szCs w:val="21"/>
                <w:highlight w:val="none"/>
              </w:rPr>
              <w:t>用最短的维修时间提出解决问题方案，降低维修费。</w:t>
            </w:r>
          </w:p>
        </w:tc>
        <w:tc>
          <w:tcPr>
            <w:tcW w:w="1011" w:type="dxa"/>
            <w:tcBorders>
              <w:tl2br w:val="nil"/>
              <w:tr2bl w:val="nil"/>
            </w:tcBorders>
            <w:noWrap w:val="0"/>
            <w:vAlign w:val="center"/>
          </w:tcPr>
          <w:p w14:paraId="10EBC5B0">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tc>
        <w:tc>
          <w:tcPr>
            <w:tcW w:w="990" w:type="dxa"/>
            <w:tcBorders>
              <w:tl2br w:val="nil"/>
              <w:tr2bl w:val="nil"/>
            </w:tcBorders>
            <w:noWrap w:val="0"/>
            <w:vAlign w:val="top"/>
          </w:tcPr>
          <w:p w14:paraId="36CB41D2">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5D666468">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5765A1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335437FA">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top"/>
          </w:tcPr>
          <w:p w14:paraId="76D966A9">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13FD041E">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设备维修任务完成后，要对维修现场进清洁整理。</w:t>
            </w:r>
          </w:p>
        </w:tc>
        <w:tc>
          <w:tcPr>
            <w:tcW w:w="1011" w:type="dxa"/>
            <w:tcBorders>
              <w:tl2br w:val="nil"/>
              <w:tr2bl w:val="nil"/>
            </w:tcBorders>
            <w:noWrap w:val="0"/>
            <w:vAlign w:val="center"/>
          </w:tcPr>
          <w:p w14:paraId="142A9E64">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rPr>
              <w:t>2分</w:t>
            </w:r>
          </w:p>
        </w:tc>
        <w:tc>
          <w:tcPr>
            <w:tcW w:w="990" w:type="dxa"/>
            <w:tcBorders>
              <w:tl2br w:val="nil"/>
              <w:tr2bl w:val="nil"/>
            </w:tcBorders>
            <w:noWrap w:val="0"/>
            <w:vAlign w:val="top"/>
          </w:tcPr>
          <w:p w14:paraId="14892BD1">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1A268EF4">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23C5B4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63376C85">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center"/>
          </w:tcPr>
          <w:p w14:paraId="702BF774">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76812057">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维修、维护、保养不当造成设备损坏（缺油造成设备损坏）。</w:t>
            </w:r>
          </w:p>
        </w:tc>
        <w:tc>
          <w:tcPr>
            <w:tcW w:w="1011" w:type="dxa"/>
            <w:tcBorders>
              <w:tl2br w:val="nil"/>
              <w:tr2bl w:val="nil"/>
            </w:tcBorders>
            <w:noWrap w:val="0"/>
            <w:vAlign w:val="center"/>
          </w:tcPr>
          <w:p w14:paraId="026AF965">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tc>
        <w:tc>
          <w:tcPr>
            <w:tcW w:w="990" w:type="dxa"/>
            <w:tcBorders>
              <w:tl2br w:val="nil"/>
              <w:tr2bl w:val="nil"/>
            </w:tcBorders>
            <w:noWrap w:val="0"/>
            <w:vAlign w:val="top"/>
          </w:tcPr>
          <w:p w14:paraId="45D5E66C">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423069CC">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1EA096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093694CF">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top"/>
          </w:tcPr>
          <w:p w14:paraId="62B2C6A1">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2324C0A3">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lang w:eastAsia="zh-CN"/>
              </w:rPr>
              <w:t>水泵房每周打扫一次，机组每月清洁一次，生活泵“运行”与“备用”每两周交替更换一次，并做好记录</w:t>
            </w:r>
            <w:r>
              <w:rPr>
                <w:rFonts w:hint="eastAsia" w:ascii="宋体" w:hAnsi="宋体" w:eastAsia="宋体" w:cs="宋体"/>
                <w:color w:val="auto"/>
                <w:kern w:val="0"/>
                <w:sz w:val="21"/>
                <w:szCs w:val="21"/>
                <w:highlight w:val="none"/>
              </w:rPr>
              <w:t>。</w:t>
            </w:r>
          </w:p>
        </w:tc>
        <w:tc>
          <w:tcPr>
            <w:tcW w:w="1011" w:type="dxa"/>
            <w:tcBorders>
              <w:tl2br w:val="nil"/>
              <w:tr2bl w:val="nil"/>
            </w:tcBorders>
            <w:noWrap w:val="0"/>
            <w:vAlign w:val="center"/>
          </w:tcPr>
          <w:p w14:paraId="0981C165">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rPr>
              <w:t>2分</w:t>
            </w:r>
          </w:p>
        </w:tc>
        <w:tc>
          <w:tcPr>
            <w:tcW w:w="990" w:type="dxa"/>
            <w:tcBorders>
              <w:tl2br w:val="nil"/>
              <w:tr2bl w:val="nil"/>
            </w:tcBorders>
            <w:noWrap w:val="0"/>
            <w:vAlign w:val="top"/>
          </w:tcPr>
          <w:p w14:paraId="3C5B3E63">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6F6E39EA">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3E9439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restart"/>
            <w:tcBorders>
              <w:tl2br w:val="nil"/>
              <w:tr2bl w:val="nil"/>
            </w:tcBorders>
            <w:noWrap w:val="0"/>
            <w:vAlign w:val="top"/>
          </w:tcPr>
          <w:p w14:paraId="0AE5B3FD">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lang w:val="en-US" w:eastAsia="zh-CN"/>
              </w:rPr>
            </w:pPr>
          </w:p>
          <w:p w14:paraId="2B143A55">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lang w:val="en-US" w:eastAsia="zh-CN"/>
              </w:rPr>
            </w:pPr>
          </w:p>
          <w:p w14:paraId="4EBEC1E3">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lang w:val="en-US" w:eastAsia="zh-CN"/>
              </w:rPr>
            </w:pPr>
          </w:p>
          <w:p w14:paraId="572A2E09">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lang w:val="en-US" w:eastAsia="zh-CN"/>
              </w:rPr>
            </w:pPr>
          </w:p>
          <w:p w14:paraId="1F30DF72">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eastAsia="宋体"/>
                <w:color w:val="auto"/>
                <w:highlight w:val="none"/>
                <w:lang w:val="en-US" w:eastAsia="zh-CN"/>
              </w:rPr>
            </w:pPr>
            <w:r>
              <w:rPr>
                <w:rFonts w:hint="eastAsia"/>
                <w:color w:val="auto"/>
                <w:highlight w:val="none"/>
                <w:lang w:val="en-US" w:eastAsia="zh-CN"/>
              </w:rPr>
              <w:t>5</w:t>
            </w:r>
          </w:p>
        </w:tc>
        <w:tc>
          <w:tcPr>
            <w:tcW w:w="1085" w:type="dxa"/>
            <w:vMerge w:val="restart"/>
            <w:tcBorders>
              <w:tl2br w:val="nil"/>
              <w:tr2bl w:val="nil"/>
            </w:tcBorders>
            <w:noWrap w:val="0"/>
            <w:vAlign w:val="center"/>
          </w:tcPr>
          <w:p w14:paraId="0931E0C9">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房屋水电设施管理</w:t>
            </w:r>
          </w:p>
          <w:p w14:paraId="373F7675">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7EB899D6">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需要维修，属于小修范围的，及时组织修复</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     </w:t>
            </w:r>
          </w:p>
        </w:tc>
        <w:tc>
          <w:tcPr>
            <w:tcW w:w="1011" w:type="dxa"/>
            <w:tcBorders>
              <w:tl2br w:val="nil"/>
              <w:tr2bl w:val="nil"/>
            </w:tcBorders>
            <w:noWrap w:val="0"/>
            <w:vAlign w:val="center"/>
          </w:tcPr>
          <w:p w14:paraId="0C16EB9B">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990" w:type="dxa"/>
            <w:tcBorders>
              <w:tl2br w:val="nil"/>
              <w:tr2bl w:val="nil"/>
            </w:tcBorders>
            <w:noWrap w:val="0"/>
            <w:vAlign w:val="top"/>
          </w:tcPr>
          <w:p w14:paraId="15A2166E">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6016E52C">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12362B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283F404F">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top"/>
          </w:tcPr>
          <w:p w14:paraId="488BE2C2">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1E398664">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根据房屋水电设施使用年限，定期检查并记录在《房屋，设施，设备维修记录表》内</w:t>
            </w:r>
            <w:r>
              <w:rPr>
                <w:rFonts w:hint="eastAsia" w:ascii="宋体" w:hAnsi="宋体" w:eastAsia="宋体" w:cs="宋体"/>
                <w:color w:val="auto"/>
                <w:kern w:val="0"/>
                <w:sz w:val="21"/>
                <w:szCs w:val="21"/>
                <w:highlight w:val="none"/>
              </w:rPr>
              <w:t>。</w:t>
            </w:r>
          </w:p>
        </w:tc>
        <w:tc>
          <w:tcPr>
            <w:tcW w:w="1011" w:type="dxa"/>
            <w:tcBorders>
              <w:tl2br w:val="nil"/>
              <w:tr2bl w:val="nil"/>
            </w:tcBorders>
            <w:noWrap w:val="0"/>
            <w:vAlign w:val="center"/>
          </w:tcPr>
          <w:p w14:paraId="2BA67E63">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rPr>
              <w:t>2分</w:t>
            </w:r>
          </w:p>
        </w:tc>
        <w:tc>
          <w:tcPr>
            <w:tcW w:w="990" w:type="dxa"/>
            <w:tcBorders>
              <w:tl2br w:val="nil"/>
              <w:tr2bl w:val="nil"/>
            </w:tcBorders>
            <w:noWrap w:val="0"/>
            <w:vAlign w:val="top"/>
          </w:tcPr>
          <w:p w14:paraId="557405D3">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16CB0F3D">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00A515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5822FE9F">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top"/>
          </w:tcPr>
          <w:p w14:paraId="796BC64F">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0D0B1168">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木质，塑钢门窗，课桌椅，讲台等，小件维修必须当天接单当天完成，并做好消单及维修记录。</w:t>
            </w:r>
          </w:p>
        </w:tc>
        <w:tc>
          <w:tcPr>
            <w:tcW w:w="1011" w:type="dxa"/>
            <w:tcBorders>
              <w:tl2br w:val="nil"/>
              <w:tr2bl w:val="nil"/>
            </w:tcBorders>
            <w:noWrap w:val="0"/>
            <w:vAlign w:val="center"/>
          </w:tcPr>
          <w:p w14:paraId="36F42C4D">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tc>
        <w:tc>
          <w:tcPr>
            <w:tcW w:w="990" w:type="dxa"/>
            <w:tcBorders>
              <w:tl2br w:val="nil"/>
              <w:tr2bl w:val="nil"/>
            </w:tcBorders>
            <w:noWrap w:val="0"/>
            <w:vAlign w:val="top"/>
          </w:tcPr>
          <w:p w14:paraId="1BDD5616">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741EFD8D">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3B3710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41DC57FC">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top"/>
          </w:tcPr>
          <w:p w14:paraId="02D1B804">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0BD88998">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教学器具及各项小维修事项，必须当天接单，当天完成，并做好消单和维修记录。</w:t>
            </w:r>
          </w:p>
        </w:tc>
        <w:tc>
          <w:tcPr>
            <w:tcW w:w="1011" w:type="dxa"/>
            <w:tcBorders>
              <w:tl2br w:val="nil"/>
              <w:tr2bl w:val="nil"/>
            </w:tcBorders>
            <w:noWrap w:val="0"/>
            <w:vAlign w:val="center"/>
          </w:tcPr>
          <w:p w14:paraId="564FD49F">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rPr>
              <w:t>2分</w:t>
            </w:r>
          </w:p>
        </w:tc>
        <w:tc>
          <w:tcPr>
            <w:tcW w:w="990" w:type="dxa"/>
            <w:tcBorders>
              <w:tl2br w:val="nil"/>
              <w:tr2bl w:val="nil"/>
            </w:tcBorders>
            <w:noWrap w:val="0"/>
            <w:vAlign w:val="top"/>
          </w:tcPr>
          <w:p w14:paraId="2AE58AAC">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26B4662F">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736835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76BAB83B">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top"/>
          </w:tcPr>
          <w:p w14:paraId="06D54E1D">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0F68950A">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编制合理的维修保养计划，建立设施，设备档案，有健全的水电设施，设备巡查，维修，保养台账记录</w:t>
            </w:r>
            <w:r>
              <w:rPr>
                <w:rFonts w:hint="eastAsia" w:ascii="宋体" w:hAnsi="宋体" w:eastAsia="宋体" w:cs="宋体"/>
                <w:color w:val="auto"/>
                <w:kern w:val="0"/>
                <w:sz w:val="21"/>
                <w:szCs w:val="21"/>
                <w:highlight w:val="none"/>
              </w:rPr>
              <w:t>。</w:t>
            </w:r>
          </w:p>
        </w:tc>
        <w:tc>
          <w:tcPr>
            <w:tcW w:w="1011" w:type="dxa"/>
            <w:tcBorders>
              <w:tl2br w:val="nil"/>
              <w:tr2bl w:val="nil"/>
            </w:tcBorders>
            <w:noWrap w:val="0"/>
            <w:vAlign w:val="center"/>
          </w:tcPr>
          <w:p w14:paraId="6973C977">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rPr>
              <w:t>2分</w:t>
            </w:r>
          </w:p>
        </w:tc>
        <w:tc>
          <w:tcPr>
            <w:tcW w:w="990" w:type="dxa"/>
            <w:tcBorders>
              <w:tl2br w:val="nil"/>
              <w:tr2bl w:val="nil"/>
            </w:tcBorders>
            <w:noWrap w:val="0"/>
            <w:vAlign w:val="top"/>
          </w:tcPr>
          <w:p w14:paraId="3DBEAE65">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60AB36F3">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555F11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restart"/>
            <w:tcBorders>
              <w:tl2br w:val="nil"/>
              <w:tr2bl w:val="nil"/>
            </w:tcBorders>
            <w:noWrap w:val="0"/>
            <w:vAlign w:val="top"/>
          </w:tcPr>
          <w:p w14:paraId="30578E20">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lang w:val="en-US" w:eastAsia="zh-CN"/>
              </w:rPr>
            </w:pPr>
          </w:p>
          <w:p w14:paraId="47EAD920">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lang w:val="en-US" w:eastAsia="zh-CN"/>
              </w:rPr>
            </w:pPr>
          </w:p>
          <w:p w14:paraId="3E63BA3E">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eastAsia="宋体"/>
                <w:color w:val="auto"/>
                <w:highlight w:val="none"/>
                <w:lang w:val="en-US" w:eastAsia="zh-CN"/>
              </w:rPr>
            </w:pPr>
            <w:r>
              <w:rPr>
                <w:rFonts w:hint="eastAsia"/>
                <w:color w:val="auto"/>
                <w:highlight w:val="none"/>
                <w:lang w:val="en-US" w:eastAsia="zh-CN"/>
              </w:rPr>
              <w:t>6</w:t>
            </w:r>
          </w:p>
        </w:tc>
        <w:tc>
          <w:tcPr>
            <w:tcW w:w="1085" w:type="dxa"/>
            <w:vMerge w:val="restart"/>
            <w:tcBorders>
              <w:tl2br w:val="nil"/>
              <w:tr2bl w:val="nil"/>
            </w:tcBorders>
            <w:noWrap w:val="0"/>
            <w:vAlign w:val="center"/>
          </w:tcPr>
          <w:p w14:paraId="61CB1FB7">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bCs/>
                <w:color w:val="auto"/>
                <w:sz w:val="21"/>
                <w:szCs w:val="21"/>
                <w:highlight w:val="none"/>
                <w:lang w:eastAsia="zh-CN"/>
              </w:rPr>
            </w:pPr>
          </w:p>
          <w:p w14:paraId="435B0AE2">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中央空调设备管理</w:t>
            </w:r>
          </w:p>
          <w:p w14:paraId="35B0115D">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46BB16A6">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lang w:eastAsia="zh-CN"/>
              </w:rPr>
              <w:t>按照中央空调系统操作规程操作，并做好巡查记录在《空调系统巡查记录表》中</w:t>
            </w:r>
          </w:p>
        </w:tc>
        <w:tc>
          <w:tcPr>
            <w:tcW w:w="1011" w:type="dxa"/>
            <w:tcBorders>
              <w:tl2br w:val="nil"/>
              <w:tr2bl w:val="nil"/>
            </w:tcBorders>
            <w:noWrap w:val="0"/>
            <w:vAlign w:val="center"/>
          </w:tcPr>
          <w:p w14:paraId="3B141B9D">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990" w:type="dxa"/>
            <w:tcBorders>
              <w:tl2br w:val="nil"/>
              <w:tr2bl w:val="nil"/>
            </w:tcBorders>
            <w:noWrap w:val="0"/>
            <w:vAlign w:val="top"/>
          </w:tcPr>
          <w:p w14:paraId="4B08631B">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24EF4FF3">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5D4127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3480A9AA">
            <w:pPr>
              <w:keepNext w:val="0"/>
              <w:keepLines w:val="0"/>
              <w:pageBreakBefore w:val="0"/>
              <w:kinsoku/>
              <w:wordWrap/>
              <w:overflowPunct/>
              <w:topLinePunct w:val="0"/>
              <w:autoSpaceDE/>
              <w:autoSpaceDN/>
              <w:bidi w:val="0"/>
              <w:adjustRightInd/>
              <w:snapToGrid/>
              <w:spacing w:line="15" w:lineRule="auto"/>
              <w:textAlignment w:val="auto"/>
              <w:rPr>
                <w:color w:val="auto"/>
                <w:highlight w:val="none"/>
              </w:rPr>
            </w:pPr>
          </w:p>
        </w:tc>
        <w:tc>
          <w:tcPr>
            <w:tcW w:w="1085" w:type="dxa"/>
            <w:vMerge w:val="continue"/>
            <w:tcBorders>
              <w:tl2br w:val="nil"/>
              <w:tr2bl w:val="nil"/>
            </w:tcBorders>
            <w:noWrap w:val="0"/>
            <w:vAlign w:val="top"/>
          </w:tcPr>
          <w:p w14:paraId="2EC7EADD">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8544" w:type="dxa"/>
            <w:gridSpan w:val="2"/>
            <w:tcBorders>
              <w:tl2br w:val="nil"/>
              <w:tr2bl w:val="nil"/>
            </w:tcBorders>
            <w:noWrap w:val="0"/>
            <w:vAlign w:val="center"/>
          </w:tcPr>
          <w:p w14:paraId="2F147671">
            <w:pPr>
              <w:keepNext w:val="0"/>
              <w:keepLines w:val="0"/>
              <w:pageBreakBefore w:val="0"/>
              <w:widowControl/>
              <w:kinsoku/>
              <w:wordWrap/>
              <w:overflowPunct/>
              <w:topLinePunct w:val="0"/>
              <w:autoSpaceDE/>
              <w:autoSpaceDN/>
              <w:bidi w:val="0"/>
              <w:adjustRightInd/>
              <w:snapToGrid/>
              <w:spacing w:line="15" w:lineRule="auto"/>
              <w:ind w:left="210" w:leftChars="0" w:hanging="210" w:hangingChars="1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2.</w:t>
            </w:r>
            <w:r>
              <w:rPr>
                <w:rFonts w:hint="eastAsia" w:ascii="宋体" w:hAnsi="宋体" w:eastAsia="宋体" w:cs="宋体"/>
                <w:b w:val="0"/>
                <w:bCs/>
                <w:color w:val="auto"/>
                <w:kern w:val="0"/>
                <w:sz w:val="21"/>
                <w:szCs w:val="21"/>
                <w:highlight w:val="none"/>
                <w:lang w:eastAsia="zh-CN"/>
              </w:rPr>
              <w:t>定期做好维修保养，重点为机油，温度及噪音</w:t>
            </w:r>
            <w:r>
              <w:rPr>
                <w:rFonts w:hint="eastAsia" w:ascii="宋体" w:hAnsi="宋体" w:eastAsia="宋体" w:cs="宋体"/>
                <w:b w:val="0"/>
                <w:bCs/>
                <w:color w:val="auto"/>
                <w:kern w:val="0"/>
                <w:sz w:val="21"/>
                <w:szCs w:val="21"/>
                <w:highlight w:val="none"/>
                <w:lang w:val="en-US" w:eastAsia="zh-CN"/>
              </w:rPr>
              <w:t xml:space="preserve">    </w:t>
            </w:r>
          </w:p>
        </w:tc>
        <w:tc>
          <w:tcPr>
            <w:tcW w:w="1011" w:type="dxa"/>
            <w:tcBorders>
              <w:tl2br w:val="nil"/>
              <w:tr2bl w:val="nil"/>
            </w:tcBorders>
            <w:noWrap w:val="0"/>
            <w:vAlign w:val="center"/>
          </w:tcPr>
          <w:p w14:paraId="7245187B">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tc>
        <w:tc>
          <w:tcPr>
            <w:tcW w:w="990" w:type="dxa"/>
            <w:tcBorders>
              <w:tl2br w:val="nil"/>
              <w:tr2bl w:val="nil"/>
            </w:tcBorders>
            <w:noWrap w:val="0"/>
            <w:vAlign w:val="top"/>
          </w:tcPr>
          <w:p w14:paraId="1C0B9F2E">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13AC57E6">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3DE540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85" w:type="dxa"/>
            <w:vMerge w:val="continue"/>
            <w:tcBorders>
              <w:tl2br w:val="nil"/>
              <w:tr2bl w:val="nil"/>
            </w:tcBorders>
            <w:noWrap w:val="0"/>
            <w:vAlign w:val="top"/>
          </w:tcPr>
          <w:p w14:paraId="5CACB0BB">
            <w:pPr>
              <w:keepNext w:val="0"/>
              <w:keepLines w:val="0"/>
              <w:pageBreakBefore w:val="0"/>
              <w:kinsoku/>
              <w:wordWrap/>
              <w:overflowPunct/>
              <w:topLinePunct w:val="0"/>
              <w:autoSpaceDE/>
              <w:autoSpaceDN/>
              <w:bidi w:val="0"/>
              <w:adjustRightInd/>
              <w:snapToGrid/>
              <w:spacing w:line="15" w:lineRule="auto"/>
              <w:textAlignment w:val="auto"/>
              <w:rPr>
                <w:color w:val="auto"/>
                <w:highlight w:val="none"/>
              </w:rPr>
            </w:pPr>
          </w:p>
        </w:tc>
        <w:tc>
          <w:tcPr>
            <w:tcW w:w="1260" w:type="dxa"/>
            <w:gridSpan w:val="2"/>
            <w:tcBorders>
              <w:tl2br w:val="nil"/>
              <w:tr2bl w:val="nil"/>
            </w:tcBorders>
            <w:noWrap w:val="0"/>
            <w:vAlign w:val="top"/>
          </w:tcPr>
          <w:p w14:paraId="05689550">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8369" w:type="dxa"/>
            <w:tcBorders>
              <w:tl2br w:val="nil"/>
              <w:tr2bl w:val="nil"/>
            </w:tcBorders>
            <w:noWrap w:val="0"/>
            <w:vAlign w:val="center"/>
          </w:tcPr>
          <w:p w14:paraId="37813A51">
            <w:pPr>
              <w:pStyle w:val="6"/>
              <w:keepNext w:val="0"/>
              <w:keepLines w:val="0"/>
              <w:pageBreakBefore w:val="0"/>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lang w:val="en-US" w:eastAsia="zh-CN"/>
              </w:rPr>
              <w:t>3.主要设施每月清扫一次，并做好记录</w:t>
            </w:r>
          </w:p>
        </w:tc>
        <w:tc>
          <w:tcPr>
            <w:tcW w:w="1011" w:type="dxa"/>
            <w:tcBorders>
              <w:tl2br w:val="nil"/>
              <w:tr2bl w:val="nil"/>
            </w:tcBorders>
            <w:noWrap w:val="0"/>
            <w:vAlign w:val="center"/>
          </w:tcPr>
          <w:p w14:paraId="7C554570">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rPr>
              <w:t>2分</w:t>
            </w:r>
          </w:p>
        </w:tc>
        <w:tc>
          <w:tcPr>
            <w:tcW w:w="990" w:type="dxa"/>
            <w:tcBorders>
              <w:tl2br w:val="nil"/>
              <w:tr2bl w:val="nil"/>
            </w:tcBorders>
            <w:noWrap w:val="0"/>
            <w:vAlign w:val="top"/>
          </w:tcPr>
          <w:p w14:paraId="63B992F2">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65" w:type="dxa"/>
            <w:gridSpan w:val="2"/>
            <w:tcBorders>
              <w:tl2br w:val="nil"/>
              <w:tr2bl w:val="nil"/>
            </w:tcBorders>
            <w:noWrap w:val="0"/>
            <w:vAlign w:val="center"/>
          </w:tcPr>
          <w:p w14:paraId="7091F722">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7E5286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10314" w:type="dxa"/>
            <w:gridSpan w:val="4"/>
            <w:tcBorders>
              <w:tl2br w:val="nil"/>
              <w:tr2bl w:val="nil"/>
            </w:tcBorders>
            <w:noWrap w:val="0"/>
            <w:vAlign w:val="center"/>
          </w:tcPr>
          <w:p w14:paraId="1FC91CBB">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r>
              <w:rPr>
                <w:rFonts w:hint="eastAsia"/>
                <w:b/>
                <w:bCs/>
                <w:color w:val="auto"/>
                <w:highlight w:val="none"/>
              </w:rPr>
              <w:t xml:space="preserve">合  </w:t>
            </w:r>
            <w:r>
              <w:rPr>
                <w:rFonts w:hint="eastAsia"/>
                <w:b/>
                <w:bCs/>
                <w:color w:val="auto"/>
                <w:highlight w:val="none"/>
                <w:lang w:val="en-US" w:eastAsia="zh-CN"/>
              </w:rPr>
              <w:t xml:space="preserve">      </w:t>
            </w:r>
            <w:r>
              <w:rPr>
                <w:rFonts w:hint="eastAsia"/>
                <w:b/>
                <w:bCs/>
                <w:color w:val="auto"/>
                <w:highlight w:val="none"/>
              </w:rPr>
              <w:t xml:space="preserve"> 计</w:t>
            </w:r>
          </w:p>
        </w:tc>
        <w:tc>
          <w:tcPr>
            <w:tcW w:w="1011" w:type="dxa"/>
            <w:tcBorders>
              <w:tl2br w:val="nil"/>
              <w:tr2bl w:val="nil"/>
            </w:tcBorders>
            <w:noWrap w:val="0"/>
            <w:vAlign w:val="center"/>
          </w:tcPr>
          <w:p w14:paraId="368BF093">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r>
              <w:rPr>
                <w:rFonts w:hint="eastAsia"/>
                <w:color w:val="auto"/>
                <w:highlight w:val="none"/>
              </w:rPr>
              <w:t>100分</w:t>
            </w:r>
          </w:p>
        </w:tc>
        <w:tc>
          <w:tcPr>
            <w:tcW w:w="990" w:type="dxa"/>
            <w:tcBorders>
              <w:tl2br w:val="nil"/>
              <w:tr2bl w:val="nil"/>
            </w:tcBorders>
            <w:noWrap w:val="0"/>
            <w:vAlign w:val="center"/>
          </w:tcPr>
          <w:p w14:paraId="409E8823">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65" w:type="dxa"/>
            <w:gridSpan w:val="2"/>
            <w:tcBorders>
              <w:tl2br w:val="nil"/>
              <w:tr2bl w:val="nil"/>
            </w:tcBorders>
            <w:noWrap w:val="0"/>
            <w:vAlign w:val="center"/>
          </w:tcPr>
          <w:p w14:paraId="3A3EF3AE">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r>
      <w:tr w14:paraId="29D9A4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43" w:hRule="atLeast"/>
        </w:trPr>
        <w:tc>
          <w:tcPr>
            <w:tcW w:w="14280" w:type="dxa"/>
            <w:gridSpan w:val="8"/>
            <w:tcBorders>
              <w:tl2br w:val="nil"/>
              <w:tr2bl w:val="nil"/>
            </w:tcBorders>
            <w:noWrap w:val="0"/>
            <w:vAlign w:val="center"/>
          </w:tcPr>
          <w:p w14:paraId="2359946F">
            <w:pPr>
              <w:jc w:val="both"/>
              <w:rPr>
                <w:rFonts w:hint="eastAsia"/>
                <w:color w:val="auto"/>
                <w:highlight w:val="none"/>
              </w:rPr>
            </w:pPr>
            <w:r>
              <w:rPr>
                <w:rFonts w:hint="eastAsia"/>
                <w:color w:val="auto"/>
                <w:highlight w:val="none"/>
              </w:rPr>
              <w:t>考核办法：</w:t>
            </w:r>
          </w:p>
          <w:p w14:paraId="73DAEDB8">
            <w:pPr>
              <w:ind w:firstLine="840" w:firstLineChars="400"/>
              <w:jc w:val="both"/>
              <w:rPr>
                <w:color w:val="auto"/>
                <w:highlight w:val="none"/>
              </w:rPr>
            </w:pPr>
            <w:r>
              <w:rPr>
                <w:rFonts w:hint="eastAsia"/>
                <w:color w:val="auto"/>
                <w:highlight w:val="none"/>
              </w:rPr>
              <w:t>①以月为考核周期，每月总计100分</w:t>
            </w:r>
            <w:r>
              <w:rPr>
                <w:rFonts w:hint="eastAsia"/>
                <w:color w:val="auto"/>
                <w:highlight w:val="none"/>
                <w:lang w:eastAsia="zh-CN"/>
              </w:rPr>
              <w:t>。校方分项目考核负责人</w:t>
            </w:r>
            <w:r>
              <w:rPr>
                <w:rFonts w:hint="eastAsia"/>
                <w:color w:val="auto"/>
                <w:highlight w:val="none"/>
              </w:rPr>
              <w:t>依据考核细则对</w:t>
            </w:r>
            <w:r>
              <w:rPr>
                <w:rFonts w:hint="eastAsia"/>
                <w:color w:val="auto"/>
                <w:highlight w:val="none"/>
                <w:lang w:eastAsia="zh-CN"/>
              </w:rPr>
              <w:t>维修员</w:t>
            </w:r>
            <w:r>
              <w:rPr>
                <w:rFonts w:hint="eastAsia"/>
                <w:color w:val="auto"/>
                <w:highlight w:val="none"/>
              </w:rPr>
              <w:t>工作进行监督，实行累计扣分制</w:t>
            </w:r>
            <w:r>
              <w:rPr>
                <w:rFonts w:hint="eastAsia"/>
                <w:color w:val="auto"/>
                <w:highlight w:val="none"/>
                <w:lang w:eastAsia="zh-CN"/>
              </w:rPr>
              <w:t>。</w:t>
            </w:r>
            <w:r>
              <w:rPr>
                <w:rFonts w:hint="eastAsia"/>
                <w:color w:val="auto"/>
                <w:highlight w:val="none"/>
              </w:rPr>
              <w:t>每违纪一次，按扣分标准扣分，重复违纪的，予以重复考核扣分，</w:t>
            </w:r>
            <w:r>
              <w:rPr>
                <w:color w:val="auto"/>
                <w:highlight w:val="none"/>
              </w:rPr>
              <w:t xml:space="preserve"> </w:t>
            </w:r>
            <w:r>
              <w:rPr>
                <w:rFonts w:hint="eastAsia"/>
                <w:color w:val="auto"/>
                <w:highlight w:val="none"/>
              </w:rPr>
              <w:t>如此累计得出</w:t>
            </w:r>
            <w:r>
              <w:rPr>
                <w:rFonts w:hint="eastAsia"/>
                <w:color w:val="auto"/>
                <w:highlight w:val="none"/>
                <w:lang w:eastAsia="zh-CN"/>
              </w:rPr>
              <w:t>维修岗位</w:t>
            </w:r>
            <w:r>
              <w:rPr>
                <w:rFonts w:hint="eastAsia"/>
                <w:color w:val="auto"/>
                <w:highlight w:val="none"/>
              </w:rPr>
              <w:t>每月最终考核得分。</w:t>
            </w:r>
          </w:p>
          <w:p w14:paraId="707CF9E7">
            <w:pPr>
              <w:ind w:firstLine="840" w:firstLineChars="400"/>
              <w:jc w:val="both"/>
              <w:rPr>
                <w:color w:val="auto"/>
                <w:highlight w:val="none"/>
              </w:rPr>
            </w:pPr>
            <w:r>
              <w:rPr>
                <w:rFonts w:hint="eastAsia"/>
                <w:color w:val="auto"/>
                <w:highlight w:val="none"/>
              </w:rPr>
              <w:t>②</w:t>
            </w:r>
            <w:r>
              <w:rPr>
                <w:rFonts w:hint="eastAsia"/>
                <w:color w:val="auto"/>
                <w:highlight w:val="none"/>
                <w:lang w:val="en-US" w:eastAsia="zh-CN"/>
              </w:rPr>
              <w:t>90</w:t>
            </w:r>
            <w:r>
              <w:rPr>
                <w:rFonts w:hint="eastAsia"/>
                <w:color w:val="auto"/>
                <w:highlight w:val="none"/>
              </w:rPr>
              <w:t>分~100分为</w:t>
            </w:r>
            <w:r>
              <w:rPr>
                <w:rFonts w:hint="eastAsia"/>
                <w:color w:val="auto"/>
                <w:highlight w:val="none"/>
                <w:lang w:eastAsia="zh-CN"/>
              </w:rPr>
              <w:t>合格</w:t>
            </w:r>
            <w:r>
              <w:rPr>
                <w:rFonts w:hint="eastAsia"/>
                <w:color w:val="auto"/>
                <w:highlight w:val="none"/>
              </w:rPr>
              <w:t>；</w:t>
            </w:r>
            <w:r>
              <w:rPr>
                <w:rFonts w:hint="eastAsia"/>
                <w:color w:val="auto"/>
                <w:highlight w:val="none"/>
                <w:lang w:val="en-US" w:eastAsia="zh-CN"/>
              </w:rPr>
              <w:t>90</w:t>
            </w:r>
            <w:r>
              <w:rPr>
                <w:rFonts w:hint="eastAsia"/>
                <w:color w:val="auto"/>
                <w:highlight w:val="none"/>
              </w:rPr>
              <w:t>分</w:t>
            </w:r>
            <w:r>
              <w:rPr>
                <w:rFonts w:hint="eastAsia"/>
                <w:color w:val="auto"/>
                <w:highlight w:val="none"/>
                <w:lang w:eastAsia="zh-CN"/>
              </w:rPr>
              <w:t>以下</w:t>
            </w:r>
            <w:r>
              <w:rPr>
                <w:rFonts w:hint="eastAsia"/>
                <w:color w:val="auto"/>
                <w:highlight w:val="none"/>
              </w:rPr>
              <w:t>为不合格，扣罚</w:t>
            </w:r>
            <w:r>
              <w:rPr>
                <w:rFonts w:hint="eastAsia"/>
                <w:color w:val="auto"/>
                <w:highlight w:val="none"/>
                <w:lang w:eastAsia="zh-CN"/>
              </w:rPr>
              <w:t>物业公</w:t>
            </w:r>
            <w:r>
              <w:rPr>
                <w:rFonts w:hint="eastAsia" w:ascii="Calibri" w:hAnsi="Calibri" w:eastAsia="宋体" w:cs="Times New Roman"/>
                <w:color w:val="auto"/>
                <w:highlight w:val="none"/>
                <w:lang w:eastAsia="zh-CN"/>
              </w:rPr>
              <w:t>司</w:t>
            </w:r>
            <w:r>
              <w:rPr>
                <w:rFonts w:hint="eastAsia" w:ascii="Calibri" w:hAnsi="Calibri" w:eastAsia="宋体" w:cs="Times New Roman"/>
                <w:color w:val="auto"/>
                <w:highlight w:val="none"/>
              </w:rPr>
              <w:t>当月服务费中的1%做为罚金；连续3</w:t>
            </w:r>
            <w:r>
              <w:rPr>
                <w:rFonts w:hint="eastAsia"/>
                <w:color w:val="auto"/>
                <w:highlight w:val="none"/>
              </w:rPr>
              <w:t>个月考核在</w:t>
            </w:r>
            <w:r>
              <w:rPr>
                <w:rFonts w:hint="eastAsia"/>
                <w:color w:val="auto"/>
                <w:highlight w:val="none"/>
                <w:lang w:val="en-US" w:eastAsia="zh-CN"/>
              </w:rPr>
              <w:t>90</w:t>
            </w:r>
            <w:r>
              <w:rPr>
                <w:rFonts w:hint="eastAsia"/>
                <w:color w:val="auto"/>
                <w:highlight w:val="none"/>
              </w:rPr>
              <w:t>分以下的员工，视为不符合本岗位工作要求，</w:t>
            </w:r>
            <w:r>
              <w:rPr>
                <w:rFonts w:hint="eastAsia"/>
                <w:color w:val="auto"/>
                <w:highlight w:val="none"/>
                <w:lang w:eastAsia="zh-CN"/>
              </w:rPr>
              <w:t>建议物业公司</w:t>
            </w:r>
            <w:r>
              <w:rPr>
                <w:rFonts w:hint="eastAsia"/>
                <w:color w:val="auto"/>
                <w:highlight w:val="none"/>
              </w:rPr>
              <w:t>做辞退处理。</w:t>
            </w:r>
          </w:p>
        </w:tc>
      </w:tr>
    </w:tbl>
    <w:p w14:paraId="761F9D31">
      <w:pP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物业公司负责人签名/日期:                                                    校方分项目考核负责人签名/日期: </w:t>
      </w:r>
    </w:p>
    <w:p w14:paraId="17073C97">
      <w:pPr>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br w:type="page"/>
      </w:r>
    </w:p>
    <w:p w14:paraId="54EA63C5">
      <w:pPr>
        <w:widowControl/>
        <w:jc w:val="left"/>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附表5：湖铁职院物业公司宿舍管理考核表</w:t>
      </w:r>
    </w:p>
    <w:p w14:paraId="3EDB86B3">
      <w:pPr>
        <w:spacing w:line="276" w:lineRule="auto"/>
        <w:jc w:val="center"/>
        <w:rPr>
          <w:rFonts w:ascii="黑体" w:hAnsi="黑体" w:eastAsia="黑体"/>
          <w:b/>
          <w:color w:val="auto"/>
          <w:sz w:val="36"/>
          <w:szCs w:val="36"/>
          <w:highlight w:val="none"/>
        </w:rPr>
      </w:pPr>
      <w:r>
        <w:rPr>
          <w:rFonts w:hint="eastAsia" w:ascii="黑体" w:hAnsi="黑体" w:eastAsia="黑体"/>
          <w:b/>
          <w:color w:val="auto"/>
          <w:sz w:val="36"/>
          <w:szCs w:val="36"/>
          <w:highlight w:val="none"/>
          <w:lang w:eastAsia="zh-CN"/>
        </w:rPr>
        <w:t>湖铁职院物业公司</w:t>
      </w:r>
      <w:r>
        <w:rPr>
          <w:rFonts w:hint="eastAsia" w:ascii="黑体" w:hAnsi="黑体" w:eastAsia="黑体"/>
          <w:b/>
          <w:color w:val="auto"/>
          <w:sz w:val="36"/>
          <w:szCs w:val="36"/>
          <w:highlight w:val="none"/>
        </w:rPr>
        <w:t>宿舍管理考核</w:t>
      </w:r>
      <w:r>
        <w:rPr>
          <w:rFonts w:hint="eastAsia" w:ascii="黑体" w:hAnsi="黑体" w:eastAsia="黑体"/>
          <w:b/>
          <w:color w:val="auto"/>
          <w:sz w:val="36"/>
          <w:szCs w:val="36"/>
          <w:highlight w:val="none"/>
          <w:lang w:eastAsia="zh-CN"/>
        </w:rPr>
        <w:t>表</w:t>
      </w:r>
      <w:r>
        <w:rPr>
          <w:rFonts w:hint="eastAsia" w:ascii="黑体" w:hAnsi="黑体" w:eastAsia="黑体"/>
          <w:b/>
          <w:color w:val="auto"/>
          <w:sz w:val="36"/>
          <w:szCs w:val="36"/>
          <w:highlight w:val="none"/>
          <w:lang w:val="en-US" w:eastAsia="zh-CN"/>
        </w:rPr>
        <w:t xml:space="preserve">    </w:t>
      </w:r>
      <w:r>
        <w:rPr>
          <w:rFonts w:hint="eastAsia"/>
          <w:b/>
          <w:color w:val="auto"/>
          <w:sz w:val="18"/>
          <w:szCs w:val="18"/>
          <w:highlight w:val="none"/>
          <w:lang w:val="en-US" w:eastAsia="zh-CN"/>
        </w:rPr>
        <w:t>考核时间：      年       月</w:t>
      </w:r>
    </w:p>
    <w:tbl>
      <w:tblPr>
        <w:tblStyle w:val="45"/>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32"/>
        <w:gridCol w:w="1221"/>
        <w:gridCol w:w="6242"/>
        <w:gridCol w:w="1388"/>
        <w:gridCol w:w="1410"/>
        <w:gridCol w:w="3249"/>
      </w:tblGrid>
      <w:tr w14:paraId="2E32ED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632" w:type="dxa"/>
            <w:tcBorders>
              <w:tl2br w:val="nil"/>
              <w:tr2bl w:val="nil"/>
            </w:tcBorders>
            <w:noWrap w:val="0"/>
            <w:vAlign w:val="center"/>
          </w:tcPr>
          <w:p w14:paraId="735B67ED">
            <w:pPr>
              <w:jc w:val="center"/>
              <w:rPr>
                <w:b/>
                <w:color w:val="auto"/>
                <w:sz w:val="24"/>
                <w:highlight w:val="none"/>
              </w:rPr>
            </w:pPr>
            <w:r>
              <w:rPr>
                <w:rFonts w:hint="eastAsia"/>
                <w:b/>
                <w:color w:val="auto"/>
                <w:sz w:val="24"/>
                <w:highlight w:val="none"/>
              </w:rPr>
              <w:t>序</w:t>
            </w:r>
          </w:p>
        </w:tc>
        <w:tc>
          <w:tcPr>
            <w:tcW w:w="1221" w:type="dxa"/>
            <w:tcBorders>
              <w:tl2br w:val="nil"/>
              <w:tr2bl w:val="nil"/>
            </w:tcBorders>
            <w:noWrap w:val="0"/>
            <w:vAlign w:val="center"/>
          </w:tcPr>
          <w:p w14:paraId="13228369">
            <w:pPr>
              <w:jc w:val="center"/>
              <w:rPr>
                <w:b/>
                <w:color w:val="auto"/>
                <w:sz w:val="24"/>
                <w:highlight w:val="none"/>
              </w:rPr>
            </w:pPr>
            <w:r>
              <w:rPr>
                <w:rFonts w:hint="eastAsia"/>
                <w:b/>
                <w:color w:val="auto"/>
                <w:sz w:val="24"/>
                <w:highlight w:val="none"/>
              </w:rPr>
              <w:t>考核项目</w:t>
            </w:r>
          </w:p>
        </w:tc>
        <w:tc>
          <w:tcPr>
            <w:tcW w:w="6242" w:type="dxa"/>
            <w:tcBorders>
              <w:tl2br w:val="nil"/>
              <w:tr2bl w:val="nil"/>
            </w:tcBorders>
            <w:noWrap w:val="0"/>
            <w:vAlign w:val="center"/>
          </w:tcPr>
          <w:p w14:paraId="453DF916">
            <w:pPr>
              <w:jc w:val="center"/>
              <w:rPr>
                <w:b/>
                <w:color w:val="auto"/>
                <w:sz w:val="24"/>
                <w:highlight w:val="none"/>
              </w:rPr>
            </w:pPr>
            <w:r>
              <w:rPr>
                <w:rFonts w:hint="eastAsia"/>
                <w:b/>
                <w:color w:val="auto"/>
                <w:sz w:val="24"/>
                <w:highlight w:val="none"/>
              </w:rPr>
              <w:t>考核细则</w:t>
            </w:r>
          </w:p>
        </w:tc>
        <w:tc>
          <w:tcPr>
            <w:tcW w:w="1388" w:type="dxa"/>
            <w:tcBorders>
              <w:tl2br w:val="nil"/>
              <w:tr2bl w:val="nil"/>
            </w:tcBorders>
            <w:noWrap w:val="0"/>
            <w:vAlign w:val="center"/>
          </w:tcPr>
          <w:p w14:paraId="03957BE1">
            <w:pPr>
              <w:jc w:val="center"/>
              <w:rPr>
                <w:rFonts w:hint="eastAsia" w:eastAsia="宋体"/>
                <w:b/>
                <w:color w:val="auto"/>
                <w:sz w:val="24"/>
                <w:highlight w:val="none"/>
                <w:lang w:eastAsia="zh-CN"/>
              </w:rPr>
            </w:pPr>
            <w:r>
              <w:rPr>
                <w:rFonts w:hint="eastAsia"/>
                <w:b/>
                <w:color w:val="auto"/>
                <w:sz w:val="24"/>
                <w:highlight w:val="none"/>
                <w:lang w:eastAsia="zh-CN"/>
              </w:rPr>
              <w:t>占分</w:t>
            </w:r>
          </w:p>
        </w:tc>
        <w:tc>
          <w:tcPr>
            <w:tcW w:w="1410" w:type="dxa"/>
            <w:tcBorders>
              <w:tl2br w:val="nil"/>
              <w:tr2bl w:val="nil"/>
            </w:tcBorders>
            <w:noWrap w:val="0"/>
            <w:vAlign w:val="center"/>
          </w:tcPr>
          <w:p w14:paraId="23E99A51">
            <w:pPr>
              <w:jc w:val="center"/>
              <w:rPr>
                <w:b/>
                <w:color w:val="auto"/>
                <w:sz w:val="24"/>
                <w:highlight w:val="none"/>
              </w:rPr>
            </w:pPr>
            <w:r>
              <w:rPr>
                <w:rFonts w:hint="eastAsia"/>
                <w:b/>
                <w:color w:val="auto"/>
                <w:sz w:val="24"/>
                <w:highlight w:val="none"/>
              </w:rPr>
              <w:t>得分</w:t>
            </w:r>
          </w:p>
        </w:tc>
        <w:tc>
          <w:tcPr>
            <w:tcW w:w="3249" w:type="dxa"/>
            <w:tcBorders>
              <w:tl2br w:val="nil"/>
              <w:tr2bl w:val="nil"/>
            </w:tcBorders>
            <w:noWrap w:val="0"/>
            <w:vAlign w:val="center"/>
          </w:tcPr>
          <w:p w14:paraId="06A66F02">
            <w:pPr>
              <w:jc w:val="center"/>
              <w:rPr>
                <w:rFonts w:hint="eastAsia"/>
                <w:b/>
                <w:color w:val="auto"/>
                <w:sz w:val="24"/>
                <w:highlight w:val="none"/>
              </w:rPr>
            </w:pPr>
            <w:r>
              <w:rPr>
                <w:rFonts w:hint="eastAsia"/>
                <w:b/>
                <w:color w:val="auto"/>
                <w:sz w:val="24"/>
                <w:highlight w:val="none"/>
              </w:rPr>
              <w:t>扣罚和奖励明细</w:t>
            </w:r>
          </w:p>
        </w:tc>
      </w:tr>
      <w:tr w14:paraId="51B7A2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632" w:type="dxa"/>
            <w:tcBorders>
              <w:tl2br w:val="nil"/>
              <w:tr2bl w:val="nil"/>
            </w:tcBorders>
            <w:noWrap w:val="0"/>
            <w:vAlign w:val="center"/>
          </w:tcPr>
          <w:p w14:paraId="4A4E411D">
            <w:pPr>
              <w:spacing w:line="280" w:lineRule="exact"/>
              <w:jc w:val="center"/>
              <w:rPr>
                <w:rFonts w:hint="eastAsia" w:eastAsia="宋体"/>
                <w:color w:val="auto"/>
                <w:szCs w:val="21"/>
                <w:highlight w:val="none"/>
                <w:lang w:eastAsia="zh-CN"/>
              </w:rPr>
            </w:pPr>
            <w:r>
              <w:rPr>
                <w:rFonts w:hint="eastAsia"/>
                <w:color w:val="auto"/>
                <w:szCs w:val="21"/>
                <w:highlight w:val="none"/>
                <w:lang w:val="en-US" w:eastAsia="zh-CN"/>
              </w:rPr>
              <w:t>1</w:t>
            </w:r>
          </w:p>
        </w:tc>
        <w:tc>
          <w:tcPr>
            <w:tcW w:w="1221" w:type="dxa"/>
            <w:tcBorders>
              <w:tl2br w:val="nil"/>
              <w:tr2bl w:val="nil"/>
            </w:tcBorders>
            <w:noWrap w:val="0"/>
            <w:vAlign w:val="center"/>
          </w:tcPr>
          <w:p w14:paraId="04E24F4D">
            <w:pPr>
              <w:spacing w:line="280" w:lineRule="exact"/>
              <w:jc w:val="center"/>
              <w:rPr>
                <w:color w:val="auto"/>
                <w:szCs w:val="21"/>
                <w:highlight w:val="none"/>
              </w:rPr>
            </w:pPr>
            <w:r>
              <w:rPr>
                <w:rFonts w:hint="eastAsia"/>
                <w:color w:val="auto"/>
                <w:szCs w:val="21"/>
                <w:highlight w:val="none"/>
              </w:rPr>
              <w:t>仪容仪表</w:t>
            </w:r>
          </w:p>
          <w:p w14:paraId="0002104C">
            <w:pPr>
              <w:spacing w:line="280" w:lineRule="exact"/>
              <w:jc w:val="center"/>
              <w:rPr>
                <w:rFonts w:hint="eastAsia" w:eastAsia="宋体"/>
                <w:color w:val="auto"/>
                <w:szCs w:val="21"/>
                <w:highlight w:val="none"/>
                <w:lang w:val="en-US" w:eastAsia="zh-CN"/>
              </w:rPr>
            </w:pPr>
          </w:p>
        </w:tc>
        <w:tc>
          <w:tcPr>
            <w:tcW w:w="6242" w:type="dxa"/>
            <w:tcBorders>
              <w:tl2br w:val="nil"/>
              <w:tr2bl w:val="nil"/>
            </w:tcBorders>
            <w:noWrap w:val="0"/>
            <w:vAlign w:val="center"/>
          </w:tcPr>
          <w:p w14:paraId="09ABD825">
            <w:pPr>
              <w:pStyle w:val="112"/>
              <w:numPr>
                <w:ilvl w:val="0"/>
                <w:numId w:val="21"/>
              </w:numPr>
              <w:spacing w:line="280" w:lineRule="exact"/>
              <w:ind w:firstLineChars="0"/>
              <w:rPr>
                <w:color w:val="auto"/>
                <w:szCs w:val="21"/>
                <w:highlight w:val="none"/>
              </w:rPr>
            </w:pPr>
            <w:r>
              <w:rPr>
                <w:rFonts w:hint="eastAsia"/>
                <w:color w:val="auto"/>
                <w:szCs w:val="21"/>
                <w:highlight w:val="none"/>
              </w:rPr>
              <w:t>穿工作服，戴工号牌</w:t>
            </w:r>
            <w:r>
              <w:rPr>
                <w:rFonts w:hint="eastAsia"/>
                <w:color w:val="auto"/>
                <w:szCs w:val="21"/>
                <w:highlight w:val="none"/>
                <w:lang w:eastAsia="zh-CN"/>
              </w:rPr>
              <w:t>；</w:t>
            </w:r>
          </w:p>
          <w:p w14:paraId="1F8BBCB1">
            <w:pPr>
              <w:pStyle w:val="112"/>
              <w:numPr>
                <w:ilvl w:val="0"/>
                <w:numId w:val="21"/>
              </w:numPr>
              <w:spacing w:line="280" w:lineRule="exact"/>
              <w:ind w:firstLineChars="0"/>
              <w:rPr>
                <w:color w:val="auto"/>
                <w:szCs w:val="21"/>
                <w:highlight w:val="none"/>
              </w:rPr>
            </w:pPr>
            <w:r>
              <w:rPr>
                <w:rFonts w:hint="eastAsia"/>
                <w:color w:val="auto"/>
                <w:szCs w:val="21"/>
                <w:highlight w:val="none"/>
              </w:rPr>
              <w:t>男性不留长发，不留须</w:t>
            </w:r>
            <w:r>
              <w:rPr>
                <w:rFonts w:hint="eastAsia"/>
                <w:color w:val="auto"/>
                <w:szCs w:val="21"/>
                <w:highlight w:val="none"/>
                <w:lang w:eastAsia="zh-CN"/>
              </w:rPr>
              <w:t>；</w:t>
            </w:r>
          </w:p>
          <w:p w14:paraId="04275E8E">
            <w:pPr>
              <w:pStyle w:val="112"/>
              <w:numPr>
                <w:ilvl w:val="0"/>
                <w:numId w:val="21"/>
              </w:numPr>
              <w:spacing w:line="280" w:lineRule="exact"/>
              <w:ind w:firstLineChars="0"/>
              <w:rPr>
                <w:color w:val="auto"/>
                <w:szCs w:val="21"/>
                <w:highlight w:val="none"/>
              </w:rPr>
            </w:pPr>
            <w:r>
              <w:rPr>
                <w:rFonts w:hint="eastAsia"/>
                <w:color w:val="auto"/>
                <w:szCs w:val="21"/>
                <w:highlight w:val="none"/>
              </w:rPr>
              <w:t>衣着卫生整洁，精神饱满</w:t>
            </w:r>
            <w:r>
              <w:rPr>
                <w:rFonts w:hint="eastAsia"/>
                <w:color w:val="auto"/>
                <w:szCs w:val="21"/>
                <w:highlight w:val="none"/>
                <w:lang w:eastAsia="zh-CN"/>
              </w:rPr>
              <w:t>。</w:t>
            </w:r>
          </w:p>
        </w:tc>
        <w:tc>
          <w:tcPr>
            <w:tcW w:w="1388" w:type="dxa"/>
            <w:tcBorders>
              <w:tl2br w:val="nil"/>
              <w:tr2bl w:val="nil"/>
            </w:tcBorders>
            <w:noWrap w:val="0"/>
            <w:vAlign w:val="center"/>
          </w:tcPr>
          <w:p w14:paraId="1B77E48C">
            <w:pPr>
              <w:spacing w:line="280" w:lineRule="exact"/>
              <w:jc w:val="center"/>
              <w:rPr>
                <w:rFonts w:hint="eastAsia" w:eastAsia="宋体"/>
                <w:color w:val="auto"/>
                <w:szCs w:val="21"/>
                <w:highlight w:val="none"/>
                <w:lang w:val="en-US" w:eastAsia="zh-CN"/>
              </w:rPr>
            </w:pPr>
            <w:r>
              <w:rPr>
                <w:color w:val="auto"/>
                <w:szCs w:val="21"/>
                <w:highlight w:val="none"/>
              </w:rPr>
              <w:t>5</w:t>
            </w:r>
            <w:r>
              <w:rPr>
                <w:rFonts w:hint="eastAsia"/>
                <w:color w:val="auto"/>
                <w:szCs w:val="21"/>
                <w:highlight w:val="none"/>
              </w:rPr>
              <w:t>分</w:t>
            </w:r>
          </w:p>
        </w:tc>
        <w:tc>
          <w:tcPr>
            <w:tcW w:w="1410" w:type="dxa"/>
            <w:tcBorders>
              <w:tl2br w:val="nil"/>
              <w:tr2bl w:val="nil"/>
            </w:tcBorders>
            <w:noWrap w:val="0"/>
            <w:vAlign w:val="center"/>
          </w:tcPr>
          <w:p w14:paraId="4D2F8F33">
            <w:pPr>
              <w:spacing w:line="280" w:lineRule="exact"/>
              <w:jc w:val="center"/>
              <w:rPr>
                <w:rFonts w:hint="eastAsia"/>
                <w:color w:val="auto"/>
                <w:szCs w:val="21"/>
                <w:highlight w:val="none"/>
              </w:rPr>
            </w:pPr>
          </w:p>
        </w:tc>
        <w:tc>
          <w:tcPr>
            <w:tcW w:w="3249" w:type="dxa"/>
            <w:tcBorders>
              <w:tl2br w:val="nil"/>
              <w:tr2bl w:val="nil"/>
            </w:tcBorders>
            <w:noWrap w:val="0"/>
            <w:vAlign w:val="center"/>
          </w:tcPr>
          <w:p w14:paraId="2A1B5619">
            <w:pPr>
              <w:spacing w:line="280" w:lineRule="exact"/>
              <w:jc w:val="center"/>
              <w:rPr>
                <w:color w:val="auto"/>
                <w:szCs w:val="21"/>
                <w:highlight w:val="none"/>
              </w:rPr>
            </w:pPr>
            <w:r>
              <w:rPr>
                <w:rFonts w:hint="eastAsia"/>
                <w:color w:val="auto"/>
                <w:szCs w:val="21"/>
                <w:highlight w:val="none"/>
              </w:rPr>
              <w:t>发现违规每次每项扣</w:t>
            </w:r>
            <w:r>
              <w:rPr>
                <w:color w:val="auto"/>
                <w:szCs w:val="21"/>
                <w:highlight w:val="none"/>
              </w:rPr>
              <w:t>1</w:t>
            </w:r>
            <w:r>
              <w:rPr>
                <w:rFonts w:hint="eastAsia"/>
                <w:color w:val="auto"/>
                <w:szCs w:val="21"/>
                <w:highlight w:val="none"/>
              </w:rPr>
              <w:t>分</w:t>
            </w:r>
            <w:r>
              <w:rPr>
                <w:rFonts w:hint="eastAsia"/>
                <w:color w:val="auto"/>
                <w:szCs w:val="21"/>
                <w:highlight w:val="none"/>
                <w:lang w:eastAsia="zh-CN"/>
              </w:rPr>
              <w:t>。</w:t>
            </w:r>
          </w:p>
        </w:tc>
      </w:tr>
      <w:tr w14:paraId="4FD94A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00" w:hRule="atLeast"/>
        </w:trPr>
        <w:tc>
          <w:tcPr>
            <w:tcW w:w="632" w:type="dxa"/>
            <w:tcBorders>
              <w:tl2br w:val="nil"/>
              <w:tr2bl w:val="nil"/>
            </w:tcBorders>
            <w:noWrap w:val="0"/>
            <w:vAlign w:val="center"/>
          </w:tcPr>
          <w:p w14:paraId="74DAD6DA">
            <w:pPr>
              <w:spacing w:line="280" w:lineRule="exact"/>
              <w:jc w:val="center"/>
              <w:rPr>
                <w:rFonts w:hint="eastAsia" w:eastAsia="宋体"/>
                <w:color w:val="auto"/>
                <w:szCs w:val="21"/>
                <w:highlight w:val="none"/>
                <w:lang w:eastAsia="zh-CN"/>
              </w:rPr>
            </w:pPr>
            <w:r>
              <w:rPr>
                <w:rFonts w:hint="eastAsia"/>
                <w:color w:val="auto"/>
                <w:szCs w:val="21"/>
                <w:highlight w:val="none"/>
                <w:lang w:val="en-US" w:eastAsia="zh-CN"/>
              </w:rPr>
              <w:t>2</w:t>
            </w:r>
          </w:p>
        </w:tc>
        <w:tc>
          <w:tcPr>
            <w:tcW w:w="1221" w:type="dxa"/>
            <w:tcBorders>
              <w:tl2br w:val="nil"/>
              <w:tr2bl w:val="nil"/>
            </w:tcBorders>
            <w:noWrap w:val="0"/>
            <w:vAlign w:val="center"/>
          </w:tcPr>
          <w:p w14:paraId="6E1AA217">
            <w:pPr>
              <w:spacing w:line="280" w:lineRule="exact"/>
              <w:jc w:val="center"/>
              <w:rPr>
                <w:color w:val="auto"/>
                <w:szCs w:val="21"/>
                <w:highlight w:val="none"/>
              </w:rPr>
            </w:pPr>
            <w:r>
              <w:rPr>
                <w:rFonts w:hint="eastAsia"/>
                <w:color w:val="auto"/>
                <w:szCs w:val="21"/>
                <w:highlight w:val="none"/>
              </w:rPr>
              <w:t>行为举止</w:t>
            </w:r>
          </w:p>
          <w:p w14:paraId="27387608">
            <w:pPr>
              <w:spacing w:line="280" w:lineRule="exact"/>
              <w:jc w:val="center"/>
              <w:rPr>
                <w:rFonts w:hint="eastAsia" w:eastAsia="宋体"/>
                <w:color w:val="auto"/>
                <w:szCs w:val="21"/>
                <w:highlight w:val="none"/>
                <w:lang w:val="en-US" w:eastAsia="zh-CN"/>
              </w:rPr>
            </w:pPr>
          </w:p>
        </w:tc>
        <w:tc>
          <w:tcPr>
            <w:tcW w:w="6242" w:type="dxa"/>
            <w:tcBorders>
              <w:tl2br w:val="nil"/>
              <w:tr2bl w:val="nil"/>
            </w:tcBorders>
            <w:noWrap w:val="0"/>
            <w:vAlign w:val="center"/>
          </w:tcPr>
          <w:p w14:paraId="6C370676">
            <w:pPr>
              <w:pStyle w:val="112"/>
              <w:numPr>
                <w:ilvl w:val="0"/>
                <w:numId w:val="22"/>
              </w:numPr>
              <w:spacing w:line="280" w:lineRule="exact"/>
              <w:ind w:firstLineChars="0"/>
              <w:rPr>
                <w:color w:val="auto"/>
                <w:szCs w:val="21"/>
                <w:highlight w:val="none"/>
              </w:rPr>
            </w:pPr>
            <w:r>
              <w:rPr>
                <w:rFonts w:hint="eastAsia"/>
                <w:color w:val="auto"/>
                <w:szCs w:val="21"/>
                <w:highlight w:val="none"/>
              </w:rPr>
              <w:t>服务态度好，接人待物有礼有节</w:t>
            </w:r>
            <w:r>
              <w:rPr>
                <w:rFonts w:hint="eastAsia"/>
                <w:color w:val="auto"/>
                <w:szCs w:val="21"/>
                <w:highlight w:val="none"/>
                <w:lang w:eastAsia="zh-CN"/>
              </w:rPr>
              <w:t>；</w:t>
            </w:r>
          </w:p>
          <w:p w14:paraId="1683BCC9">
            <w:pPr>
              <w:pStyle w:val="112"/>
              <w:numPr>
                <w:ilvl w:val="0"/>
                <w:numId w:val="22"/>
              </w:numPr>
              <w:spacing w:line="280" w:lineRule="exact"/>
              <w:ind w:firstLineChars="0"/>
              <w:rPr>
                <w:color w:val="auto"/>
                <w:szCs w:val="21"/>
                <w:highlight w:val="none"/>
              </w:rPr>
            </w:pPr>
            <w:r>
              <w:rPr>
                <w:rFonts w:hint="eastAsia"/>
                <w:color w:val="auto"/>
                <w:szCs w:val="21"/>
                <w:highlight w:val="none"/>
                <w:lang w:eastAsia="zh-CN"/>
              </w:rPr>
              <w:t>严格执行大厅坐值班制度，</w:t>
            </w:r>
            <w:r>
              <w:rPr>
                <w:rFonts w:hint="eastAsia"/>
                <w:color w:val="auto"/>
                <w:szCs w:val="21"/>
                <w:highlight w:val="none"/>
              </w:rPr>
              <w:t>坐姿、站姿端正、规范</w:t>
            </w:r>
            <w:r>
              <w:rPr>
                <w:rFonts w:hint="eastAsia"/>
                <w:color w:val="auto"/>
                <w:szCs w:val="21"/>
                <w:highlight w:val="none"/>
                <w:lang w:eastAsia="zh-CN"/>
              </w:rPr>
              <w:t>；</w:t>
            </w:r>
          </w:p>
          <w:p w14:paraId="3837463A">
            <w:pPr>
              <w:pStyle w:val="112"/>
              <w:numPr>
                <w:ilvl w:val="0"/>
                <w:numId w:val="22"/>
              </w:numPr>
              <w:spacing w:line="280" w:lineRule="exact"/>
              <w:ind w:firstLineChars="0"/>
              <w:rPr>
                <w:color w:val="auto"/>
                <w:szCs w:val="21"/>
                <w:highlight w:val="none"/>
              </w:rPr>
            </w:pPr>
            <w:r>
              <w:rPr>
                <w:rFonts w:hint="eastAsia"/>
                <w:color w:val="auto"/>
                <w:szCs w:val="21"/>
                <w:highlight w:val="none"/>
              </w:rPr>
              <w:t>遵守劳动纪律，不迟到、早退、离岗、串岗、不睡岗</w:t>
            </w:r>
            <w:r>
              <w:rPr>
                <w:rFonts w:hint="eastAsia"/>
                <w:color w:val="auto"/>
                <w:szCs w:val="21"/>
                <w:highlight w:val="none"/>
                <w:lang w:eastAsia="zh-CN"/>
              </w:rPr>
              <w:t>；</w:t>
            </w:r>
          </w:p>
          <w:p w14:paraId="3172C0CC">
            <w:pPr>
              <w:pStyle w:val="112"/>
              <w:numPr>
                <w:ilvl w:val="0"/>
                <w:numId w:val="22"/>
              </w:numPr>
              <w:spacing w:line="280" w:lineRule="exact"/>
              <w:ind w:firstLineChars="0"/>
              <w:rPr>
                <w:color w:val="auto"/>
                <w:szCs w:val="21"/>
                <w:highlight w:val="none"/>
              </w:rPr>
            </w:pPr>
            <w:r>
              <w:rPr>
                <w:rFonts w:hint="eastAsia"/>
                <w:color w:val="auto"/>
                <w:szCs w:val="21"/>
                <w:highlight w:val="none"/>
              </w:rPr>
              <w:t>不抽烟、嚼槟榔、听音乐、看书、看视频等</w:t>
            </w:r>
            <w:r>
              <w:rPr>
                <w:rFonts w:hint="eastAsia"/>
                <w:color w:val="auto"/>
                <w:szCs w:val="21"/>
                <w:highlight w:val="none"/>
                <w:lang w:eastAsia="zh-CN"/>
              </w:rPr>
              <w:t>；</w:t>
            </w:r>
          </w:p>
          <w:p w14:paraId="715E9124">
            <w:pPr>
              <w:pStyle w:val="112"/>
              <w:numPr>
                <w:ilvl w:val="0"/>
                <w:numId w:val="22"/>
              </w:numPr>
              <w:spacing w:line="280" w:lineRule="exact"/>
              <w:ind w:firstLineChars="0"/>
              <w:rPr>
                <w:rFonts w:hint="eastAsia"/>
                <w:color w:val="auto"/>
                <w:szCs w:val="21"/>
                <w:highlight w:val="none"/>
              </w:rPr>
            </w:pPr>
            <w:r>
              <w:rPr>
                <w:rFonts w:hint="eastAsia"/>
                <w:color w:val="auto"/>
                <w:szCs w:val="21"/>
                <w:highlight w:val="none"/>
              </w:rPr>
              <w:t>不在宿舍从事经营活动</w:t>
            </w:r>
            <w:r>
              <w:rPr>
                <w:rFonts w:hint="eastAsia"/>
                <w:color w:val="auto"/>
                <w:szCs w:val="21"/>
                <w:highlight w:val="none"/>
                <w:lang w:eastAsia="zh-CN"/>
              </w:rPr>
              <w:t>；</w:t>
            </w:r>
          </w:p>
          <w:p w14:paraId="507C76F7">
            <w:pPr>
              <w:pStyle w:val="112"/>
              <w:numPr>
                <w:ilvl w:val="0"/>
                <w:numId w:val="22"/>
              </w:numPr>
              <w:spacing w:line="280" w:lineRule="exact"/>
              <w:ind w:firstLineChars="0"/>
              <w:rPr>
                <w:rFonts w:hint="eastAsia"/>
                <w:color w:val="auto"/>
                <w:szCs w:val="21"/>
                <w:highlight w:val="none"/>
              </w:rPr>
            </w:pPr>
            <w:r>
              <w:rPr>
                <w:rFonts w:hint="eastAsia"/>
                <w:color w:val="auto"/>
                <w:szCs w:val="21"/>
                <w:highlight w:val="none"/>
              </w:rPr>
              <w:t>不与外卖人员相互勾结</w:t>
            </w:r>
            <w:r>
              <w:rPr>
                <w:rFonts w:hint="eastAsia"/>
                <w:color w:val="auto"/>
                <w:szCs w:val="21"/>
                <w:highlight w:val="none"/>
                <w:lang w:eastAsia="zh-CN"/>
              </w:rPr>
              <w:t>；</w:t>
            </w:r>
          </w:p>
          <w:p w14:paraId="23148A1A">
            <w:pPr>
              <w:pStyle w:val="112"/>
              <w:numPr>
                <w:ilvl w:val="0"/>
                <w:numId w:val="22"/>
              </w:numPr>
              <w:spacing w:line="280" w:lineRule="exact"/>
              <w:ind w:firstLineChars="0"/>
              <w:rPr>
                <w:color w:val="auto"/>
                <w:szCs w:val="21"/>
                <w:highlight w:val="none"/>
              </w:rPr>
            </w:pPr>
            <w:r>
              <w:rPr>
                <w:rFonts w:hint="eastAsia"/>
                <w:color w:val="auto"/>
                <w:szCs w:val="21"/>
                <w:highlight w:val="none"/>
              </w:rPr>
              <w:t>不在值班室与无关人员闲聊</w:t>
            </w:r>
            <w:r>
              <w:rPr>
                <w:rFonts w:hint="eastAsia"/>
                <w:color w:val="auto"/>
                <w:szCs w:val="21"/>
                <w:highlight w:val="none"/>
                <w:lang w:eastAsia="zh-CN"/>
              </w:rPr>
              <w:t>。</w:t>
            </w:r>
          </w:p>
        </w:tc>
        <w:tc>
          <w:tcPr>
            <w:tcW w:w="1388" w:type="dxa"/>
            <w:tcBorders>
              <w:tl2br w:val="nil"/>
              <w:tr2bl w:val="nil"/>
            </w:tcBorders>
            <w:noWrap w:val="0"/>
            <w:vAlign w:val="center"/>
          </w:tcPr>
          <w:p w14:paraId="6BC09EA6">
            <w:pPr>
              <w:spacing w:line="280" w:lineRule="exact"/>
              <w:jc w:val="center"/>
              <w:rPr>
                <w:rFonts w:hint="eastAsia" w:eastAsia="宋体"/>
                <w:color w:val="auto"/>
                <w:szCs w:val="21"/>
                <w:highlight w:val="none"/>
                <w:lang w:eastAsia="zh-CN"/>
              </w:rPr>
            </w:pPr>
            <w:r>
              <w:rPr>
                <w:color w:val="auto"/>
                <w:szCs w:val="21"/>
                <w:highlight w:val="none"/>
              </w:rPr>
              <w:t>10</w:t>
            </w:r>
            <w:r>
              <w:rPr>
                <w:rFonts w:hint="eastAsia"/>
                <w:color w:val="auto"/>
                <w:szCs w:val="21"/>
                <w:highlight w:val="none"/>
              </w:rPr>
              <w:t>分</w:t>
            </w:r>
          </w:p>
        </w:tc>
        <w:tc>
          <w:tcPr>
            <w:tcW w:w="1410" w:type="dxa"/>
            <w:tcBorders>
              <w:tl2br w:val="nil"/>
              <w:tr2bl w:val="nil"/>
            </w:tcBorders>
            <w:noWrap w:val="0"/>
            <w:vAlign w:val="center"/>
          </w:tcPr>
          <w:p w14:paraId="0B7ADAE8">
            <w:pPr>
              <w:spacing w:line="280" w:lineRule="exact"/>
              <w:jc w:val="center"/>
              <w:rPr>
                <w:rFonts w:hint="eastAsia"/>
                <w:color w:val="auto"/>
                <w:szCs w:val="21"/>
                <w:highlight w:val="none"/>
              </w:rPr>
            </w:pPr>
          </w:p>
        </w:tc>
        <w:tc>
          <w:tcPr>
            <w:tcW w:w="3249" w:type="dxa"/>
            <w:tcBorders>
              <w:tl2br w:val="nil"/>
              <w:tr2bl w:val="nil"/>
            </w:tcBorders>
            <w:noWrap w:val="0"/>
            <w:vAlign w:val="center"/>
          </w:tcPr>
          <w:p w14:paraId="675D82E3">
            <w:pPr>
              <w:spacing w:line="280" w:lineRule="exact"/>
              <w:jc w:val="center"/>
              <w:rPr>
                <w:color w:val="auto"/>
                <w:szCs w:val="21"/>
                <w:highlight w:val="none"/>
              </w:rPr>
            </w:pPr>
            <w:r>
              <w:rPr>
                <w:rFonts w:hint="eastAsia"/>
                <w:color w:val="auto"/>
                <w:szCs w:val="21"/>
                <w:highlight w:val="none"/>
              </w:rPr>
              <w:t>发现违规每次每项扣</w:t>
            </w:r>
            <w:r>
              <w:rPr>
                <w:color w:val="auto"/>
                <w:szCs w:val="21"/>
                <w:highlight w:val="none"/>
              </w:rPr>
              <w:t>1</w:t>
            </w:r>
            <w:r>
              <w:rPr>
                <w:rFonts w:hint="eastAsia"/>
                <w:color w:val="auto"/>
                <w:szCs w:val="21"/>
                <w:highlight w:val="none"/>
              </w:rPr>
              <w:t>分，师生投诉每次扣</w:t>
            </w:r>
            <w:r>
              <w:rPr>
                <w:color w:val="auto"/>
                <w:szCs w:val="21"/>
                <w:highlight w:val="none"/>
              </w:rPr>
              <w:t>2</w:t>
            </w:r>
            <w:r>
              <w:rPr>
                <w:rFonts w:hint="eastAsia"/>
                <w:color w:val="auto"/>
                <w:szCs w:val="21"/>
                <w:highlight w:val="none"/>
              </w:rPr>
              <w:t>分</w:t>
            </w:r>
            <w:r>
              <w:rPr>
                <w:rFonts w:hint="eastAsia"/>
                <w:color w:val="auto"/>
                <w:szCs w:val="21"/>
                <w:highlight w:val="none"/>
                <w:lang w:eastAsia="zh-CN"/>
              </w:rPr>
              <w:t>。</w:t>
            </w:r>
          </w:p>
        </w:tc>
      </w:tr>
      <w:tr w14:paraId="6E9A61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7" w:hRule="atLeast"/>
        </w:trPr>
        <w:tc>
          <w:tcPr>
            <w:tcW w:w="632" w:type="dxa"/>
            <w:tcBorders>
              <w:tl2br w:val="nil"/>
              <w:tr2bl w:val="nil"/>
            </w:tcBorders>
            <w:noWrap w:val="0"/>
            <w:vAlign w:val="center"/>
          </w:tcPr>
          <w:p w14:paraId="3DBCDD05">
            <w:pPr>
              <w:spacing w:line="280" w:lineRule="exact"/>
              <w:jc w:val="center"/>
              <w:rPr>
                <w:rFonts w:hint="eastAsia" w:eastAsia="宋体"/>
                <w:color w:val="auto"/>
                <w:szCs w:val="21"/>
                <w:highlight w:val="none"/>
                <w:lang w:eastAsia="zh-CN"/>
              </w:rPr>
            </w:pPr>
            <w:r>
              <w:rPr>
                <w:rFonts w:hint="eastAsia"/>
                <w:color w:val="auto"/>
                <w:szCs w:val="21"/>
                <w:highlight w:val="none"/>
                <w:lang w:val="en-US" w:eastAsia="zh-CN"/>
              </w:rPr>
              <w:t>3</w:t>
            </w:r>
          </w:p>
        </w:tc>
        <w:tc>
          <w:tcPr>
            <w:tcW w:w="1221" w:type="dxa"/>
            <w:tcBorders>
              <w:tl2br w:val="nil"/>
              <w:tr2bl w:val="nil"/>
            </w:tcBorders>
            <w:noWrap w:val="0"/>
            <w:vAlign w:val="center"/>
          </w:tcPr>
          <w:p w14:paraId="6CB4AFF3">
            <w:pPr>
              <w:spacing w:line="280" w:lineRule="exact"/>
              <w:jc w:val="center"/>
              <w:rPr>
                <w:rFonts w:hint="eastAsia" w:eastAsia="宋体"/>
                <w:color w:val="auto"/>
                <w:szCs w:val="21"/>
                <w:highlight w:val="none"/>
                <w:lang w:val="en-US" w:eastAsia="zh-CN"/>
              </w:rPr>
            </w:pPr>
            <w:r>
              <w:rPr>
                <w:rFonts w:hint="eastAsia"/>
                <w:color w:val="auto"/>
                <w:szCs w:val="21"/>
                <w:highlight w:val="none"/>
              </w:rPr>
              <w:t>门卫工作</w:t>
            </w:r>
          </w:p>
        </w:tc>
        <w:tc>
          <w:tcPr>
            <w:tcW w:w="6242" w:type="dxa"/>
            <w:tcBorders>
              <w:tl2br w:val="nil"/>
              <w:tr2bl w:val="nil"/>
            </w:tcBorders>
            <w:noWrap w:val="0"/>
            <w:vAlign w:val="center"/>
          </w:tcPr>
          <w:p w14:paraId="1B53105B">
            <w:pPr>
              <w:pStyle w:val="112"/>
              <w:numPr>
                <w:ilvl w:val="0"/>
                <w:numId w:val="23"/>
              </w:numPr>
              <w:spacing w:line="280" w:lineRule="exact"/>
              <w:ind w:left="368" w:hanging="367" w:hangingChars="175"/>
              <w:rPr>
                <w:color w:val="auto"/>
                <w:szCs w:val="21"/>
                <w:highlight w:val="none"/>
              </w:rPr>
            </w:pPr>
            <w:r>
              <w:rPr>
                <w:rFonts w:hint="eastAsia"/>
                <w:color w:val="auto"/>
                <w:szCs w:val="21"/>
                <w:highlight w:val="none"/>
              </w:rPr>
              <w:t>宿舍实行</w:t>
            </w:r>
            <w:r>
              <w:rPr>
                <w:color w:val="auto"/>
                <w:szCs w:val="21"/>
                <w:highlight w:val="none"/>
              </w:rPr>
              <w:t>24</w:t>
            </w:r>
            <w:r>
              <w:rPr>
                <w:rFonts w:hint="eastAsia"/>
                <w:color w:val="auto"/>
                <w:szCs w:val="21"/>
                <w:highlight w:val="none"/>
              </w:rPr>
              <w:t>小时门口值班制，当班不得随意离开工作岗位，及时预防和制止学生夜逃、吵闹、打架等违纪行为，一经发现，应及时制止，并报告后勤保卫处、宿舍管理科处理</w:t>
            </w:r>
            <w:r>
              <w:rPr>
                <w:rFonts w:hint="eastAsia"/>
                <w:color w:val="auto"/>
                <w:szCs w:val="21"/>
                <w:highlight w:val="none"/>
                <w:lang w:eastAsia="zh-CN"/>
              </w:rPr>
              <w:t>；</w:t>
            </w:r>
          </w:p>
          <w:p w14:paraId="15C117BA">
            <w:pPr>
              <w:pStyle w:val="112"/>
              <w:numPr>
                <w:ilvl w:val="0"/>
                <w:numId w:val="23"/>
              </w:numPr>
              <w:spacing w:line="280" w:lineRule="exact"/>
              <w:ind w:left="368" w:hanging="367" w:hangingChars="175"/>
              <w:rPr>
                <w:color w:val="auto"/>
                <w:szCs w:val="21"/>
                <w:highlight w:val="none"/>
              </w:rPr>
            </w:pPr>
            <w:r>
              <w:rPr>
                <w:rFonts w:hint="eastAsia"/>
                <w:color w:val="auto"/>
                <w:szCs w:val="21"/>
                <w:highlight w:val="none"/>
              </w:rPr>
              <w:t>学生一律凭一卡通出入宿舍，外来人员应严格检查登记制度，严禁闲杂无证人员进出学生宿舍，学生不经批准不得进入异性宿舍。禁止外来人员在学生宿舍内留宿，学生直系亲属留宿须报宿舍管理科批准</w:t>
            </w:r>
            <w:r>
              <w:rPr>
                <w:rFonts w:hint="eastAsia"/>
                <w:color w:val="auto"/>
                <w:szCs w:val="21"/>
                <w:highlight w:val="none"/>
                <w:lang w:eastAsia="zh-CN"/>
              </w:rPr>
              <w:t>；</w:t>
            </w:r>
          </w:p>
          <w:p w14:paraId="363428AB">
            <w:pPr>
              <w:pStyle w:val="112"/>
              <w:numPr>
                <w:ilvl w:val="0"/>
                <w:numId w:val="23"/>
              </w:numPr>
              <w:spacing w:line="280" w:lineRule="exact"/>
              <w:ind w:left="368" w:hanging="367" w:hangingChars="175"/>
              <w:rPr>
                <w:color w:val="auto"/>
                <w:szCs w:val="21"/>
                <w:highlight w:val="none"/>
              </w:rPr>
            </w:pPr>
            <w:r>
              <w:rPr>
                <w:rFonts w:hint="eastAsia"/>
                <w:color w:val="auto"/>
                <w:szCs w:val="21"/>
                <w:highlight w:val="none"/>
              </w:rPr>
              <w:t>按学校作息时间，严格执行宿舍开、关门制度，早上6：30开门，晚上10：30关门；在学生就寝后，23:00开始对区域内学生宿舍进行一次安全巡查，提醒学生关好门窗，并做好记录</w:t>
            </w:r>
            <w:r>
              <w:rPr>
                <w:rFonts w:hint="eastAsia"/>
                <w:color w:val="auto"/>
                <w:szCs w:val="21"/>
                <w:highlight w:val="none"/>
                <w:lang w:eastAsia="zh-CN"/>
              </w:rPr>
              <w:t>；</w:t>
            </w:r>
            <w:r>
              <w:rPr>
                <w:rFonts w:hint="eastAsia"/>
                <w:color w:val="auto"/>
                <w:szCs w:val="21"/>
                <w:highlight w:val="none"/>
                <w:lang w:val="en-US" w:eastAsia="zh-CN"/>
              </w:rPr>
              <w:t>23：15吹口哨5声提醒学生熄灯；</w:t>
            </w:r>
          </w:p>
          <w:p w14:paraId="2A93457D">
            <w:pPr>
              <w:pStyle w:val="112"/>
              <w:numPr>
                <w:ilvl w:val="0"/>
                <w:numId w:val="23"/>
              </w:numPr>
              <w:spacing w:line="280" w:lineRule="exact"/>
              <w:ind w:left="368" w:hanging="367" w:hangingChars="175"/>
              <w:rPr>
                <w:color w:val="auto"/>
                <w:szCs w:val="21"/>
                <w:highlight w:val="none"/>
              </w:rPr>
            </w:pPr>
            <w:r>
              <w:rPr>
                <w:rFonts w:hint="eastAsia"/>
                <w:color w:val="auto"/>
                <w:szCs w:val="21"/>
                <w:highlight w:val="none"/>
              </w:rPr>
              <w:t>配合学生会干部清点就寝人数，对晚归的学生严格检查登记制度（宿舍大门关闭及登记晚归寝时间：</w:t>
            </w:r>
            <w:r>
              <w:rPr>
                <w:rFonts w:hint="eastAsia"/>
                <w:color w:val="auto"/>
                <w:szCs w:val="21"/>
                <w:highlight w:val="none"/>
                <w:lang w:val="en-US" w:eastAsia="zh-CN"/>
              </w:rPr>
              <w:t>22：30</w:t>
            </w:r>
            <w:r>
              <w:rPr>
                <w:rFonts w:hint="eastAsia"/>
                <w:color w:val="auto"/>
                <w:szCs w:val="21"/>
                <w:highlight w:val="none"/>
              </w:rPr>
              <w:t xml:space="preserve">），发现异常情况及时报告相关部门负责人 </w:t>
            </w:r>
            <w:r>
              <w:rPr>
                <w:rFonts w:hint="eastAsia"/>
                <w:color w:val="auto"/>
                <w:szCs w:val="21"/>
                <w:highlight w:val="none"/>
                <w:lang w:eastAsia="zh-CN"/>
              </w:rPr>
              <w:t>。</w:t>
            </w:r>
            <w:r>
              <w:rPr>
                <w:rFonts w:hint="eastAsia"/>
                <w:color w:val="auto"/>
                <w:szCs w:val="21"/>
                <w:highlight w:val="none"/>
              </w:rPr>
              <w:t xml:space="preserve">                  </w:t>
            </w:r>
          </w:p>
        </w:tc>
        <w:tc>
          <w:tcPr>
            <w:tcW w:w="1388" w:type="dxa"/>
            <w:tcBorders>
              <w:tl2br w:val="nil"/>
              <w:tr2bl w:val="nil"/>
            </w:tcBorders>
            <w:noWrap w:val="0"/>
            <w:vAlign w:val="center"/>
          </w:tcPr>
          <w:p w14:paraId="14D162A4">
            <w:pPr>
              <w:spacing w:line="280" w:lineRule="exact"/>
              <w:jc w:val="center"/>
              <w:rPr>
                <w:color w:val="auto"/>
                <w:szCs w:val="21"/>
                <w:highlight w:val="none"/>
              </w:rPr>
            </w:pPr>
            <w:r>
              <w:rPr>
                <w:rFonts w:hint="eastAsia"/>
                <w:color w:val="auto"/>
                <w:szCs w:val="21"/>
                <w:highlight w:val="none"/>
              </w:rPr>
              <w:t>25分</w:t>
            </w:r>
          </w:p>
        </w:tc>
        <w:tc>
          <w:tcPr>
            <w:tcW w:w="1410" w:type="dxa"/>
            <w:tcBorders>
              <w:tl2br w:val="nil"/>
              <w:tr2bl w:val="nil"/>
            </w:tcBorders>
            <w:noWrap w:val="0"/>
            <w:vAlign w:val="center"/>
          </w:tcPr>
          <w:p w14:paraId="1143BE58">
            <w:pPr>
              <w:spacing w:line="280" w:lineRule="exact"/>
              <w:jc w:val="center"/>
              <w:rPr>
                <w:rFonts w:hint="eastAsia"/>
                <w:color w:val="auto"/>
                <w:szCs w:val="21"/>
                <w:highlight w:val="none"/>
              </w:rPr>
            </w:pPr>
          </w:p>
        </w:tc>
        <w:tc>
          <w:tcPr>
            <w:tcW w:w="3249" w:type="dxa"/>
            <w:tcBorders>
              <w:tl2br w:val="nil"/>
              <w:tr2bl w:val="nil"/>
            </w:tcBorders>
            <w:noWrap w:val="0"/>
            <w:vAlign w:val="center"/>
          </w:tcPr>
          <w:p w14:paraId="730CCE98">
            <w:pPr>
              <w:spacing w:line="280" w:lineRule="exact"/>
              <w:jc w:val="center"/>
              <w:rPr>
                <w:rFonts w:hint="eastAsia" w:eastAsia="宋体"/>
                <w:color w:val="auto"/>
                <w:szCs w:val="21"/>
                <w:highlight w:val="none"/>
                <w:lang w:eastAsia="zh-CN"/>
              </w:rPr>
            </w:pPr>
            <w:r>
              <w:rPr>
                <w:rFonts w:hint="eastAsia"/>
                <w:color w:val="auto"/>
                <w:szCs w:val="21"/>
                <w:highlight w:val="none"/>
              </w:rPr>
              <w:t>发现违规每次每项扣</w:t>
            </w:r>
            <w:r>
              <w:rPr>
                <w:color w:val="auto"/>
                <w:szCs w:val="21"/>
                <w:highlight w:val="none"/>
              </w:rPr>
              <w:t>2</w:t>
            </w:r>
            <w:r>
              <w:rPr>
                <w:rFonts w:hint="eastAsia"/>
                <w:color w:val="auto"/>
                <w:szCs w:val="21"/>
                <w:highlight w:val="none"/>
              </w:rPr>
              <w:t>分</w:t>
            </w:r>
            <w:r>
              <w:rPr>
                <w:rFonts w:hint="eastAsia"/>
                <w:color w:val="auto"/>
                <w:szCs w:val="21"/>
                <w:highlight w:val="none"/>
                <w:lang w:eastAsia="zh-CN"/>
              </w:rPr>
              <w:t>。</w:t>
            </w:r>
          </w:p>
          <w:p w14:paraId="20101A84">
            <w:pPr>
              <w:spacing w:line="280" w:lineRule="exact"/>
              <w:jc w:val="center"/>
              <w:rPr>
                <w:color w:val="auto"/>
                <w:szCs w:val="21"/>
                <w:highlight w:val="none"/>
              </w:rPr>
            </w:pPr>
          </w:p>
        </w:tc>
      </w:tr>
      <w:tr w14:paraId="4F9575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95" w:hRule="atLeast"/>
        </w:trPr>
        <w:tc>
          <w:tcPr>
            <w:tcW w:w="632" w:type="dxa"/>
            <w:tcBorders>
              <w:tl2br w:val="nil"/>
              <w:tr2bl w:val="nil"/>
            </w:tcBorders>
            <w:noWrap w:val="0"/>
            <w:vAlign w:val="center"/>
          </w:tcPr>
          <w:p w14:paraId="12771E2E">
            <w:pPr>
              <w:spacing w:line="280" w:lineRule="exact"/>
              <w:jc w:val="center"/>
              <w:rPr>
                <w:rFonts w:hint="eastAsia" w:eastAsia="宋体"/>
                <w:color w:val="auto"/>
                <w:szCs w:val="21"/>
                <w:highlight w:val="none"/>
                <w:lang w:eastAsia="zh-CN"/>
              </w:rPr>
            </w:pPr>
            <w:r>
              <w:rPr>
                <w:rFonts w:hint="eastAsia"/>
                <w:color w:val="auto"/>
                <w:szCs w:val="21"/>
                <w:highlight w:val="none"/>
                <w:lang w:val="en-US" w:eastAsia="zh-CN"/>
              </w:rPr>
              <w:t>4</w:t>
            </w:r>
          </w:p>
        </w:tc>
        <w:tc>
          <w:tcPr>
            <w:tcW w:w="1221" w:type="dxa"/>
            <w:tcBorders>
              <w:tl2br w:val="nil"/>
              <w:tr2bl w:val="nil"/>
            </w:tcBorders>
            <w:noWrap w:val="0"/>
            <w:vAlign w:val="center"/>
          </w:tcPr>
          <w:p w14:paraId="73C1F6AF">
            <w:pPr>
              <w:spacing w:line="280" w:lineRule="exact"/>
              <w:jc w:val="center"/>
              <w:rPr>
                <w:color w:val="auto"/>
                <w:szCs w:val="21"/>
                <w:highlight w:val="none"/>
              </w:rPr>
            </w:pPr>
            <w:r>
              <w:rPr>
                <w:rFonts w:hint="eastAsia"/>
                <w:color w:val="auto"/>
                <w:szCs w:val="21"/>
                <w:highlight w:val="none"/>
              </w:rPr>
              <w:t>交接班</w:t>
            </w:r>
          </w:p>
          <w:p w14:paraId="52372379">
            <w:pPr>
              <w:spacing w:line="280" w:lineRule="exact"/>
              <w:jc w:val="center"/>
              <w:rPr>
                <w:rFonts w:hint="eastAsia" w:eastAsia="宋体"/>
                <w:color w:val="auto"/>
                <w:szCs w:val="21"/>
                <w:highlight w:val="none"/>
                <w:lang w:eastAsia="zh-CN"/>
              </w:rPr>
            </w:pPr>
          </w:p>
        </w:tc>
        <w:tc>
          <w:tcPr>
            <w:tcW w:w="6242" w:type="dxa"/>
            <w:tcBorders>
              <w:tl2br w:val="nil"/>
              <w:tr2bl w:val="nil"/>
            </w:tcBorders>
            <w:noWrap w:val="0"/>
            <w:vAlign w:val="center"/>
          </w:tcPr>
          <w:p w14:paraId="56268444">
            <w:pPr>
              <w:pStyle w:val="112"/>
              <w:numPr>
                <w:ilvl w:val="0"/>
                <w:numId w:val="24"/>
              </w:numPr>
              <w:spacing w:line="280" w:lineRule="exact"/>
              <w:ind w:firstLineChars="0"/>
              <w:rPr>
                <w:color w:val="auto"/>
                <w:szCs w:val="21"/>
                <w:highlight w:val="none"/>
              </w:rPr>
            </w:pPr>
            <w:r>
              <w:rPr>
                <w:rFonts w:hint="eastAsia"/>
                <w:color w:val="auto"/>
                <w:szCs w:val="21"/>
                <w:highlight w:val="none"/>
              </w:rPr>
              <w:t>提前</w:t>
            </w:r>
            <w:r>
              <w:rPr>
                <w:color w:val="auto"/>
                <w:szCs w:val="21"/>
                <w:highlight w:val="none"/>
              </w:rPr>
              <w:t>15</w:t>
            </w:r>
            <w:r>
              <w:rPr>
                <w:rFonts w:hint="eastAsia"/>
                <w:color w:val="auto"/>
                <w:szCs w:val="21"/>
                <w:highlight w:val="none"/>
              </w:rPr>
              <w:t>分钟到岗，对所接岗位责任区进行检查，无异常情况准时交接班</w:t>
            </w:r>
            <w:r>
              <w:rPr>
                <w:rFonts w:hint="eastAsia"/>
                <w:color w:val="auto"/>
                <w:szCs w:val="21"/>
                <w:highlight w:val="none"/>
                <w:lang w:eastAsia="zh-CN"/>
              </w:rPr>
              <w:t>；</w:t>
            </w:r>
          </w:p>
          <w:p w14:paraId="3378475E">
            <w:pPr>
              <w:pStyle w:val="112"/>
              <w:numPr>
                <w:ilvl w:val="0"/>
                <w:numId w:val="24"/>
              </w:numPr>
              <w:spacing w:line="280" w:lineRule="exact"/>
              <w:ind w:firstLineChars="0"/>
              <w:rPr>
                <w:color w:val="auto"/>
                <w:szCs w:val="21"/>
                <w:highlight w:val="none"/>
              </w:rPr>
            </w:pPr>
            <w:r>
              <w:rPr>
                <w:rFonts w:hint="eastAsia"/>
                <w:color w:val="auto"/>
                <w:szCs w:val="21"/>
                <w:highlight w:val="none"/>
              </w:rPr>
              <w:t>交接班记录清楚准确</w:t>
            </w:r>
            <w:r>
              <w:rPr>
                <w:rFonts w:hint="eastAsia"/>
                <w:color w:val="auto"/>
                <w:szCs w:val="21"/>
                <w:highlight w:val="none"/>
                <w:lang w:eastAsia="zh-CN"/>
              </w:rPr>
              <w:t>。</w:t>
            </w:r>
          </w:p>
        </w:tc>
        <w:tc>
          <w:tcPr>
            <w:tcW w:w="1388" w:type="dxa"/>
            <w:tcBorders>
              <w:tl2br w:val="nil"/>
              <w:tr2bl w:val="nil"/>
            </w:tcBorders>
            <w:noWrap w:val="0"/>
            <w:vAlign w:val="center"/>
          </w:tcPr>
          <w:p w14:paraId="5F6B9D78">
            <w:pPr>
              <w:spacing w:line="280" w:lineRule="exact"/>
              <w:jc w:val="center"/>
              <w:rPr>
                <w:rFonts w:hint="eastAsia" w:eastAsia="宋体"/>
                <w:color w:val="auto"/>
                <w:szCs w:val="21"/>
                <w:highlight w:val="none"/>
                <w:lang w:eastAsia="zh-CN"/>
              </w:rPr>
            </w:pPr>
            <w:r>
              <w:rPr>
                <w:rFonts w:hint="eastAsia"/>
                <w:color w:val="auto"/>
                <w:szCs w:val="21"/>
                <w:highlight w:val="none"/>
              </w:rPr>
              <w:t>5分</w:t>
            </w:r>
          </w:p>
        </w:tc>
        <w:tc>
          <w:tcPr>
            <w:tcW w:w="1410" w:type="dxa"/>
            <w:tcBorders>
              <w:tl2br w:val="nil"/>
              <w:tr2bl w:val="nil"/>
            </w:tcBorders>
            <w:noWrap w:val="0"/>
            <w:vAlign w:val="center"/>
          </w:tcPr>
          <w:p w14:paraId="19544768">
            <w:pPr>
              <w:spacing w:line="280" w:lineRule="exact"/>
              <w:jc w:val="center"/>
              <w:rPr>
                <w:rFonts w:hint="eastAsia"/>
                <w:color w:val="auto"/>
                <w:szCs w:val="21"/>
                <w:highlight w:val="none"/>
              </w:rPr>
            </w:pPr>
          </w:p>
        </w:tc>
        <w:tc>
          <w:tcPr>
            <w:tcW w:w="3249" w:type="dxa"/>
            <w:tcBorders>
              <w:tl2br w:val="nil"/>
              <w:tr2bl w:val="nil"/>
            </w:tcBorders>
            <w:noWrap w:val="0"/>
            <w:vAlign w:val="center"/>
          </w:tcPr>
          <w:p w14:paraId="77BCACCA">
            <w:pPr>
              <w:spacing w:line="280" w:lineRule="exact"/>
              <w:jc w:val="center"/>
              <w:rPr>
                <w:color w:val="auto"/>
                <w:szCs w:val="21"/>
                <w:highlight w:val="none"/>
              </w:rPr>
            </w:pPr>
            <w:r>
              <w:rPr>
                <w:rFonts w:hint="eastAsia"/>
                <w:color w:val="auto"/>
                <w:szCs w:val="21"/>
                <w:highlight w:val="none"/>
              </w:rPr>
              <w:t>发现违规每次每项扣</w:t>
            </w:r>
            <w:r>
              <w:rPr>
                <w:color w:val="auto"/>
                <w:szCs w:val="21"/>
                <w:highlight w:val="none"/>
              </w:rPr>
              <w:t>1</w:t>
            </w:r>
            <w:r>
              <w:rPr>
                <w:rFonts w:hint="eastAsia"/>
                <w:color w:val="auto"/>
                <w:szCs w:val="21"/>
                <w:highlight w:val="none"/>
              </w:rPr>
              <w:t>分</w:t>
            </w:r>
            <w:r>
              <w:rPr>
                <w:rFonts w:hint="eastAsia"/>
                <w:color w:val="auto"/>
                <w:szCs w:val="21"/>
                <w:highlight w:val="none"/>
                <w:lang w:eastAsia="zh-CN"/>
              </w:rPr>
              <w:t>。</w:t>
            </w:r>
          </w:p>
        </w:tc>
      </w:tr>
      <w:tr w14:paraId="3141C7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27" w:hRule="atLeast"/>
        </w:trPr>
        <w:tc>
          <w:tcPr>
            <w:tcW w:w="632" w:type="dxa"/>
            <w:tcBorders>
              <w:tl2br w:val="nil"/>
              <w:tr2bl w:val="nil"/>
            </w:tcBorders>
            <w:noWrap w:val="0"/>
            <w:vAlign w:val="center"/>
          </w:tcPr>
          <w:p w14:paraId="1FA27427">
            <w:pPr>
              <w:spacing w:line="280" w:lineRule="exact"/>
              <w:jc w:val="center"/>
              <w:rPr>
                <w:rFonts w:hint="eastAsia" w:eastAsia="宋体"/>
                <w:color w:val="auto"/>
                <w:szCs w:val="21"/>
                <w:highlight w:val="none"/>
                <w:lang w:eastAsia="zh-CN"/>
              </w:rPr>
            </w:pPr>
            <w:r>
              <w:rPr>
                <w:rFonts w:hint="eastAsia"/>
                <w:color w:val="auto"/>
                <w:szCs w:val="21"/>
                <w:highlight w:val="none"/>
                <w:lang w:val="en-US" w:eastAsia="zh-CN"/>
              </w:rPr>
              <w:t>5</w:t>
            </w:r>
          </w:p>
        </w:tc>
        <w:tc>
          <w:tcPr>
            <w:tcW w:w="1221" w:type="dxa"/>
            <w:tcBorders>
              <w:tl2br w:val="nil"/>
              <w:tr2bl w:val="nil"/>
            </w:tcBorders>
            <w:noWrap w:val="0"/>
            <w:vAlign w:val="center"/>
          </w:tcPr>
          <w:p w14:paraId="1CBB41DA">
            <w:pPr>
              <w:spacing w:line="280" w:lineRule="exact"/>
              <w:jc w:val="center"/>
              <w:rPr>
                <w:rFonts w:hint="eastAsia"/>
                <w:color w:val="auto"/>
                <w:szCs w:val="21"/>
                <w:highlight w:val="none"/>
              </w:rPr>
            </w:pPr>
            <w:r>
              <w:rPr>
                <w:rFonts w:hint="eastAsia"/>
                <w:color w:val="auto"/>
                <w:szCs w:val="21"/>
                <w:highlight w:val="none"/>
              </w:rPr>
              <w:t>卫生工作</w:t>
            </w:r>
          </w:p>
          <w:p w14:paraId="35E5BE67">
            <w:pPr>
              <w:spacing w:line="280" w:lineRule="exact"/>
              <w:jc w:val="center"/>
              <w:rPr>
                <w:rFonts w:hint="eastAsia" w:eastAsia="宋体"/>
                <w:color w:val="auto"/>
                <w:szCs w:val="21"/>
                <w:highlight w:val="none"/>
                <w:lang w:eastAsia="zh-CN"/>
              </w:rPr>
            </w:pPr>
          </w:p>
        </w:tc>
        <w:tc>
          <w:tcPr>
            <w:tcW w:w="6242" w:type="dxa"/>
            <w:tcBorders>
              <w:tl2br w:val="nil"/>
              <w:tr2bl w:val="nil"/>
            </w:tcBorders>
            <w:noWrap w:val="0"/>
            <w:vAlign w:val="center"/>
          </w:tcPr>
          <w:p w14:paraId="62854495">
            <w:pPr>
              <w:pStyle w:val="112"/>
              <w:numPr>
                <w:ilvl w:val="0"/>
                <w:numId w:val="25"/>
              </w:numPr>
              <w:spacing w:line="280" w:lineRule="exact"/>
              <w:ind w:firstLineChars="0"/>
              <w:rPr>
                <w:color w:val="auto"/>
                <w:szCs w:val="21"/>
                <w:highlight w:val="none"/>
              </w:rPr>
            </w:pPr>
            <w:r>
              <w:rPr>
                <w:rFonts w:hint="eastAsia"/>
                <w:color w:val="auto"/>
                <w:szCs w:val="21"/>
                <w:highlight w:val="none"/>
              </w:rPr>
              <w:t>搞好本区域内的卫生保洁，卫生区包括：值班室、公寓门口及大厅（要求每天上午和下午至少清扫一次，保持干净）</w:t>
            </w:r>
            <w:r>
              <w:rPr>
                <w:rFonts w:hint="eastAsia"/>
                <w:color w:val="auto"/>
                <w:szCs w:val="21"/>
                <w:highlight w:val="none"/>
                <w:lang w:eastAsia="zh-CN"/>
              </w:rPr>
              <w:t>；</w:t>
            </w:r>
          </w:p>
          <w:p w14:paraId="112D0A21">
            <w:pPr>
              <w:pStyle w:val="112"/>
              <w:numPr>
                <w:ilvl w:val="0"/>
                <w:numId w:val="25"/>
              </w:numPr>
              <w:spacing w:line="280" w:lineRule="exact"/>
              <w:ind w:firstLineChars="0"/>
              <w:rPr>
                <w:color w:val="auto"/>
                <w:szCs w:val="21"/>
                <w:highlight w:val="none"/>
              </w:rPr>
            </w:pPr>
            <w:r>
              <w:rPr>
                <w:rFonts w:hint="eastAsia"/>
                <w:color w:val="auto"/>
                <w:szCs w:val="21"/>
                <w:highlight w:val="none"/>
              </w:rPr>
              <w:t>负责毕业班宿舍卫生的检查工作</w:t>
            </w:r>
            <w:r>
              <w:rPr>
                <w:rFonts w:hint="eastAsia"/>
                <w:color w:val="auto"/>
                <w:szCs w:val="21"/>
                <w:highlight w:val="none"/>
                <w:lang w:eastAsia="zh-CN"/>
              </w:rPr>
              <w:t>。</w:t>
            </w:r>
          </w:p>
        </w:tc>
        <w:tc>
          <w:tcPr>
            <w:tcW w:w="1388" w:type="dxa"/>
            <w:tcBorders>
              <w:tl2br w:val="nil"/>
              <w:tr2bl w:val="nil"/>
            </w:tcBorders>
            <w:noWrap w:val="0"/>
            <w:vAlign w:val="center"/>
          </w:tcPr>
          <w:p w14:paraId="78345650">
            <w:pPr>
              <w:spacing w:line="280" w:lineRule="exact"/>
              <w:jc w:val="center"/>
              <w:rPr>
                <w:color w:val="auto"/>
                <w:szCs w:val="21"/>
                <w:highlight w:val="none"/>
              </w:rPr>
            </w:pPr>
            <w:r>
              <w:rPr>
                <w:rFonts w:hint="eastAsia"/>
                <w:color w:val="auto"/>
                <w:szCs w:val="21"/>
                <w:highlight w:val="none"/>
              </w:rPr>
              <w:t>5分</w:t>
            </w:r>
          </w:p>
        </w:tc>
        <w:tc>
          <w:tcPr>
            <w:tcW w:w="1410" w:type="dxa"/>
            <w:tcBorders>
              <w:tl2br w:val="nil"/>
              <w:tr2bl w:val="nil"/>
            </w:tcBorders>
            <w:noWrap w:val="0"/>
            <w:vAlign w:val="center"/>
          </w:tcPr>
          <w:p w14:paraId="06CBADD3">
            <w:pPr>
              <w:spacing w:line="280" w:lineRule="exact"/>
              <w:jc w:val="center"/>
              <w:rPr>
                <w:rFonts w:hint="eastAsia"/>
                <w:color w:val="auto"/>
                <w:szCs w:val="21"/>
                <w:highlight w:val="none"/>
              </w:rPr>
            </w:pPr>
          </w:p>
        </w:tc>
        <w:tc>
          <w:tcPr>
            <w:tcW w:w="3249" w:type="dxa"/>
            <w:tcBorders>
              <w:tl2br w:val="nil"/>
              <w:tr2bl w:val="nil"/>
            </w:tcBorders>
            <w:noWrap w:val="0"/>
            <w:vAlign w:val="center"/>
          </w:tcPr>
          <w:p w14:paraId="3C65EA18">
            <w:pPr>
              <w:spacing w:line="280" w:lineRule="exact"/>
              <w:jc w:val="center"/>
              <w:rPr>
                <w:rFonts w:hint="eastAsia" w:eastAsia="宋体"/>
                <w:color w:val="auto"/>
                <w:szCs w:val="21"/>
                <w:highlight w:val="none"/>
                <w:lang w:eastAsia="zh-CN"/>
              </w:rPr>
            </w:pPr>
            <w:r>
              <w:rPr>
                <w:rFonts w:hint="eastAsia"/>
                <w:color w:val="auto"/>
                <w:szCs w:val="21"/>
                <w:highlight w:val="none"/>
              </w:rPr>
              <w:t>发现违规每次每项扣</w:t>
            </w:r>
            <w:r>
              <w:rPr>
                <w:color w:val="auto"/>
                <w:szCs w:val="21"/>
                <w:highlight w:val="none"/>
              </w:rPr>
              <w:t>1</w:t>
            </w:r>
            <w:r>
              <w:rPr>
                <w:rFonts w:hint="eastAsia"/>
                <w:color w:val="auto"/>
                <w:szCs w:val="21"/>
                <w:highlight w:val="none"/>
              </w:rPr>
              <w:t>分</w:t>
            </w:r>
            <w:r>
              <w:rPr>
                <w:rFonts w:hint="eastAsia"/>
                <w:color w:val="auto"/>
                <w:szCs w:val="21"/>
                <w:highlight w:val="none"/>
                <w:lang w:eastAsia="zh-CN"/>
              </w:rPr>
              <w:t>。</w:t>
            </w:r>
          </w:p>
          <w:p w14:paraId="37404FB4">
            <w:pPr>
              <w:spacing w:line="280" w:lineRule="exact"/>
              <w:jc w:val="center"/>
              <w:rPr>
                <w:color w:val="auto"/>
                <w:szCs w:val="21"/>
                <w:highlight w:val="none"/>
              </w:rPr>
            </w:pPr>
          </w:p>
        </w:tc>
      </w:tr>
      <w:tr w14:paraId="329B71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82" w:hRule="atLeast"/>
        </w:trPr>
        <w:tc>
          <w:tcPr>
            <w:tcW w:w="632" w:type="dxa"/>
            <w:tcBorders>
              <w:tl2br w:val="nil"/>
              <w:tr2bl w:val="nil"/>
            </w:tcBorders>
            <w:noWrap w:val="0"/>
            <w:vAlign w:val="center"/>
          </w:tcPr>
          <w:p w14:paraId="030D2087">
            <w:pPr>
              <w:spacing w:line="280" w:lineRule="exact"/>
              <w:jc w:val="center"/>
              <w:rPr>
                <w:rFonts w:hint="eastAsia" w:eastAsia="宋体"/>
                <w:color w:val="auto"/>
                <w:szCs w:val="21"/>
                <w:highlight w:val="none"/>
                <w:lang w:eastAsia="zh-CN"/>
              </w:rPr>
            </w:pPr>
            <w:r>
              <w:rPr>
                <w:rFonts w:hint="eastAsia"/>
                <w:color w:val="auto"/>
                <w:szCs w:val="21"/>
                <w:highlight w:val="none"/>
                <w:lang w:val="en-US" w:eastAsia="zh-CN"/>
              </w:rPr>
              <w:t>6</w:t>
            </w:r>
          </w:p>
        </w:tc>
        <w:tc>
          <w:tcPr>
            <w:tcW w:w="1221" w:type="dxa"/>
            <w:tcBorders>
              <w:tl2br w:val="nil"/>
              <w:tr2bl w:val="nil"/>
            </w:tcBorders>
            <w:noWrap w:val="0"/>
            <w:vAlign w:val="center"/>
          </w:tcPr>
          <w:p w14:paraId="44C1A3AD">
            <w:pPr>
              <w:spacing w:line="280" w:lineRule="exact"/>
              <w:jc w:val="center"/>
              <w:rPr>
                <w:rFonts w:hint="eastAsia"/>
                <w:color w:val="auto"/>
                <w:szCs w:val="21"/>
                <w:highlight w:val="none"/>
              </w:rPr>
            </w:pPr>
            <w:r>
              <w:rPr>
                <w:rFonts w:hint="eastAsia"/>
                <w:color w:val="auto"/>
                <w:szCs w:val="21"/>
                <w:highlight w:val="none"/>
              </w:rPr>
              <w:t>财产管理工作</w:t>
            </w:r>
          </w:p>
          <w:p w14:paraId="225053E2">
            <w:pPr>
              <w:spacing w:line="280" w:lineRule="exact"/>
              <w:jc w:val="center"/>
              <w:rPr>
                <w:rFonts w:hint="eastAsia" w:eastAsia="宋体"/>
                <w:color w:val="auto"/>
                <w:szCs w:val="21"/>
                <w:highlight w:val="none"/>
                <w:lang w:eastAsia="zh-CN"/>
              </w:rPr>
            </w:pPr>
          </w:p>
        </w:tc>
        <w:tc>
          <w:tcPr>
            <w:tcW w:w="6242" w:type="dxa"/>
            <w:tcBorders>
              <w:tl2br w:val="nil"/>
              <w:tr2bl w:val="nil"/>
            </w:tcBorders>
            <w:noWrap w:val="0"/>
            <w:vAlign w:val="center"/>
          </w:tcPr>
          <w:p w14:paraId="4F085CA8">
            <w:pPr>
              <w:numPr>
                <w:ilvl w:val="0"/>
                <w:numId w:val="26"/>
              </w:numPr>
              <w:spacing w:line="280" w:lineRule="exact"/>
              <w:ind w:left="368" w:hanging="367" w:hangingChars="175"/>
              <w:rPr>
                <w:rFonts w:hint="eastAsia"/>
                <w:color w:val="auto"/>
                <w:szCs w:val="21"/>
                <w:highlight w:val="none"/>
              </w:rPr>
            </w:pPr>
            <w:r>
              <w:rPr>
                <w:rFonts w:hint="eastAsia"/>
                <w:color w:val="auto"/>
                <w:szCs w:val="21"/>
                <w:highlight w:val="none"/>
              </w:rPr>
              <w:t>每天至少对所管宿舍进行一次巡查，对宿舍内门、窗、玻璃、床、桌椅、灯、电扇、水龙头、消防器材、墙面等内部设施逐项进行检查，并做好检查记录</w:t>
            </w:r>
            <w:r>
              <w:rPr>
                <w:rFonts w:hint="eastAsia"/>
                <w:color w:val="auto"/>
                <w:szCs w:val="21"/>
                <w:highlight w:val="none"/>
                <w:lang w:eastAsia="zh-CN"/>
              </w:rPr>
              <w:t>；</w:t>
            </w:r>
          </w:p>
          <w:p w14:paraId="60E96493">
            <w:pPr>
              <w:numPr>
                <w:ilvl w:val="0"/>
                <w:numId w:val="26"/>
              </w:numPr>
              <w:spacing w:line="280" w:lineRule="exact"/>
              <w:ind w:left="368" w:hanging="367" w:hangingChars="175"/>
              <w:rPr>
                <w:rFonts w:hint="eastAsia" w:ascii="宋体" w:hAnsi="宋体"/>
                <w:color w:val="auto"/>
                <w:szCs w:val="21"/>
                <w:highlight w:val="none"/>
              </w:rPr>
            </w:pPr>
            <w:r>
              <w:rPr>
                <w:rFonts w:hint="eastAsia"/>
                <w:color w:val="auto"/>
                <w:szCs w:val="21"/>
                <w:highlight w:val="none"/>
              </w:rPr>
              <w:t>严禁学生将宿舍内公寓物品带出宿舍</w:t>
            </w:r>
            <w:r>
              <w:rPr>
                <w:rFonts w:hint="eastAsia"/>
                <w:color w:val="auto"/>
                <w:szCs w:val="21"/>
                <w:highlight w:val="none"/>
                <w:lang w:eastAsia="zh-CN"/>
              </w:rPr>
              <w:t>；</w:t>
            </w:r>
          </w:p>
          <w:p w14:paraId="4D51C5D9">
            <w:pPr>
              <w:numPr>
                <w:ilvl w:val="0"/>
                <w:numId w:val="26"/>
              </w:numPr>
              <w:spacing w:line="280" w:lineRule="exact"/>
              <w:ind w:left="368" w:hanging="367" w:hangingChars="175"/>
              <w:rPr>
                <w:rFonts w:hint="eastAsia"/>
                <w:color w:val="auto"/>
                <w:szCs w:val="21"/>
                <w:highlight w:val="none"/>
              </w:rPr>
            </w:pPr>
            <w:r>
              <w:rPr>
                <w:rFonts w:hint="eastAsia"/>
                <w:color w:val="auto"/>
                <w:szCs w:val="21"/>
                <w:highlight w:val="none"/>
              </w:rPr>
              <w:t>对损坏的物品，及时报告后勤保卫处，并杜绝“长明灯、长流水、长开风”现象的发生</w:t>
            </w:r>
            <w:r>
              <w:rPr>
                <w:rFonts w:hint="eastAsia"/>
                <w:color w:val="auto"/>
                <w:szCs w:val="21"/>
                <w:highlight w:val="none"/>
                <w:lang w:eastAsia="zh-CN"/>
              </w:rPr>
              <w:t>；</w:t>
            </w:r>
          </w:p>
          <w:p w14:paraId="19C4B115">
            <w:pPr>
              <w:numPr>
                <w:ilvl w:val="0"/>
                <w:numId w:val="26"/>
              </w:numPr>
              <w:spacing w:line="280" w:lineRule="exact"/>
              <w:ind w:left="368" w:hanging="367" w:hangingChars="175"/>
              <w:rPr>
                <w:color w:val="auto"/>
                <w:szCs w:val="21"/>
                <w:highlight w:val="none"/>
              </w:rPr>
            </w:pPr>
            <w:r>
              <w:rPr>
                <w:rFonts w:hint="eastAsia"/>
                <w:color w:val="auto"/>
                <w:szCs w:val="21"/>
                <w:highlight w:val="none"/>
              </w:rPr>
              <w:t>负责毕业班宿舍的财产清查工作</w:t>
            </w:r>
            <w:r>
              <w:rPr>
                <w:rFonts w:hint="eastAsia"/>
                <w:color w:val="auto"/>
                <w:szCs w:val="21"/>
                <w:highlight w:val="none"/>
                <w:lang w:eastAsia="zh-CN"/>
              </w:rPr>
              <w:t>。</w:t>
            </w:r>
          </w:p>
        </w:tc>
        <w:tc>
          <w:tcPr>
            <w:tcW w:w="1388" w:type="dxa"/>
            <w:tcBorders>
              <w:tl2br w:val="nil"/>
              <w:tr2bl w:val="nil"/>
            </w:tcBorders>
            <w:noWrap w:val="0"/>
            <w:vAlign w:val="center"/>
          </w:tcPr>
          <w:p w14:paraId="17E59092">
            <w:pPr>
              <w:spacing w:line="280" w:lineRule="exact"/>
              <w:jc w:val="center"/>
              <w:rPr>
                <w:color w:val="auto"/>
                <w:szCs w:val="21"/>
                <w:highlight w:val="none"/>
              </w:rPr>
            </w:pPr>
            <w:r>
              <w:rPr>
                <w:rFonts w:hint="eastAsia"/>
                <w:color w:val="auto"/>
                <w:szCs w:val="21"/>
                <w:highlight w:val="none"/>
              </w:rPr>
              <w:t>25分</w:t>
            </w:r>
          </w:p>
        </w:tc>
        <w:tc>
          <w:tcPr>
            <w:tcW w:w="1410" w:type="dxa"/>
            <w:tcBorders>
              <w:tl2br w:val="nil"/>
              <w:tr2bl w:val="nil"/>
            </w:tcBorders>
            <w:noWrap w:val="0"/>
            <w:vAlign w:val="center"/>
          </w:tcPr>
          <w:p w14:paraId="342EDEE5">
            <w:pPr>
              <w:spacing w:line="280" w:lineRule="exact"/>
              <w:jc w:val="center"/>
              <w:rPr>
                <w:rFonts w:hint="eastAsia"/>
                <w:color w:val="auto"/>
                <w:szCs w:val="21"/>
                <w:highlight w:val="none"/>
              </w:rPr>
            </w:pPr>
          </w:p>
        </w:tc>
        <w:tc>
          <w:tcPr>
            <w:tcW w:w="3249" w:type="dxa"/>
            <w:tcBorders>
              <w:tl2br w:val="nil"/>
              <w:tr2bl w:val="nil"/>
            </w:tcBorders>
            <w:noWrap w:val="0"/>
            <w:vAlign w:val="center"/>
          </w:tcPr>
          <w:p w14:paraId="2883802B">
            <w:pPr>
              <w:spacing w:line="280" w:lineRule="exact"/>
              <w:jc w:val="center"/>
              <w:rPr>
                <w:rFonts w:hint="eastAsia" w:eastAsia="宋体"/>
                <w:color w:val="auto"/>
                <w:szCs w:val="21"/>
                <w:highlight w:val="none"/>
                <w:lang w:eastAsia="zh-CN"/>
              </w:rPr>
            </w:pPr>
            <w:r>
              <w:rPr>
                <w:rFonts w:hint="eastAsia"/>
                <w:color w:val="auto"/>
                <w:szCs w:val="21"/>
                <w:highlight w:val="none"/>
              </w:rPr>
              <w:t>发现违规每次每项扣</w:t>
            </w:r>
            <w:r>
              <w:rPr>
                <w:color w:val="auto"/>
                <w:szCs w:val="21"/>
                <w:highlight w:val="none"/>
              </w:rPr>
              <w:t>1</w:t>
            </w:r>
            <w:r>
              <w:rPr>
                <w:rFonts w:hint="eastAsia"/>
                <w:color w:val="auto"/>
                <w:szCs w:val="21"/>
                <w:highlight w:val="none"/>
              </w:rPr>
              <w:t>分</w:t>
            </w:r>
            <w:r>
              <w:rPr>
                <w:rFonts w:hint="eastAsia"/>
                <w:color w:val="auto"/>
                <w:szCs w:val="21"/>
                <w:highlight w:val="none"/>
                <w:lang w:eastAsia="zh-CN"/>
              </w:rPr>
              <w:t>。</w:t>
            </w:r>
          </w:p>
          <w:p w14:paraId="43E5DE11">
            <w:pPr>
              <w:spacing w:line="280" w:lineRule="exact"/>
              <w:jc w:val="center"/>
              <w:rPr>
                <w:color w:val="auto"/>
                <w:szCs w:val="21"/>
                <w:highlight w:val="none"/>
              </w:rPr>
            </w:pPr>
          </w:p>
        </w:tc>
      </w:tr>
      <w:tr w14:paraId="2A3BEE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67" w:hRule="atLeast"/>
        </w:trPr>
        <w:tc>
          <w:tcPr>
            <w:tcW w:w="632" w:type="dxa"/>
            <w:tcBorders>
              <w:tl2br w:val="nil"/>
              <w:tr2bl w:val="nil"/>
            </w:tcBorders>
            <w:noWrap w:val="0"/>
            <w:vAlign w:val="center"/>
          </w:tcPr>
          <w:p w14:paraId="5367B1E7">
            <w:pPr>
              <w:spacing w:line="280" w:lineRule="exact"/>
              <w:jc w:val="center"/>
              <w:rPr>
                <w:rFonts w:hint="eastAsia" w:eastAsia="宋体"/>
                <w:color w:val="auto"/>
                <w:szCs w:val="21"/>
                <w:highlight w:val="none"/>
                <w:lang w:eastAsia="zh-CN"/>
              </w:rPr>
            </w:pPr>
            <w:r>
              <w:rPr>
                <w:rFonts w:hint="eastAsia"/>
                <w:color w:val="auto"/>
                <w:szCs w:val="21"/>
                <w:highlight w:val="none"/>
                <w:lang w:val="en-US" w:eastAsia="zh-CN"/>
              </w:rPr>
              <w:t>7</w:t>
            </w:r>
          </w:p>
        </w:tc>
        <w:tc>
          <w:tcPr>
            <w:tcW w:w="1221" w:type="dxa"/>
            <w:tcBorders>
              <w:tl2br w:val="nil"/>
              <w:tr2bl w:val="nil"/>
            </w:tcBorders>
            <w:noWrap w:val="0"/>
            <w:vAlign w:val="center"/>
          </w:tcPr>
          <w:p w14:paraId="3F6DAC36">
            <w:pPr>
              <w:spacing w:line="280" w:lineRule="exact"/>
              <w:jc w:val="center"/>
              <w:rPr>
                <w:rFonts w:hint="eastAsia"/>
                <w:color w:val="auto"/>
                <w:szCs w:val="21"/>
                <w:highlight w:val="none"/>
              </w:rPr>
            </w:pPr>
            <w:r>
              <w:rPr>
                <w:rFonts w:hint="eastAsia"/>
                <w:color w:val="auto"/>
                <w:szCs w:val="21"/>
                <w:highlight w:val="none"/>
              </w:rPr>
              <w:t>消防保卫工作</w:t>
            </w:r>
          </w:p>
          <w:p w14:paraId="62A839A4">
            <w:pPr>
              <w:spacing w:line="280" w:lineRule="exact"/>
              <w:jc w:val="center"/>
              <w:rPr>
                <w:rFonts w:hint="eastAsia" w:eastAsia="宋体"/>
                <w:color w:val="auto"/>
                <w:szCs w:val="21"/>
                <w:highlight w:val="none"/>
                <w:lang w:eastAsia="zh-CN"/>
              </w:rPr>
            </w:pPr>
          </w:p>
        </w:tc>
        <w:tc>
          <w:tcPr>
            <w:tcW w:w="6242" w:type="dxa"/>
            <w:tcBorders>
              <w:tl2br w:val="nil"/>
              <w:tr2bl w:val="nil"/>
            </w:tcBorders>
            <w:noWrap w:val="0"/>
            <w:vAlign w:val="center"/>
          </w:tcPr>
          <w:p w14:paraId="5E77B1FE">
            <w:pPr>
              <w:numPr>
                <w:ilvl w:val="0"/>
                <w:numId w:val="27"/>
              </w:numPr>
              <w:spacing w:line="280" w:lineRule="exact"/>
              <w:ind w:left="368" w:hanging="367" w:hangingChars="175"/>
              <w:rPr>
                <w:rFonts w:hint="eastAsia"/>
                <w:color w:val="auto"/>
                <w:szCs w:val="21"/>
                <w:highlight w:val="none"/>
              </w:rPr>
            </w:pPr>
            <w:r>
              <w:rPr>
                <w:rFonts w:hint="eastAsia"/>
                <w:color w:val="auto"/>
                <w:szCs w:val="21"/>
                <w:highlight w:val="none"/>
              </w:rPr>
              <w:t>禁止学生宿舍内点蜡烛、烧火等危</w:t>
            </w:r>
            <w:r>
              <w:rPr>
                <w:rFonts w:hint="eastAsia"/>
                <w:color w:val="auto"/>
                <w:szCs w:val="21"/>
                <w:highlight w:val="none"/>
                <w:lang w:eastAsia="zh-CN"/>
              </w:rPr>
              <w:t>险</w:t>
            </w:r>
            <w:r>
              <w:rPr>
                <w:rFonts w:hint="eastAsia"/>
                <w:color w:val="auto"/>
                <w:szCs w:val="21"/>
                <w:highlight w:val="none"/>
              </w:rPr>
              <w:t>行为，禁止管制刀具、棍棒、一次性碗筷、黄、赌、毒、爆炸及其他危险物品进入学生宿舍</w:t>
            </w:r>
            <w:r>
              <w:rPr>
                <w:rFonts w:hint="eastAsia"/>
                <w:color w:val="auto"/>
                <w:szCs w:val="21"/>
                <w:highlight w:val="none"/>
                <w:lang w:eastAsia="zh-CN"/>
              </w:rPr>
              <w:t>；</w:t>
            </w:r>
          </w:p>
          <w:p w14:paraId="427F9855">
            <w:pPr>
              <w:numPr>
                <w:ilvl w:val="0"/>
                <w:numId w:val="27"/>
              </w:numPr>
              <w:spacing w:line="280" w:lineRule="exact"/>
              <w:ind w:left="368" w:hanging="367" w:hangingChars="175"/>
              <w:rPr>
                <w:color w:val="auto"/>
                <w:szCs w:val="21"/>
                <w:highlight w:val="none"/>
              </w:rPr>
            </w:pPr>
            <w:r>
              <w:rPr>
                <w:rFonts w:hint="eastAsia"/>
                <w:color w:val="auto"/>
                <w:szCs w:val="21"/>
                <w:highlight w:val="none"/>
              </w:rPr>
              <w:t>禁止将宿舍钥匙整串借给学生</w:t>
            </w:r>
            <w:r>
              <w:rPr>
                <w:rFonts w:hint="eastAsia"/>
                <w:color w:val="auto"/>
                <w:szCs w:val="21"/>
                <w:highlight w:val="none"/>
                <w:lang w:eastAsia="zh-CN"/>
              </w:rPr>
              <w:t>；</w:t>
            </w:r>
          </w:p>
          <w:p w14:paraId="573EE098">
            <w:pPr>
              <w:numPr>
                <w:ilvl w:val="0"/>
                <w:numId w:val="27"/>
              </w:numPr>
              <w:spacing w:line="280" w:lineRule="exact"/>
              <w:ind w:left="368" w:hanging="367" w:hangingChars="175"/>
              <w:rPr>
                <w:color w:val="auto"/>
                <w:szCs w:val="21"/>
                <w:highlight w:val="none"/>
              </w:rPr>
            </w:pPr>
            <w:r>
              <w:rPr>
                <w:rFonts w:hint="eastAsia"/>
                <w:color w:val="auto"/>
                <w:szCs w:val="21"/>
                <w:highlight w:val="none"/>
              </w:rPr>
              <w:t>值班室</w:t>
            </w:r>
            <w:r>
              <w:rPr>
                <w:rFonts w:hint="eastAsia"/>
                <w:color w:val="auto"/>
                <w:szCs w:val="21"/>
                <w:highlight w:val="none"/>
                <w:lang w:eastAsia="zh-CN"/>
              </w:rPr>
              <w:t>不得</w:t>
            </w:r>
            <w:r>
              <w:rPr>
                <w:rFonts w:hint="eastAsia"/>
                <w:color w:val="auto"/>
                <w:szCs w:val="21"/>
                <w:highlight w:val="none"/>
              </w:rPr>
              <w:t>使用电烤火炉</w:t>
            </w:r>
            <w:r>
              <w:rPr>
                <w:rFonts w:hint="eastAsia"/>
                <w:color w:val="auto"/>
                <w:szCs w:val="21"/>
                <w:highlight w:val="none"/>
                <w:lang w:eastAsia="zh-CN"/>
              </w:rPr>
              <w:t>等大功率电器。</w:t>
            </w:r>
          </w:p>
        </w:tc>
        <w:tc>
          <w:tcPr>
            <w:tcW w:w="1388" w:type="dxa"/>
            <w:tcBorders>
              <w:tl2br w:val="nil"/>
              <w:tr2bl w:val="nil"/>
            </w:tcBorders>
            <w:noWrap w:val="0"/>
            <w:vAlign w:val="center"/>
          </w:tcPr>
          <w:p w14:paraId="4B345DB5">
            <w:pPr>
              <w:spacing w:line="280" w:lineRule="exact"/>
              <w:jc w:val="center"/>
              <w:rPr>
                <w:color w:val="auto"/>
                <w:szCs w:val="21"/>
                <w:highlight w:val="none"/>
              </w:rPr>
            </w:pPr>
            <w:r>
              <w:rPr>
                <w:rFonts w:hint="eastAsia"/>
                <w:color w:val="auto"/>
                <w:szCs w:val="21"/>
                <w:highlight w:val="none"/>
              </w:rPr>
              <w:t>25分</w:t>
            </w:r>
          </w:p>
        </w:tc>
        <w:tc>
          <w:tcPr>
            <w:tcW w:w="1410" w:type="dxa"/>
            <w:tcBorders>
              <w:tl2br w:val="nil"/>
              <w:tr2bl w:val="nil"/>
            </w:tcBorders>
            <w:noWrap w:val="0"/>
            <w:vAlign w:val="center"/>
          </w:tcPr>
          <w:p w14:paraId="12E8E62A">
            <w:pPr>
              <w:spacing w:line="280" w:lineRule="exact"/>
              <w:jc w:val="center"/>
              <w:rPr>
                <w:rFonts w:hint="eastAsia"/>
                <w:color w:val="auto"/>
                <w:szCs w:val="21"/>
                <w:highlight w:val="none"/>
              </w:rPr>
            </w:pPr>
          </w:p>
        </w:tc>
        <w:tc>
          <w:tcPr>
            <w:tcW w:w="3249" w:type="dxa"/>
            <w:tcBorders>
              <w:tl2br w:val="nil"/>
              <w:tr2bl w:val="nil"/>
            </w:tcBorders>
            <w:noWrap w:val="0"/>
            <w:vAlign w:val="center"/>
          </w:tcPr>
          <w:p w14:paraId="263215C2">
            <w:pPr>
              <w:spacing w:line="280" w:lineRule="exact"/>
              <w:jc w:val="center"/>
              <w:rPr>
                <w:rFonts w:hint="eastAsia" w:eastAsia="宋体"/>
                <w:color w:val="auto"/>
                <w:szCs w:val="21"/>
                <w:highlight w:val="none"/>
                <w:lang w:eastAsia="zh-CN"/>
              </w:rPr>
            </w:pPr>
            <w:r>
              <w:rPr>
                <w:rFonts w:hint="eastAsia"/>
                <w:color w:val="auto"/>
                <w:szCs w:val="21"/>
                <w:highlight w:val="none"/>
              </w:rPr>
              <w:t>发现违规每次每项扣</w:t>
            </w:r>
            <w:r>
              <w:rPr>
                <w:rFonts w:hint="eastAsia"/>
                <w:color w:val="auto"/>
                <w:szCs w:val="21"/>
                <w:highlight w:val="none"/>
                <w:lang w:val="en-US" w:eastAsia="zh-CN"/>
              </w:rPr>
              <w:t>2</w:t>
            </w:r>
            <w:r>
              <w:rPr>
                <w:rFonts w:hint="eastAsia"/>
                <w:color w:val="auto"/>
                <w:szCs w:val="21"/>
                <w:highlight w:val="none"/>
              </w:rPr>
              <w:t>分</w:t>
            </w:r>
            <w:r>
              <w:rPr>
                <w:rFonts w:hint="eastAsia"/>
                <w:color w:val="auto"/>
                <w:szCs w:val="21"/>
                <w:highlight w:val="none"/>
                <w:lang w:eastAsia="zh-CN"/>
              </w:rPr>
              <w:t>。</w:t>
            </w:r>
          </w:p>
          <w:p w14:paraId="3B4D0904">
            <w:pPr>
              <w:spacing w:line="280" w:lineRule="exact"/>
              <w:jc w:val="center"/>
              <w:rPr>
                <w:color w:val="auto"/>
                <w:szCs w:val="21"/>
                <w:highlight w:val="none"/>
              </w:rPr>
            </w:pPr>
          </w:p>
        </w:tc>
      </w:tr>
      <w:tr w14:paraId="6D8051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20" w:hRule="atLeast"/>
        </w:trPr>
        <w:tc>
          <w:tcPr>
            <w:tcW w:w="632" w:type="dxa"/>
            <w:tcBorders>
              <w:tl2br w:val="nil"/>
              <w:tr2bl w:val="nil"/>
            </w:tcBorders>
            <w:noWrap w:val="0"/>
            <w:vAlign w:val="center"/>
          </w:tcPr>
          <w:p w14:paraId="6065DD13">
            <w:pPr>
              <w:spacing w:line="280" w:lineRule="exact"/>
              <w:jc w:val="center"/>
              <w:rPr>
                <w:rFonts w:hint="eastAsia"/>
                <w:color w:val="auto"/>
                <w:szCs w:val="21"/>
                <w:highlight w:val="none"/>
              </w:rPr>
            </w:pPr>
            <w:r>
              <w:rPr>
                <w:rFonts w:hint="eastAsia"/>
                <w:color w:val="auto"/>
                <w:szCs w:val="21"/>
                <w:highlight w:val="none"/>
              </w:rPr>
              <w:t>备注</w:t>
            </w:r>
          </w:p>
        </w:tc>
        <w:tc>
          <w:tcPr>
            <w:tcW w:w="13510" w:type="dxa"/>
            <w:gridSpan w:val="5"/>
            <w:tcBorders>
              <w:tl2br w:val="nil"/>
              <w:tr2bl w:val="nil"/>
            </w:tcBorders>
            <w:noWrap w:val="0"/>
            <w:vAlign w:val="center"/>
          </w:tcPr>
          <w:p w14:paraId="2473B297">
            <w:pPr>
              <w:jc w:val="both"/>
              <w:rPr>
                <w:b w:val="0"/>
                <w:color w:val="auto"/>
                <w:highlight w:val="none"/>
              </w:rPr>
            </w:pPr>
            <w:r>
              <w:rPr>
                <w:rFonts w:hint="eastAsia"/>
                <w:b w:val="0"/>
                <w:color w:val="auto"/>
                <w:highlight w:val="none"/>
              </w:rPr>
              <w:t>①以月为考核周期，每月总计100分</w:t>
            </w:r>
            <w:r>
              <w:rPr>
                <w:rFonts w:hint="eastAsia"/>
                <w:b w:val="0"/>
                <w:color w:val="auto"/>
                <w:highlight w:val="none"/>
                <w:lang w:eastAsia="zh-CN"/>
              </w:rPr>
              <w:t>。校方分项目考核负责人</w:t>
            </w:r>
            <w:r>
              <w:rPr>
                <w:rFonts w:hint="eastAsia"/>
                <w:b w:val="0"/>
                <w:color w:val="auto"/>
                <w:highlight w:val="none"/>
              </w:rPr>
              <w:t>依据考核细则对</w:t>
            </w:r>
            <w:r>
              <w:rPr>
                <w:rFonts w:hint="eastAsia"/>
                <w:b w:val="0"/>
                <w:color w:val="auto"/>
                <w:highlight w:val="none"/>
                <w:lang w:eastAsia="zh-CN"/>
              </w:rPr>
              <w:t>宿管员</w:t>
            </w:r>
            <w:r>
              <w:rPr>
                <w:rFonts w:hint="eastAsia"/>
                <w:b w:val="0"/>
                <w:color w:val="auto"/>
                <w:highlight w:val="none"/>
              </w:rPr>
              <w:t>工作进行监督，实行累计扣分制</w:t>
            </w:r>
            <w:r>
              <w:rPr>
                <w:rFonts w:hint="eastAsia"/>
                <w:b w:val="0"/>
                <w:color w:val="auto"/>
                <w:highlight w:val="none"/>
                <w:lang w:eastAsia="zh-CN"/>
              </w:rPr>
              <w:t>。</w:t>
            </w:r>
            <w:r>
              <w:rPr>
                <w:rFonts w:hint="eastAsia"/>
                <w:b w:val="0"/>
                <w:color w:val="auto"/>
                <w:highlight w:val="none"/>
              </w:rPr>
              <w:t>每违纪一次，按扣分标准扣分，重复违纪的，予以重复考核扣分，</w:t>
            </w:r>
            <w:r>
              <w:rPr>
                <w:b w:val="0"/>
                <w:color w:val="auto"/>
                <w:highlight w:val="none"/>
              </w:rPr>
              <w:t xml:space="preserve"> </w:t>
            </w:r>
            <w:r>
              <w:rPr>
                <w:rFonts w:hint="eastAsia"/>
                <w:b w:val="0"/>
                <w:color w:val="auto"/>
                <w:highlight w:val="none"/>
              </w:rPr>
              <w:t>如此累计得出</w:t>
            </w:r>
            <w:r>
              <w:rPr>
                <w:rFonts w:hint="eastAsia"/>
                <w:b w:val="0"/>
                <w:color w:val="auto"/>
                <w:highlight w:val="none"/>
                <w:lang w:eastAsia="zh-CN"/>
              </w:rPr>
              <w:t>宿管岗位</w:t>
            </w:r>
            <w:r>
              <w:rPr>
                <w:rFonts w:hint="eastAsia"/>
                <w:b w:val="0"/>
                <w:color w:val="auto"/>
                <w:highlight w:val="none"/>
              </w:rPr>
              <w:t>每月最终考核得分。</w:t>
            </w:r>
          </w:p>
          <w:p w14:paraId="0EF02A7B">
            <w:pPr>
              <w:spacing w:line="280" w:lineRule="exact"/>
              <w:rPr>
                <w:color w:val="auto"/>
                <w:szCs w:val="21"/>
                <w:highlight w:val="none"/>
              </w:rPr>
            </w:pPr>
            <w:r>
              <w:rPr>
                <w:rFonts w:hint="eastAsia"/>
                <w:b w:val="0"/>
                <w:color w:val="auto"/>
                <w:highlight w:val="none"/>
              </w:rPr>
              <w:t>②</w:t>
            </w:r>
            <w:r>
              <w:rPr>
                <w:rFonts w:hint="eastAsia"/>
                <w:b w:val="0"/>
                <w:color w:val="auto"/>
                <w:highlight w:val="none"/>
                <w:lang w:val="en-US" w:eastAsia="zh-CN"/>
              </w:rPr>
              <w:t>90</w:t>
            </w:r>
            <w:r>
              <w:rPr>
                <w:rFonts w:hint="eastAsia"/>
                <w:b w:val="0"/>
                <w:color w:val="auto"/>
                <w:highlight w:val="none"/>
              </w:rPr>
              <w:t>分~100分为</w:t>
            </w:r>
            <w:r>
              <w:rPr>
                <w:rFonts w:hint="eastAsia"/>
                <w:b w:val="0"/>
                <w:color w:val="auto"/>
                <w:highlight w:val="none"/>
                <w:lang w:eastAsia="zh-CN"/>
              </w:rPr>
              <w:t>合格</w:t>
            </w:r>
            <w:r>
              <w:rPr>
                <w:rFonts w:hint="eastAsia"/>
                <w:b w:val="0"/>
                <w:color w:val="auto"/>
                <w:highlight w:val="none"/>
              </w:rPr>
              <w:t>；</w:t>
            </w:r>
            <w:r>
              <w:rPr>
                <w:rFonts w:hint="eastAsia"/>
                <w:b w:val="0"/>
                <w:color w:val="auto"/>
                <w:highlight w:val="none"/>
                <w:lang w:val="en-US" w:eastAsia="zh-CN"/>
              </w:rPr>
              <w:t>90</w:t>
            </w:r>
            <w:r>
              <w:rPr>
                <w:rFonts w:hint="eastAsia"/>
                <w:b w:val="0"/>
                <w:color w:val="auto"/>
                <w:highlight w:val="none"/>
              </w:rPr>
              <w:t>分</w:t>
            </w:r>
            <w:r>
              <w:rPr>
                <w:rFonts w:hint="eastAsia"/>
                <w:b w:val="0"/>
                <w:color w:val="auto"/>
                <w:highlight w:val="none"/>
                <w:lang w:eastAsia="zh-CN"/>
              </w:rPr>
              <w:t>以下</w:t>
            </w:r>
            <w:r>
              <w:rPr>
                <w:rFonts w:hint="eastAsia"/>
                <w:b w:val="0"/>
                <w:color w:val="auto"/>
                <w:highlight w:val="none"/>
              </w:rPr>
              <w:t>为不合格，扣罚</w:t>
            </w:r>
            <w:r>
              <w:rPr>
                <w:rFonts w:hint="eastAsia"/>
                <w:b w:val="0"/>
                <w:color w:val="auto"/>
                <w:highlight w:val="none"/>
                <w:lang w:eastAsia="zh-CN"/>
              </w:rPr>
              <w:t>物业公</w:t>
            </w:r>
            <w:r>
              <w:rPr>
                <w:rFonts w:hint="eastAsia" w:ascii="Calibri" w:hAnsi="Calibri" w:eastAsia="宋体" w:cs="Times New Roman"/>
                <w:b w:val="0"/>
                <w:color w:val="auto"/>
                <w:highlight w:val="none"/>
                <w:lang w:eastAsia="zh-CN"/>
              </w:rPr>
              <w:t>司</w:t>
            </w:r>
            <w:r>
              <w:rPr>
                <w:rFonts w:hint="eastAsia" w:ascii="Calibri" w:hAnsi="Calibri" w:eastAsia="宋体" w:cs="Times New Roman"/>
                <w:b w:val="0"/>
                <w:color w:val="auto"/>
                <w:highlight w:val="none"/>
              </w:rPr>
              <w:t>当月服务费中的1%做为罚金；连续3</w:t>
            </w:r>
            <w:r>
              <w:rPr>
                <w:rFonts w:hint="eastAsia"/>
                <w:b w:val="0"/>
                <w:color w:val="auto"/>
                <w:highlight w:val="none"/>
              </w:rPr>
              <w:t>个月考核在</w:t>
            </w:r>
            <w:r>
              <w:rPr>
                <w:rFonts w:hint="eastAsia"/>
                <w:b w:val="0"/>
                <w:color w:val="auto"/>
                <w:highlight w:val="none"/>
                <w:lang w:val="en-US" w:eastAsia="zh-CN"/>
              </w:rPr>
              <w:t>90</w:t>
            </w:r>
            <w:r>
              <w:rPr>
                <w:rFonts w:hint="eastAsia"/>
                <w:b w:val="0"/>
                <w:color w:val="auto"/>
                <w:highlight w:val="none"/>
              </w:rPr>
              <w:t>分以下的员工，视为不符合本岗位工作要求，</w:t>
            </w:r>
            <w:r>
              <w:rPr>
                <w:rFonts w:hint="eastAsia"/>
                <w:b w:val="0"/>
                <w:color w:val="auto"/>
                <w:highlight w:val="none"/>
                <w:lang w:eastAsia="zh-CN"/>
              </w:rPr>
              <w:t>建议物业公司</w:t>
            </w:r>
            <w:r>
              <w:rPr>
                <w:rFonts w:hint="eastAsia"/>
                <w:b w:val="0"/>
                <w:color w:val="auto"/>
                <w:highlight w:val="none"/>
              </w:rPr>
              <w:t>做辞退处理。</w:t>
            </w:r>
          </w:p>
        </w:tc>
      </w:tr>
    </w:tbl>
    <w:p w14:paraId="59A4DD2E">
      <w:pPr>
        <w:spacing w:line="276" w:lineRule="auto"/>
        <w:ind w:firstLine="324" w:firstLineChars="135"/>
        <w:jc w:val="left"/>
        <w:rPr>
          <w:color w:val="auto"/>
          <w:sz w:val="24"/>
          <w:highlight w:val="none"/>
        </w:rPr>
      </w:pPr>
      <w:r>
        <w:rPr>
          <w:color w:val="auto"/>
          <w:sz w:val="24"/>
          <w:highlight w:val="none"/>
        </w:rPr>
        <w:t xml:space="preserve"> </w:t>
      </w:r>
    </w:p>
    <w:p w14:paraId="453CF39A">
      <w:pP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物业公司负责人签名/日期:                                                    校方分项目考核负责人签名/日期: </w:t>
      </w:r>
    </w:p>
    <w:p w14:paraId="060DB99C">
      <w:pPr>
        <w:ind w:firstLine="420" w:firstLineChars="200"/>
        <w:rPr>
          <w:color w:val="auto"/>
          <w:highlight w:val="none"/>
        </w:rPr>
      </w:pPr>
    </w:p>
    <w:p w14:paraId="29DC5A34">
      <w:pPr>
        <w:rPr>
          <w:rFonts w:hint="eastAsia"/>
          <w:color w:val="auto"/>
          <w:highlight w:val="none"/>
        </w:rPr>
        <w:sectPr>
          <w:headerReference r:id="rId8" w:type="default"/>
          <w:footerReference r:id="rId9" w:type="default"/>
          <w:pgSz w:w="16838" w:h="11905" w:orient="landscape"/>
          <w:pgMar w:top="1587" w:right="1440" w:bottom="1587" w:left="1440" w:header="1020" w:footer="567" w:gutter="0"/>
          <w:pgBorders>
            <w:top w:val="none" w:sz="0" w:space="0"/>
            <w:left w:val="none" w:sz="0" w:space="0"/>
            <w:bottom w:val="none" w:sz="0" w:space="0"/>
            <w:right w:val="none" w:sz="0" w:space="0"/>
          </w:pgBorders>
          <w:cols w:space="0" w:num="1"/>
          <w:rtlGutter w:val="0"/>
          <w:docGrid w:type="lines" w:linePitch="323" w:charSpace="0"/>
        </w:sectPr>
      </w:pPr>
      <w:r>
        <w:rPr>
          <w:rFonts w:hint="eastAsia" w:hAnsi="宋体" w:cs="宋体"/>
          <w:b/>
          <w:color w:val="auto"/>
          <w:sz w:val="32"/>
          <w:szCs w:val="32"/>
          <w:highlight w:val="none"/>
        </w:rPr>
        <w:br w:type="page"/>
      </w:r>
    </w:p>
    <w:p w14:paraId="2A8246C6">
      <w:pPr>
        <w:pStyle w:val="44"/>
        <w:rPr>
          <w:rFonts w:hint="eastAsia"/>
          <w:color w:val="auto"/>
          <w:highlight w:val="none"/>
        </w:rPr>
      </w:pPr>
    </w:p>
    <w:p w14:paraId="61394960">
      <w:pPr>
        <w:pStyle w:val="26"/>
        <w:adjustRightInd w:val="0"/>
        <w:snapToGrid w:val="0"/>
        <w:spacing w:line="360" w:lineRule="auto"/>
        <w:jc w:val="center"/>
        <w:outlineLvl w:val="0"/>
        <w:rPr>
          <w:rFonts w:hAnsi="宋体" w:cs="宋体"/>
          <w:b/>
          <w:color w:val="auto"/>
          <w:sz w:val="32"/>
          <w:szCs w:val="32"/>
          <w:highlight w:val="none"/>
        </w:rPr>
      </w:pPr>
      <w:r>
        <w:rPr>
          <w:rFonts w:hint="eastAsia" w:hAnsi="宋体" w:cs="宋体"/>
          <w:b/>
          <w:color w:val="auto"/>
          <w:sz w:val="32"/>
          <w:szCs w:val="32"/>
          <w:highlight w:val="none"/>
        </w:rPr>
        <w:t>第六章 政府采购合同</w:t>
      </w:r>
      <w:bookmarkEnd w:id="72"/>
    </w:p>
    <w:p w14:paraId="02CC04A8">
      <w:pPr>
        <w:pStyle w:val="5"/>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8"/>
          <w:szCs w:val="28"/>
          <w:highlight w:val="none"/>
        </w:rPr>
      </w:pPr>
      <w:bookmarkStart w:id="73" w:name="_Toc34637778"/>
      <w:bookmarkStart w:id="74" w:name="_Toc20565"/>
      <w:bookmarkStart w:id="75" w:name="_Toc22201110"/>
      <w:bookmarkStart w:id="76" w:name="_Toc2061"/>
      <w:r>
        <w:rPr>
          <w:rFonts w:hint="eastAsia" w:ascii="宋体" w:hAnsi="宋体" w:eastAsia="宋体" w:cs="宋体"/>
          <w:color w:val="auto"/>
          <w:sz w:val="28"/>
          <w:szCs w:val="28"/>
          <w:highlight w:val="none"/>
        </w:rPr>
        <w:t>第一节 合同协议书</w:t>
      </w:r>
      <w:bookmarkEnd w:id="73"/>
      <w:bookmarkEnd w:id="74"/>
      <w:bookmarkEnd w:id="75"/>
      <w:bookmarkEnd w:id="76"/>
    </w:p>
    <w:p w14:paraId="3D9E294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460" w:firstLineChars="2600"/>
        <w:textAlignment w:val="auto"/>
        <w:rPr>
          <w:rFonts w:ascii="宋体" w:hAnsi="宋体"/>
          <w:b/>
          <w:color w:val="auto"/>
          <w:szCs w:val="21"/>
          <w:highlight w:val="none"/>
        </w:rPr>
      </w:pPr>
      <w:r>
        <w:rPr>
          <w:rFonts w:hint="eastAsia" w:ascii="宋体" w:hAnsi="宋体"/>
          <w:color w:val="auto"/>
          <w:szCs w:val="21"/>
          <w:highlight w:val="none"/>
        </w:rPr>
        <w:t>采购合同编号：</w:t>
      </w:r>
    </w:p>
    <w:p w14:paraId="17A57EA3">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宋体" w:hAnsi="宋体" w:eastAsia="宋体"/>
          <w:color w:val="auto"/>
          <w:szCs w:val="21"/>
          <w:highlight w:val="none"/>
        </w:rPr>
      </w:pPr>
      <w:r>
        <w:rPr>
          <w:rFonts w:hint="eastAsia" w:ascii="宋体" w:hAnsi="宋体" w:eastAsia="宋体"/>
          <w:color w:val="auto"/>
          <w:szCs w:val="21"/>
          <w:highlight w:val="none"/>
        </w:rPr>
        <w:t>采购人（全称）：</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（甲方）</w:t>
      </w:r>
    </w:p>
    <w:p w14:paraId="0315C5AD">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宋体" w:hAnsi="宋体" w:eastAsia="宋体"/>
          <w:color w:val="auto"/>
          <w:szCs w:val="21"/>
          <w:highlight w:val="none"/>
        </w:rPr>
      </w:pPr>
      <w:r>
        <w:rPr>
          <w:rFonts w:hint="eastAsia" w:ascii="宋体" w:hAnsi="宋体" w:eastAsia="宋体"/>
          <w:color w:val="auto"/>
          <w:szCs w:val="21"/>
          <w:highlight w:val="none"/>
        </w:rPr>
        <w:t>供应商（全称）：</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（乙方）</w:t>
      </w:r>
    </w:p>
    <w:p w14:paraId="6C094EC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为了保护甲、乙双方合法权益，根据《中华人民共和国民法典》、《中华人民共和国政府采购法》及其他有关法律、法规、规章，双方签订本合同协议书。</w:t>
      </w:r>
    </w:p>
    <w:p w14:paraId="5B57A1A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ascii="宋体" w:hAnsi="宋体" w:eastAsia="宋体"/>
          <w:b/>
          <w:color w:val="auto"/>
          <w:szCs w:val="21"/>
          <w:highlight w:val="none"/>
        </w:rPr>
      </w:pPr>
      <w:r>
        <w:rPr>
          <w:rFonts w:hint="eastAsia" w:ascii="宋体" w:hAnsi="宋体" w:eastAsia="宋体"/>
          <w:b/>
          <w:color w:val="auto"/>
          <w:szCs w:val="21"/>
          <w:highlight w:val="none"/>
        </w:rPr>
        <w:t>1.项目信息</w:t>
      </w:r>
    </w:p>
    <w:p w14:paraId="4FCCF0CF">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宋体" w:hAnsi="宋体" w:eastAsia="宋体"/>
          <w:color w:val="auto"/>
          <w:szCs w:val="21"/>
          <w:highlight w:val="none"/>
        </w:rPr>
      </w:pPr>
      <w:r>
        <w:rPr>
          <w:rFonts w:hint="eastAsia" w:ascii="宋体" w:hAnsi="宋体" w:eastAsia="宋体"/>
          <w:color w:val="auto"/>
          <w:szCs w:val="21"/>
          <w:highlight w:val="none"/>
        </w:rPr>
        <w:t>（1）采购项目名称：</w:t>
      </w:r>
      <w:r>
        <w:rPr>
          <w:rFonts w:ascii="宋体" w:hAnsi="宋体" w:eastAsia="宋体"/>
          <w:color w:val="auto"/>
          <w:szCs w:val="21"/>
          <w:highlight w:val="none"/>
          <w:u w:val="single"/>
        </w:rPr>
        <w:t xml:space="preserve">                                          </w:t>
      </w:r>
    </w:p>
    <w:p w14:paraId="33476672">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宋体" w:hAnsi="宋体" w:eastAsia="宋体"/>
          <w:color w:val="auto"/>
          <w:szCs w:val="21"/>
          <w:highlight w:val="none"/>
        </w:rPr>
      </w:pPr>
      <w:r>
        <w:rPr>
          <w:rFonts w:hint="eastAsia" w:ascii="宋体" w:hAnsi="宋体" w:eastAsia="宋体"/>
          <w:color w:val="auto"/>
          <w:szCs w:val="21"/>
          <w:highlight w:val="none"/>
        </w:rPr>
        <w:t>（2）政府采购计划编号：</w:t>
      </w:r>
      <w:r>
        <w:rPr>
          <w:rFonts w:ascii="宋体" w:hAnsi="宋体" w:eastAsia="宋体"/>
          <w:color w:val="auto"/>
          <w:szCs w:val="21"/>
          <w:highlight w:val="none"/>
          <w:u w:val="single"/>
        </w:rPr>
        <w:t xml:space="preserve">                          </w:t>
      </w:r>
      <w:r>
        <w:rPr>
          <w:rFonts w:ascii="宋体" w:hAnsi="宋体" w:eastAsia="宋体"/>
          <w:color w:val="auto"/>
          <w:szCs w:val="21"/>
          <w:highlight w:val="none"/>
        </w:rPr>
        <w:t xml:space="preserve"> </w:t>
      </w:r>
    </w:p>
    <w:p w14:paraId="2A1D693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（3）项目内容：</w:t>
      </w:r>
      <w:r>
        <w:rPr>
          <w:rFonts w:hint="eastAsia" w:ascii="宋体" w:hAnsi="宋体" w:eastAsia="宋体"/>
          <w:color w:val="auto"/>
          <w:szCs w:val="21"/>
          <w:highlight w:val="none"/>
          <w:u w:val="single"/>
        </w:rPr>
        <w:t xml:space="preserve">                             </w:t>
      </w:r>
    </w:p>
    <w:p w14:paraId="41B9944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（4）是否分包：</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w:t>
      </w:r>
    </w:p>
    <w:p w14:paraId="5D39B78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（5）项目负责人：</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w:t>
      </w:r>
    </w:p>
    <w:p w14:paraId="312F1C6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（6）联系电话：</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w:t>
      </w:r>
    </w:p>
    <w:p w14:paraId="08FF2B1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13" w:firstLineChars="196"/>
        <w:textAlignment w:val="auto"/>
        <w:rPr>
          <w:rFonts w:ascii="宋体" w:hAnsi="宋体" w:eastAsia="宋体"/>
          <w:b/>
          <w:color w:val="auto"/>
          <w:szCs w:val="21"/>
          <w:highlight w:val="none"/>
        </w:rPr>
      </w:pPr>
      <w:r>
        <w:rPr>
          <w:rFonts w:hint="eastAsia" w:ascii="宋体" w:hAnsi="宋体" w:eastAsia="宋体"/>
          <w:b/>
          <w:color w:val="auto"/>
          <w:szCs w:val="21"/>
          <w:highlight w:val="none"/>
        </w:rPr>
        <w:t>2.合同金额</w:t>
      </w:r>
    </w:p>
    <w:p w14:paraId="32DE261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（1）合同金额小写：</w:t>
      </w:r>
      <w:r>
        <w:rPr>
          <w:rFonts w:hint="eastAsia" w:ascii="宋体" w:hAnsi="宋体" w:eastAsia="宋体"/>
          <w:color w:val="auto"/>
          <w:szCs w:val="21"/>
          <w:highlight w:val="none"/>
          <w:u w:val="single"/>
        </w:rPr>
        <w:t xml:space="preserve">                      </w:t>
      </w:r>
    </w:p>
    <w:p w14:paraId="457727E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260" w:firstLineChars="600"/>
        <w:textAlignment w:val="auto"/>
        <w:rPr>
          <w:rFonts w:ascii="宋体" w:hAnsi="宋体" w:eastAsia="宋体"/>
          <w:b/>
          <w:color w:val="auto"/>
          <w:szCs w:val="21"/>
          <w:highlight w:val="none"/>
        </w:rPr>
      </w:pPr>
      <w:r>
        <w:rPr>
          <w:rFonts w:hint="eastAsia" w:ascii="宋体" w:hAnsi="宋体" w:eastAsia="宋体"/>
          <w:color w:val="auto"/>
          <w:szCs w:val="21"/>
          <w:highlight w:val="none"/>
        </w:rPr>
        <w:t>大写：</w:t>
      </w:r>
      <w:r>
        <w:rPr>
          <w:rFonts w:hint="eastAsia" w:ascii="宋体" w:hAnsi="宋体" w:eastAsia="宋体"/>
          <w:color w:val="auto"/>
          <w:szCs w:val="21"/>
          <w:highlight w:val="none"/>
          <w:u w:val="single"/>
        </w:rPr>
        <w:t xml:space="preserve">                      </w:t>
      </w:r>
    </w:p>
    <w:p w14:paraId="1CCEBD3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（2）具体标的见附件。</w:t>
      </w:r>
    </w:p>
    <w:p w14:paraId="65656E1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（3）合同定价方式：</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p>
    <w:p w14:paraId="32E4704F">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eastAsia="宋体"/>
          <w:color w:val="auto"/>
          <w:szCs w:val="21"/>
          <w:highlight w:val="none"/>
        </w:rPr>
      </w:pPr>
      <w:r>
        <w:rPr>
          <w:rFonts w:hint="eastAsia" w:ascii="宋体" w:hAnsi="宋体" w:eastAsia="宋体"/>
          <w:color w:val="auto"/>
          <w:szCs w:val="21"/>
          <w:highlight w:val="none"/>
        </w:rPr>
        <w:t>（4）付款方式（按项目实际勾选填写）：</w:t>
      </w:r>
    </w:p>
    <w:p w14:paraId="29F03BA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30" w:firstLineChars="300"/>
        <w:textAlignment w:val="auto"/>
        <w:rPr>
          <w:rFonts w:ascii="宋体" w:hAnsi="宋体" w:eastAsia="宋体"/>
          <w:color w:val="auto"/>
          <w:szCs w:val="21"/>
          <w:highlight w:val="none"/>
          <w:u w:val="single"/>
        </w:rPr>
      </w:pPr>
      <w:r>
        <w:rPr>
          <w:rFonts w:hint="eastAsia" w:ascii="宋体" w:hAnsi="宋体" w:eastAsia="宋体"/>
          <w:color w:val="auto"/>
          <w:szCs w:val="21"/>
          <w:highlight w:val="none"/>
        </w:rPr>
        <w:sym w:font="Wingdings" w:char="00A8"/>
      </w:r>
      <w:r>
        <w:rPr>
          <w:rFonts w:hint="eastAsia" w:ascii="宋体" w:hAnsi="宋体" w:eastAsia="宋体"/>
          <w:color w:val="auto"/>
          <w:szCs w:val="21"/>
          <w:highlight w:val="none"/>
        </w:rPr>
        <w:t>全额付款：</w:t>
      </w:r>
      <w:r>
        <w:rPr>
          <w:rFonts w:hint="eastAsia" w:ascii="宋体" w:hAnsi="宋体" w:eastAsia="宋体"/>
          <w:color w:val="auto"/>
          <w:szCs w:val="21"/>
          <w:highlight w:val="none"/>
          <w:u w:val="single"/>
        </w:rPr>
        <w:t xml:space="preserve">     （应一次性支付全部合同款项）                    </w:t>
      </w:r>
    </w:p>
    <w:p w14:paraId="5E73F2D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30" w:firstLineChars="300"/>
        <w:textAlignment w:val="auto"/>
        <w:rPr>
          <w:rFonts w:ascii="宋体" w:hAnsi="宋体" w:eastAsia="宋体"/>
          <w:color w:val="auto"/>
          <w:szCs w:val="21"/>
          <w:highlight w:val="none"/>
          <w:u w:val="single"/>
        </w:rPr>
      </w:pPr>
      <w:r>
        <w:rPr>
          <w:rFonts w:hint="eastAsia" w:ascii="宋体" w:hAnsi="宋体" w:eastAsia="宋体"/>
          <w:color w:val="auto"/>
          <w:szCs w:val="21"/>
          <w:highlight w:val="none"/>
        </w:rPr>
        <w:sym w:font="Wingdings" w:char="00A8"/>
      </w:r>
      <w:r>
        <w:rPr>
          <w:rFonts w:hint="eastAsia" w:ascii="宋体" w:hAnsi="宋体" w:eastAsia="宋体"/>
          <w:color w:val="auto"/>
          <w:szCs w:val="21"/>
          <w:highlight w:val="none"/>
        </w:rPr>
        <w:t>预付款：</w:t>
      </w:r>
      <w:r>
        <w:rPr>
          <w:rFonts w:hint="eastAsia" w:ascii="宋体" w:hAnsi="宋体" w:eastAsia="宋体"/>
          <w:color w:val="auto"/>
          <w:szCs w:val="21"/>
          <w:highlight w:val="none"/>
          <w:u w:val="single"/>
        </w:rPr>
        <w:t xml:space="preserve">    （应明确预付款的支付比例和支付条件）               </w:t>
      </w:r>
    </w:p>
    <w:p w14:paraId="64B715B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30" w:firstLineChars="300"/>
        <w:textAlignment w:val="auto"/>
        <w:rPr>
          <w:rFonts w:ascii="宋体" w:hAnsi="宋体" w:eastAsia="宋体"/>
          <w:color w:val="auto"/>
          <w:szCs w:val="21"/>
          <w:highlight w:val="none"/>
        </w:rPr>
      </w:pPr>
      <w:r>
        <w:rPr>
          <w:rFonts w:hint="eastAsia" w:ascii="宋体" w:hAnsi="宋体" w:eastAsia="宋体"/>
          <w:color w:val="auto"/>
          <w:szCs w:val="21"/>
          <w:highlight w:val="none"/>
        </w:rPr>
        <w:sym w:font="Wingdings" w:char="00A8"/>
      </w:r>
      <w:r>
        <w:rPr>
          <w:rFonts w:hint="eastAsia" w:ascii="宋体" w:hAnsi="宋体" w:eastAsia="宋体"/>
          <w:color w:val="auto"/>
          <w:szCs w:val="21"/>
          <w:highlight w:val="none"/>
        </w:rPr>
        <w:t>分期付款：</w:t>
      </w:r>
      <w:r>
        <w:rPr>
          <w:rFonts w:hint="eastAsia" w:ascii="宋体" w:hAnsi="宋体" w:eastAsia="宋体"/>
          <w:color w:val="auto"/>
          <w:szCs w:val="21"/>
          <w:highlight w:val="none"/>
          <w:u w:val="single"/>
        </w:rPr>
        <w:t xml:space="preserve">     （应按照季度分期支付合同款项）                   </w:t>
      </w:r>
    </w:p>
    <w:p w14:paraId="0893B0A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30" w:firstLineChars="300"/>
        <w:textAlignment w:val="auto"/>
        <w:rPr>
          <w:rFonts w:ascii="宋体" w:hAnsi="宋体" w:eastAsia="宋体"/>
          <w:color w:val="auto"/>
          <w:szCs w:val="21"/>
          <w:highlight w:val="none"/>
        </w:rPr>
      </w:pPr>
      <w:r>
        <w:rPr>
          <w:rFonts w:hint="eastAsia" w:ascii="宋体" w:hAnsi="宋体" w:eastAsia="宋体"/>
          <w:color w:val="auto"/>
          <w:szCs w:val="21"/>
          <w:highlight w:val="none"/>
        </w:rPr>
        <w:sym w:font="Wingdings" w:char="00A8"/>
      </w:r>
      <w:r>
        <w:rPr>
          <w:rFonts w:hint="eastAsia" w:ascii="宋体" w:hAnsi="宋体" w:eastAsia="宋体"/>
          <w:color w:val="auto"/>
          <w:szCs w:val="21"/>
          <w:highlight w:val="none"/>
        </w:rPr>
        <w:t>成本补偿：</w:t>
      </w:r>
      <w:r>
        <w:rPr>
          <w:rFonts w:hint="eastAsia" w:ascii="宋体" w:hAnsi="宋体" w:eastAsia="宋体"/>
          <w:color w:val="auto"/>
          <w:szCs w:val="21"/>
          <w:highlight w:val="none"/>
          <w:u w:val="single"/>
        </w:rPr>
        <w:t xml:space="preserve">      （应明确按照成本补偿方式的支付方式和支付条件）   </w:t>
      </w:r>
    </w:p>
    <w:p w14:paraId="53CE1FD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30" w:firstLineChars="300"/>
        <w:textAlignment w:val="auto"/>
        <w:rPr>
          <w:rFonts w:ascii="宋体" w:hAnsi="宋体" w:eastAsia="宋体"/>
          <w:color w:val="auto"/>
          <w:szCs w:val="21"/>
          <w:highlight w:val="none"/>
        </w:rPr>
      </w:pPr>
      <w:r>
        <w:rPr>
          <w:rFonts w:hint="eastAsia" w:ascii="宋体" w:hAnsi="宋体" w:eastAsia="宋体"/>
          <w:color w:val="auto"/>
          <w:szCs w:val="21"/>
          <w:highlight w:val="none"/>
        </w:rPr>
        <w:sym w:font="Wingdings" w:char="00A8"/>
      </w:r>
      <w:r>
        <w:rPr>
          <w:rFonts w:hint="eastAsia" w:ascii="宋体" w:hAnsi="宋体" w:eastAsia="宋体"/>
          <w:color w:val="auto"/>
          <w:szCs w:val="21"/>
          <w:highlight w:val="none"/>
        </w:rPr>
        <w:t>绩效激励：</w:t>
      </w:r>
      <w:r>
        <w:rPr>
          <w:rFonts w:hint="eastAsia" w:ascii="宋体" w:hAnsi="宋体" w:eastAsia="宋体"/>
          <w:color w:val="auto"/>
          <w:szCs w:val="21"/>
          <w:highlight w:val="none"/>
          <w:u w:val="single"/>
        </w:rPr>
        <w:t xml:space="preserve">      （应明确按照绩效激励方式的支付方式和支付条件）   </w:t>
      </w:r>
    </w:p>
    <w:p w14:paraId="6B48E23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ascii="宋体" w:hAnsi="宋体" w:eastAsia="宋体"/>
          <w:color w:val="auto"/>
          <w:szCs w:val="21"/>
          <w:highlight w:val="none"/>
          <w:u w:val="single"/>
        </w:rPr>
      </w:pPr>
      <w:r>
        <w:rPr>
          <w:rFonts w:hint="eastAsia" w:ascii="宋体" w:hAnsi="宋体" w:eastAsia="宋体"/>
          <w:b/>
          <w:color w:val="auto"/>
          <w:szCs w:val="21"/>
          <w:highlight w:val="none"/>
        </w:rPr>
        <w:t>3.合同履行</w:t>
      </w:r>
    </w:p>
    <w:p w14:paraId="2C18573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（1）起始日期：</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日，完成日期：</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日。总日历天数：</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天。</w:t>
      </w:r>
    </w:p>
    <w:p w14:paraId="5923DEA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color w:val="auto"/>
          <w:szCs w:val="21"/>
          <w:highlight w:val="none"/>
          <w:u w:val="single"/>
        </w:rPr>
      </w:pPr>
      <w:r>
        <w:rPr>
          <w:rFonts w:hint="eastAsia" w:ascii="宋体" w:hAnsi="宋体" w:eastAsia="宋体"/>
          <w:color w:val="auto"/>
          <w:szCs w:val="21"/>
          <w:highlight w:val="none"/>
        </w:rPr>
        <w:t>（2）地点</w:t>
      </w:r>
      <w:r>
        <w:rPr>
          <w:rFonts w:hint="eastAsia" w:ascii="宋体" w:hAnsi="宋体" w:eastAsia="宋体"/>
          <w:b/>
          <w:color w:val="auto"/>
          <w:szCs w:val="21"/>
          <w:highlight w:val="none"/>
        </w:rPr>
        <w:t>：</w:t>
      </w:r>
      <w:r>
        <w:rPr>
          <w:rFonts w:hint="eastAsia" w:ascii="宋体" w:hAnsi="宋体" w:eastAsia="宋体"/>
          <w:color w:val="auto"/>
          <w:szCs w:val="21"/>
          <w:highlight w:val="none"/>
          <w:u w:val="single"/>
        </w:rPr>
        <w:t xml:space="preserve">                             </w:t>
      </w:r>
    </w:p>
    <w:p w14:paraId="7EA1D46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color w:val="auto"/>
          <w:szCs w:val="21"/>
          <w:highlight w:val="none"/>
          <w:u w:val="single"/>
        </w:rPr>
      </w:pPr>
      <w:r>
        <w:rPr>
          <w:rFonts w:hint="eastAsia" w:ascii="宋体" w:hAnsi="宋体" w:eastAsia="宋体"/>
          <w:color w:val="auto"/>
          <w:szCs w:val="21"/>
          <w:highlight w:val="none"/>
        </w:rPr>
        <w:t>（3）方式：</w:t>
      </w:r>
      <w:r>
        <w:rPr>
          <w:rFonts w:hint="eastAsia" w:ascii="宋体" w:hAnsi="宋体" w:eastAsia="宋体"/>
          <w:color w:val="auto"/>
          <w:szCs w:val="21"/>
          <w:highlight w:val="none"/>
          <w:u w:val="single"/>
        </w:rPr>
        <w:t xml:space="preserve">                             </w:t>
      </w:r>
    </w:p>
    <w:p w14:paraId="422DDB9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bCs/>
          <w:color w:val="auto"/>
          <w:szCs w:val="21"/>
          <w:highlight w:val="none"/>
        </w:rPr>
      </w:pPr>
      <w:r>
        <w:rPr>
          <w:rFonts w:hint="eastAsia" w:ascii="宋体" w:hAnsi="宋体" w:eastAsia="宋体"/>
          <w:bCs/>
          <w:color w:val="auto"/>
          <w:szCs w:val="21"/>
          <w:highlight w:val="none"/>
        </w:rPr>
        <w:t>（4）履约担保：</w:t>
      </w:r>
      <w:r>
        <w:rPr>
          <w:rFonts w:hint="eastAsia" w:ascii="宋体" w:hAnsi="宋体" w:eastAsia="宋体"/>
          <w:bCs/>
          <w:color w:val="auto"/>
          <w:szCs w:val="21"/>
          <w:highlight w:val="none"/>
          <w:u w:val="single"/>
        </w:rPr>
        <w:t>履约担保的金额、形式和期限要求</w:t>
      </w:r>
      <w:r>
        <w:rPr>
          <w:rFonts w:hint="eastAsia" w:ascii="宋体" w:hAnsi="宋体" w:eastAsia="宋体"/>
          <w:bCs/>
          <w:color w:val="auto"/>
          <w:szCs w:val="21"/>
          <w:highlight w:val="none"/>
        </w:rPr>
        <w:t>。</w:t>
      </w:r>
    </w:p>
    <w:p w14:paraId="4B971FB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bCs/>
          <w:color w:val="auto"/>
          <w:szCs w:val="21"/>
          <w:highlight w:val="none"/>
        </w:rPr>
      </w:pPr>
      <w:r>
        <w:rPr>
          <w:rFonts w:hint="eastAsia" w:ascii="宋体" w:hAnsi="宋体" w:eastAsia="宋体"/>
          <w:bCs/>
          <w:color w:val="auto"/>
          <w:szCs w:val="21"/>
          <w:highlight w:val="none"/>
        </w:rPr>
        <w:t>（5）质量保证金：</w:t>
      </w:r>
      <w:r>
        <w:rPr>
          <w:rFonts w:hint="eastAsia" w:ascii="宋体" w:hAnsi="宋体" w:eastAsia="宋体"/>
          <w:bCs/>
          <w:color w:val="auto"/>
          <w:szCs w:val="21"/>
          <w:highlight w:val="none"/>
          <w:u w:val="single"/>
        </w:rPr>
        <w:t>质量保证金的金额、形式和期限要求</w:t>
      </w:r>
      <w:r>
        <w:rPr>
          <w:rFonts w:hint="eastAsia" w:ascii="宋体" w:hAnsi="宋体" w:eastAsia="宋体"/>
          <w:bCs/>
          <w:color w:val="auto"/>
          <w:szCs w:val="21"/>
          <w:highlight w:val="none"/>
        </w:rPr>
        <w:t>。</w:t>
      </w:r>
    </w:p>
    <w:p w14:paraId="461B77A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ascii="宋体" w:hAnsi="宋体" w:eastAsia="宋体"/>
          <w:b/>
          <w:color w:val="auto"/>
          <w:szCs w:val="21"/>
          <w:highlight w:val="none"/>
        </w:rPr>
      </w:pPr>
      <w:r>
        <w:rPr>
          <w:rFonts w:hint="eastAsia" w:ascii="宋体" w:hAnsi="宋体" w:eastAsia="宋体"/>
          <w:b/>
          <w:color w:val="auto"/>
          <w:szCs w:val="21"/>
          <w:highlight w:val="none"/>
        </w:rPr>
        <w:t>4.合同验收</w:t>
      </w:r>
    </w:p>
    <w:p w14:paraId="53FF57F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bCs/>
          <w:color w:val="auto"/>
          <w:szCs w:val="21"/>
          <w:highlight w:val="none"/>
        </w:rPr>
      </w:pPr>
      <w:r>
        <w:rPr>
          <w:rFonts w:hint="eastAsia" w:ascii="宋体" w:hAnsi="宋体" w:eastAsia="宋体"/>
          <w:bCs/>
          <w:color w:val="auto"/>
          <w:szCs w:val="21"/>
          <w:highlight w:val="none"/>
        </w:rPr>
        <w:t>（1）验收主体：</w:t>
      </w:r>
      <w:r>
        <w:rPr>
          <w:rFonts w:hint="eastAsia" w:ascii="宋体" w:hAnsi="宋体" w:eastAsia="宋体"/>
          <w:bCs/>
          <w:color w:val="auto"/>
          <w:szCs w:val="21"/>
          <w:highlight w:val="none"/>
          <w:u w:val="single"/>
        </w:rPr>
        <w:t xml:space="preserve">                             </w:t>
      </w:r>
      <w:r>
        <w:rPr>
          <w:rFonts w:hint="eastAsia" w:ascii="宋体" w:hAnsi="宋体" w:eastAsia="宋体"/>
          <w:bCs/>
          <w:color w:val="auto"/>
          <w:szCs w:val="21"/>
          <w:highlight w:val="none"/>
        </w:rPr>
        <w:t>。</w:t>
      </w:r>
    </w:p>
    <w:p w14:paraId="0431326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bCs/>
          <w:color w:val="auto"/>
          <w:szCs w:val="21"/>
          <w:highlight w:val="none"/>
        </w:rPr>
      </w:pPr>
      <w:r>
        <w:rPr>
          <w:rFonts w:hint="eastAsia" w:ascii="宋体" w:hAnsi="宋体" w:eastAsia="宋体"/>
          <w:bCs/>
          <w:color w:val="auto"/>
          <w:szCs w:val="21"/>
          <w:highlight w:val="none"/>
        </w:rPr>
        <w:t>（2）验收方式：</w:t>
      </w:r>
      <w:r>
        <w:rPr>
          <w:rFonts w:hint="eastAsia" w:ascii="宋体" w:hAnsi="宋体" w:eastAsia="宋体"/>
          <w:bCs/>
          <w:color w:val="auto"/>
          <w:szCs w:val="21"/>
          <w:highlight w:val="none"/>
          <w:u w:val="single"/>
        </w:rPr>
        <w:t xml:space="preserve">                             </w:t>
      </w:r>
      <w:r>
        <w:rPr>
          <w:rFonts w:hint="eastAsia" w:ascii="宋体" w:hAnsi="宋体" w:eastAsia="宋体"/>
          <w:bCs/>
          <w:color w:val="auto"/>
          <w:szCs w:val="21"/>
          <w:highlight w:val="none"/>
        </w:rPr>
        <w:t>。</w:t>
      </w:r>
    </w:p>
    <w:p w14:paraId="0E2768F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bCs/>
          <w:color w:val="auto"/>
          <w:szCs w:val="21"/>
          <w:highlight w:val="none"/>
        </w:rPr>
      </w:pPr>
      <w:r>
        <w:rPr>
          <w:rFonts w:hint="eastAsia" w:ascii="宋体" w:hAnsi="宋体" w:eastAsia="宋体"/>
          <w:bCs/>
          <w:color w:val="auto"/>
          <w:szCs w:val="21"/>
          <w:highlight w:val="none"/>
        </w:rPr>
        <w:t>（3）验收标准：</w:t>
      </w:r>
      <w:r>
        <w:rPr>
          <w:rFonts w:hint="eastAsia" w:ascii="宋体" w:hAnsi="宋体" w:eastAsia="宋体"/>
          <w:bCs/>
          <w:color w:val="auto"/>
          <w:szCs w:val="21"/>
          <w:highlight w:val="none"/>
          <w:u w:val="single"/>
        </w:rPr>
        <w:t xml:space="preserve">                             </w:t>
      </w:r>
      <w:r>
        <w:rPr>
          <w:rFonts w:hint="eastAsia" w:ascii="宋体" w:hAnsi="宋体" w:eastAsia="宋体"/>
          <w:bCs/>
          <w:color w:val="auto"/>
          <w:szCs w:val="21"/>
          <w:highlight w:val="none"/>
        </w:rPr>
        <w:t>。</w:t>
      </w:r>
    </w:p>
    <w:p w14:paraId="667C724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ascii="宋体" w:hAnsi="宋体" w:eastAsia="宋体"/>
          <w:b/>
          <w:color w:val="auto"/>
          <w:szCs w:val="21"/>
          <w:highlight w:val="none"/>
        </w:rPr>
      </w:pPr>
      <w:r>
        <w:rPr>
          <w:rFonts w:hint="eastAsia" w:ascii="宋体" w:hAnsi="宋体" w:eastAsia="宋体"/>
          <w:b/>
          <w:color w:val="auto"/>
          <w:szCs w:val="21"/>
          <w:highlight w:val="none"/>
        </w:rPr>
        <w:t>5.组成合同的文件</w:t>
      </w:r>
    </w:p>
    <w:p w14:paraId="5C9F261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本协议书与下列文件一起构成合同文件，如下述文件之间有任何抵触、矛盾或歧义，应按以下顺序解释：</w:t>
      </w:r>
    </w:p>
    <w:p w14:paraId="1CAF347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（1）在采购或合同履行过程中乙方作出的承诺以及双方协商达成的变更或补充协议</w:t>
      </w:r>
    </w:p>
    <w:p w14:paraId="12FD899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（2）本合同协议书</w:t>
      </w:r>
    </w:p>
    <w:p w14:paraId="5CEB6CA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（3）成交通知书</w:t>
      </w:r>
    </w:p>
    <w:p w14:paraId="1EDF734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（4）响应文件</w:t>
      </w:r>
    </w:p>
    <w:p w14:paraId="2471FB9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（5）政府采购合同专用条款</w:t>
      </w:r>
    </w:p>
    <w:p w14:paraId="72FC1EB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（6）政府采购合同通用条款</w:t>
      </w:r>
    </w:p>
    <w:p w14:paraId="0E4616C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（7）标准、规范及有关技术文件，图纸。</w:t>
      </w:r>
    </w:p>
    <w:p w14:paraId="0204251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（8）其他合同文件。</w:t>
      </w:r>
    </w:p>
    <w:p w14:paraId="212194D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310" w:firstLineChars="147"/>
        <w:textAlignment w:val="auto"/>
        <w:rPr>
          <w:rFonts w:ascii="宋体" w:hAnsi="宋体" w:eastAsia="宋体"/>
          <w:b/>
          <w:color w:val="auto"/>
          <w:szCs w:val="21"/>
          <w:highlight w:val="none"/>
        </w:rPr>
      </w:pPr>
      <w:r>
        <w:rPr>
          <w:rFonts w:hint="eastAsia" w:ascii="宋体" w:hAnsi="宋体" w:eastAsia="宋体"/>
          <w:b/>
          <w:color w:val="auto"/>
          <w:szCs w:val="21"/>
          <w:highlight w:val="none"/>
        </w:rPr>
        <w:t>6.合同生效</w:t>
      </w:r>
    </w:p>
    <w:p w14:paraId="1A48EE8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本合同自</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生效。</w:t>
      </w:r>
    </w:p>
    <w:p w14:paraId="3F25C76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310" w:firstLineChars="147"/>
        <w:textAlignment w:val="auto"/>
        <w:rPr>
          <w:rFonts w:ascii="宋体" w:hAnsi="宋体" w:eastAsia="宋体"/>
          <w:b/>
          <w:color w:val="auto"/>
          <w:szCs w:val="21"/>
          <w:highlight w:val="none"/>
        </w:rPr>
      </w:pPr>
      <w:r>
        <w:rPr>
          <w:rFonts w:hint="eastAsia" w:ascii="宋体" w:hAnsi="宋体" w:eastAsia="宋体"/>
          <w:b/>
          <w:color w:val="auto"/>
          <w:szCs w:val="21"/>
          <w:highlight w:val="none"/>
        </w:rPr>
        <w:t>7.合同份数</w:t>
      </w:r>
    </w:p>
    <w:p w14:paraId="3D9B6C4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本合同一式</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份，采购人执</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份，供应商执</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份，均具有同等法律效力。</w:t>
      </w:r>
    </w:p>
    <w:p w14:paraId="238A8854">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宋体" w:hAnsi="宋体" w:eastAsia="宋体"/>
          <w:color w:val="auto"/>
          <w:szCs w:val="21"/>
          <w:highlight w:val="none"/>
        </w:rPr>
      </w:pPr>
    </w:p>
    <w:p w14:paraId="5B06B10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合同订立时间：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日</w:t>
      </w:r>
    </w:p>
    <w:p w14:paraId="7A5C7FA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合同订立地点：</w:t>
      </w:r>
      <w:r>
        <w:rPr>
          <w:rFonts w:hint="eastAsia" w:ascii="宋体" w:hAnsi="宋体" w:eastAsia="宋体"/>
          <w:color w:val="auto"/>
          <w:szCs w:val="21"/>
          <w:highlight w:val="none"/>
          <w:u w:val="single"/>
        </w:rPr>
        <w:t xml:space="preserve">                           </w:t>
      </w:r>
    </w:p>
    <w:p w14:paraId="11346B3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附件：</w:t>
      </w:r>
      <w:r>
        <w:rPr>
          <w:rFonts w:hint="eastAsia" w:ascii="宋体" w:hAnsi="宋体"/>
          <w:color w:val="auto"/>
          <w:szCs w:val="21"/>
          <w:highlight w:val="none"/>
          <w:lang w:val="en-US" w:eastAsia="zh-CN"/>
        </w:rPr>
        <w:t>具体标的明细、分包合同等。</w:t>
      </w:r>
      <w:r>
        <w:rPr>
          <w:rFonts w:hint="eastAsia" w:ascii="宋体" w:hAnsi="宋体" w:eastAsia="宋体"/>
          <w:color w:val="auto"/>
          <w:szCs w:val="21"/>
          <w:highlight w:val="none"/>
        </w:rPr>
        <w:t xml:space="preserve">    </w:t>
      </w:r>
    </w:p>
    <w:p w14:paraId="7D4775CE">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ascii="宋体" w:hAnsi="宋体" w:eastAsia="宋体"/>
          <w:color w:val="auto"/>
          <w:szCs w:val="21"/>
          <w:highlight w:val="none"/>
        </w:rPr>
      </w:pPr>
    </w:p>
    <w:p w14:paraId="2923E186">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宋体" w:hAnsi="宋体" w:eastAsia="宋体"/>
          <w:color w:val="auto"/>
          <w:szCs w:val="21"/>
          <w:highlight w:val="none"/>
        </w:rPr>
      </w:pPr>
      <w:r>
        <w:rPr>
          <w:rFonts w:hint="eastAsia" w:ascii="宋体" w:hAnsi="宋体" w:eastAsia="宋体"/>
          <w:color w:val="auto"/>
          <w:szCs w:val="21"/>
          <w:highlight w:val="none"/>
        </w:rPr>
        <w:t>甲      方：（公章）                     乙      方：（公章）</w:t>
      </w:r>
    </w:p>
    <w:p w14:paraId="53F6A715">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宋体" w:hAnsi="宋体" w:eastAsia="宋体"/>
          <w:color w:val="auto"/>
          <w:szCs w:val="21"/>
          <w:highlight w:val="none"/>
        </w:rPr>
      </w:pPr>
      <w:r>
        <w:rPr>
          <w:rFonts w:hint="eastAsia" w:ascii="宋体" w:hAnsi="宋体" w:eastAsia="宋体"/>
          <w:color w:val="auto"/>
          <w:szCs w:val="21"/>
          <w:highlight w:val="none"/>
        </w:rPr>
        <w:t>法定代表人：</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 xml:space="preserve">         法定代表人：</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p>
    <w:p w14:paraId="1EE9FC77">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宋体" w:hAnsi="宋体" w:eastAsia="宋体"/>
          <w:color w:val="auto"/>
          <w:szCs w:val="21"/>
          <w:highlight w:val="none"/>
        </w:rPr>
      </w:pPr>
      <w:r>
        <w:rPr>
          <w:rFonts w:hint="eastAsia" w:ascii="宋体" w:hAnsi="宋体" w:eastAsia="宋体"/>
          <w:color w:val="auto"/>
          <w:szCs w:val="21"/>
          <w:highlight w:val="none"/>
        </w:rPr>
        <w:t>委托代理人：</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 xml:space="preserve">         委托代理人：</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p>
    <w:p w14:paraId="0BAAE0A4">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宋体" w:hAnsi="宋体" w:eastAsia="宋体"/>
          <w:color w:val="auto"/>
          <w:szCs w:val="21"/>
          <w:highlight w:val="none"/>
        </w:rPr>
      </w:pPr>
      <w:r>
        <w:rPr>
          <w:rFonts w:hint="eastAsia" w:ascii="宋体" w:hAnsi="宋体" w:eastAsia="宋体"/>
          <w:color w:val="auto"/>
          <w:szCs w:val="21"/>
          <w:highlight w:val="none"/>
        </w:rPr>
        <w:t>电      话：</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 xml:space="preserve">         电      话：</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p>
    <w:p w14:paraId="1647AD05">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宋体" w:hAnsi="宋体" w:eastAsia="宋体"/>
          <w:color w:val="auto"/>
          <w:szCs w:val="21"/>
          <w:highlight w:val="none"/>
        </w:rPr>
      </w:pPr>
      <w:r>
        <w:rPr>
          <w:rFonts w:hint="eastAsia" w:ascii="宋体" w:hAnsi="宋体" w:eastAsia="宋体"/>
          <w:color w:val="auto"/>
          <w:szCs w:val="21"/>
          <w:highlight w:val="none"/>
        </w:rPr>
        <w:t>传      真：</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 xml:space="preserve">         传      真：</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p>
    <w:p w14:paraId="62C102C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 xml:space="preserve">                                    开 户 银 行：</w:t>
      </w:r>
      <w:r>
        <w:rPr>
          <w:rFonts w:hint="eastAsia" w:ascii="宋体" w:hAnsi="宋体" w:eastAsia="宋体"/>
          <w:color w:val="auto"/>
          <w:szCs w:val="21"/>
          <w:highlight w:val="none"/>
          <w:u w:val="single"/>
        </w:rPr>
        <w:t xml:space="preserve">                   </w:t>
      </w:r>
    </w:p>
    <w:p w14:paraId="1C9C72D9">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ascii="宋体" w:hAnsi="宋体" w:eastAsia="宋体"/>
          <w:b/>
          <w:color w:val="auto"/>
          <w:szCs w:val="21"/>
          <w:highlight w:val="none"/>
        </w:rPr>
      </w:pPr>
      <w:r>
        <w:rPr>
          <w:rFonts w:hint="eastAsia" w:ascii="宋体" w:hAnsi="宋体" w:eastAsia="宋体"/>
          <w:color w:val="auto"/>
          <w:szCs w:val="21"/>
          <w:highlight w:val="none"/>
        </w:rPr>
        <w:t xml:space="preserve">      账      号：</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p>
    <w:p w14:paraId="591D3051">
      <w:pPr>
        <w:pStyle w:val="5"/>
        <w:adjustRightInd w:val="0"/>
        <w:snapToGrid w:val="0"/>
        <w:spacing w:beforeLines="50"/>
        <w:jc w:val="center"/>
        <w:rPr>
          <w:rFonts w:ascii="宋体" w:hAnsi="宋体" w:cs="宋体"/>
          <w:color w:val="auto"/>
          <w:sz w:val="28"/>
          <w:szCs w:val="28"/>
          <w:highlight w:val="none"/>
        </w:rPr>
      </w:pPr>
      <w:r>
        <w:rPr>
          <w:rFonts w:hint="eastAsia" w:ascii="宋体" w:hAnsi="宋体" w:cs="宋体"/>
          <w:color w:val="auto"/>
          <w:sz w:val="21"/>
          <w:szCs w:val="21"/>
          <w:highlight w:val="none"/>
          <w:u w:val="single"/>
        </w:rPr>
        <w:br w:type="page"/>
      </w:r>
      <w:bookmarkStart w:id="77" w:name="_Toc17166"/>
      <w:r>
        <w:rPr>
          <w:rFonts w:hint="eastAsia" w:ascii="宋体" w:hAnsi="宋体" w:cs="宋体"/>
          <w:color w:val="auto"/>
          <w:sz w:val="28"/>
          <w:szCs w:val="28"/>
          <w:highlight w:val="none"/>
        </w:rPr>
        <w:t>第二节 政府采购合同通用条款</w:t>
      </w:r>
      <w:bookmarkEnd w:id="77"/>
    </w:p>
    <w:p w14:paraId="66B269AC">
      <w:pPr>
        <w:tabs>
          <w:tab w:val="left" w:pos="8820"/>
          <w:tab w:val="left" w:pos="9345"/>
          <w:tab w:val="left" w:pos="9765"/>
        </w:tabs>
        <w:adjustRightInd w:val="0"/>
        <w:snapToGrid w:val="0"/>
        <w:spacing w:before="50" w:line="360" w:lineRule="auto"/>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bCs/>
          <w:color w:val="auto"/>
          <w:sz w:val="24"/>
          <w:highlight w:val="none"/>
        </w:rPr>
        <w:t>定义</w:t>
      </w:r>
    </w:p>
    <w:p w14:paraId="2678E24F">
      <w:pPr>
        <w:autoSpaceDE w:val="0"/>
        <w:autoSpaceDN w:val="0"/>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3DC83698">
      <w:pPr>
        <w:autoSpaceDE w:val="0"/>
        <w:autoSpaceDN w:val="0"/>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（1）采购人（以下称甲方）是指使用财政性资金，通过政府采购程序向供应商购买服务的国家机关、事业单位、团体组织。本次采购的甲方名称、地址见</w:t>
      </w:r>
      <w:r>
        <w:rPr>
          <w:rFonts w:hint="eastAsia" w:ascii="宋体" w:hAnsi="宋体"/>
          <w:b/>
          <w:color w:val="auto"/>
          <w:szCs w:val="21"/>
          <w:highlight w:val="none"/>
        </w:rPr>
        <w:t>【政府采购合同专用条款】。</w:t>
      </w:r>
    </w:p>
    <w:p w14:paraId="7C3E10F6">
      <w:pPr>
        <w:autoSpaceDE w:val="0"/>
        <w:autoSpaceDN w:val="0"/>
        <w:adjustRightInd w:val="0"/>
        <w:snapToGrid w:val="0"/>
        <w:spacing w:before="50" w:line="360" w:lineRule="auto"/>
        <w:ind w:firstLine="420" w:firstLineChars="200"/>
        <w:jc w:val="left"/>
        <w:rPr>
          <w:rFonts w:ascii="宋体" w:hAnsi="宋体"/>
          <w:b/>
          <w:color w:val="auto"/>
          <w:szCs w:val="21"/>
          <w:highlight w:val="none"/>
        </w:rPr>
      </w:pPr>
      <w:r>
        <w:rPr>
          <w:rFonts w:hint="eastAsia" w:ascii="宋体" w:hAnsi="宋体"/>
          <w:color w:val="auto"/>
          <w:szCs w:val="21"/>
          <w:highlight w:val="none"/>
        </w:rPr>
        <w:t>（2）供应商（以下称乙方）是指参加政府采购活动而取得中标结果，并向采购人提供服务的法人、其他组织或者自然人。</w:t>
      </w:r>
    </w:p>
    <w:p w14:paraId="7D0AA220">
      <w:pPr>
        <w:tabs>
          <w:tab w:val="left" w:pos="570"/>
          <w:tab w:val="left" w:pos="9240"/>
          <w:tab w:val="left" w:pos="9555"/>
        </w:tabs>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09D404D1">
      <w:pPr>
        <w:tabs>
          <w:tab w:val="left" w:pos="570"/>
          <w:tab w:val="left" w:pos="9240"/>
          <w:tab w:val="left" w:pos="9555"/>
        </w:tabs>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（1）“合同”系指甲乙双方签署的、政府采购合同协议书中载明的甲乙双方所达成的协议，包括所有的附件、附录和上述文件所提到的构成合同的所有文件。</w:t>
      </w:r>
    </w:p>
    <w:p w14:paraId="56EFCA9A">
      <w:pPr>
        <w:tabs>
          <w:tab w:val="left" w:pos="570"/>
          <w:tab w:val="left" w:pos="9240"/>
          <w:tab w:val="left" w:pos="9555"/>
        </w:tabs>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（2）“合同价”系指根据本合同规定乙方在正确地完全履行合同义务后甲方应支付给乙方的价款。</w:t>
      </w:r>
    </w:p>
    <w:p w14:paraId="73F88D47">
      <w:pPr>
        <w:tabs>
          <w:tab w:val="left" w:pos="570"/>
          <w:tab w:val="left" w:pos="8880"/>
          <w:tab w:val="left" w:pos="9555"/>
        </w:tabs>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服务”系指根据合同规定，乙方应提供的技术、管理和其它服务，包括但不限于：管理和质量保证、运输、保险、检验、现场准备、安装、集成、调试、培训、维修、技术支持等以及合同中规定乙方应承担的其它义务。</w:t>
      </w:r>
    </w:p>
    <w:p w14:paraId="4B0914EC">
      <w:pPr>
        <w:tabs>
          <w:tab w:val="left" w:pos="570"/>
          <w:tab w:val="left" w:pos="9240"/>
          <w:tab w:val="left" w:pos="9555"/>
        </w:tabs>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（4）“合同条款”系指本合同条款。</w:t>
      </w:r>
    </w:p>
    <w:p w14:paraId="6879EFF6">
      <w:pPr>
        <w:tabs>
          <w:tab w:val="left" w:pos="570"/>
          <w:tab w:val="left" w:pos="9240"/>
          <w:tab w:val="left" w:pos="9555"/>
        </w:tabs>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（5）“项目现场”系指本合同项下履行服务的服务现场，其名称见</w:t>
      </w:r>
      <w:r>
        <w:rPr>
          <w:rFonts w:hint="eastAsia" w:ascii="宋体" w:hAnsi="宋体"/>
          <w:b/>
          <w:color w:val="auto"/>
          <w:szCs w:val="21"/>
          <w:highlight w:val="none"/>
        </w:rPr>
        <w:t>【政府采购合同专用条款】</w:t>
      </w:r>
      <w:r>
        <w:rPr>
          <w:rFonts w:hint="eastAsia" w:ascii="宋体" w:hAnsi="宋体"/>
          <w:color w:val="auto"/>
          <w:szCs w:val="21"/>
          <w:highlight w:val="none"/>
        </w:rPr>
        <w:t>。</w:t>
      </w:r>
    </w:p>
    <w:p w14:paraId="7B7D1C0C">
      <w:pPr>
        <w:autoSpaceDE w:val="0"/>
        <w:autoSpaceDN w:val="0"/>
        <w:adjustRightInd w:val="0"/>
        <w:snapToGrid w:val="0"/>
        <w:spacing w:before="50" w:line="360" w:lineRule="auto"/>
        <w:jc w:val="left"/>
        <w:rPr>
          <w:rFonts w:ascii="宋体" w:hAnsi="宋体"/>
          <w:b/>
          <w:color w:val="auto"/>
          <w:sz w:val="24"/>
          <w:highlight w:val="none"/>
        </w:rPr>
      </w:pPr>
      <w:r>
        <w:rPr>
          <w:rFonts w:hint="eastAsia" w:ascii="宋体" w:hAnsi="宋体"/>
          <w:b/>
          <w:color w:val="auto"/>
          <w:sz w:val="24"/>
          <w:highlight w:val="none"/>
        </w:rPr>
        <w:t>2.合同的适用范围</w:t>
      </w:r>
    </w:p>
    <w:p w14:paraId="26ECEA4B">
      <w:pPr>
        <w:autoSpaceDE w:val="0"/>
        <w:autoSpaceDN w:val="0"/>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2.1 本合同条款适用于没有被本合同其他部分的条款所取代的范围。</w:t>
      </w:r>
    </w:p>
    <w:p w14:paraId="3ACA507A">
      <w:pPr>
        <w:autoSpaceDE w:val="0"/>
        <w:autoSpaceDN w:val="0"/>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2.2 合同内容根据招标文件、投标文件而确定。</w:t>
      </w:r>
    </w:p>
    <w:p w14:paraId="7F5D6B88">
      <w:pPr>
        <w:autoSpaceDE w:val="0"/>
        <w:autoSpaceDN w:val="0"/>
        <w:adjustRightInd w:val="0"/>
        <w:snapToGrid w:val="0"/>
        <w:spacing w:before="50" w:line="360" w:lineRule="auto"/>
        <w:jc w:val="left"/>
        <w:rPr>
          <w:rFonts w:ascii="宋体" w:hAnsi="宋体"/>
          <w:b/>
          <w:bCs/>
          <w:color w:val="auto"/>
          <w:sz w:val="24"/>
          <w:highlight w:val="none"/>
        </w:rPr>
      </w:pPr>
      <w:r>
        <w:rPr>
          <w:rFonts w:hint="eastAsia" w:ascii="宋体" w:hAnsi="宋体"/>
          <w:b/>
          <w:bCs/>
          <w:color w:val="auto"/>
          <w:sz w:val="24"/>
          <w:highlight w:val="none"/>
        </w:rPr>
        <w:t>3.</w:t>
      </w:r>
      <w:r>
        <w:rPr>
          <w:rFonts w:hint="eastAsia" w:ascii="宋体" w:hAnsi="宋体"/>
          <w:b/>
          <w:color w:val="auto"/>
          <w:sz w:val="24"/>
          <w:highlight w:val="none"/>
        </w:rPr>
        <w:t>合同标的及金额</w:t>
      </w:r>
    </w:p>
    <w:p w14:paraId="008A252A">
      <w:pPr>
        <w:autoSpaceDE w:val="0"/>
        <w:autoSpaceDN w:val="0"/>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 合同标的及金额应与中标结果一致。</w:t>
      </w:r>
    </w:p>
    <w:p w14:paraId="7CA1C108">
      <w:pPr>
        <w:autoSpaceDE w:val="0"/>
        <w:autoSpaceDN w:val="0"/>
        <w:adjustRightInd w:val="0"/>
        <w:snapToGrid w:val="0"/>
        <w:spacing w:before="50" w:line="360" w:lineRule="auto"/>
        <w:jc w:val="left"/>
        <w:rPr>
          <w:rFonts w:ascii="宋体" w:hAnsi="宋体"/>
          <w:b/>
          <w:bCs/>
          <w:color w:val="auto"/>
          <w:sz w:val="24"/>
          <w:highlight w:val="none"/>
        </w:rPr>
      </w:pPr>
      <w:r>
        <w:rPr>
          <w:rFonts w:hint="eastAsia" w:ascii="宋体" w:hAnsi="宋体"/>
          <w:b/>
          <w:bCs/>
          <w:color w:val="auto"/>
          <w:sz w:val="24"/>
          <w:highlight w:val="none"/>
        </w:rPr>
        <w:t>4.</w:t>
      </w:r>
      <w:r>
        <w:rPr>
          <w:rFonts w:hint="eastAsia" w:ascii="宋体" w:hAnsi="宋体"/>
          <w:b/>
          <w:color w:val="auto"/>
          <w:sz w:val="24"/>
          <w:highlight w:val="none"/>
        </w:rPr>
        <w:t>合同价款</w:t>
      </w:r>
    </w:p>
    <w:p w14:paraId="061ED755">
      <w:pPr>
        <w:adjustRightInd w:val="0"/>
        <w:snapToGrid w:val="0"/>
        <w:spacing w:before="50" w:line="360" w:lineRule="auto"/>
        <w:ind w:firstLine="420" w:firstLineChars="200"/>
        <w:jc w:val="left"/>
        <w:rPr>
          <w:rFonts w:ascii="宋体" w:hAnsi="宋体"/>
          <w:b/>
          <w:bCs/>
          <w:i/>
          <w:iCs/>
          <w:color w:val="auto"/>
          <w:szCs w:val="21"/>
          <w:highlight w:val="none"/>
        </w:rPr>
      </w:pPr>
      <w:r>
        <w:rPr>
          <w:rFonts w:hint="eastAsia" w:ascii="宋体" w:hAnsi="宋体"/>
          <w:color w:val="auto"/>
          <w:szCs w:val="21"/>
          <w:highlight w:val="none"/>
        </w:rPr>
        <w:t>4.1具体合同价款见本合同第3.1条。乙方为履行本合同而发生的所有费用均应包含在合同价款中，甲方不再另行支付其它任何费用。</w:t>
      </w:r>
    </w:p>
    <w:p w14:paraId="5F98B106">
      <w:pPr>
        <w:adjustRightInd w:val="0"/>
        <w:snapToGrid w:val="0"/>
        <w:spacing w:before="50" w:line="360" w:lineRule="auto"/>
        <w:jc w:val="left"/>
        <w:rPr>
          <w:rFonts w:ascii="宋体" w:hAnsi="宋体"/>
          <w:b/>
          <w:color w:val="auto"/>
          <w:sz w:val="24"/>
          <w:highlight w:val="none"/>
        </w:rPr>
      </w:pPr>
      <w:r>
        <w:rPr>
          <w:rFonts w:hint="eastAsia" w:ascii="宋体" w:hAnsi="宋体"/>
          <w:b/>
          <w:color w:val="auto"/>
          <w:sz w:val="24"/>
          <w:highlight w:val="none"/>
        </w:rPr>
        <w:t>5.履行合同的时间、地点和方式</w:t>
      </w:r>
    </w:p>
    <w:p w14:paraId="13C51F9C">
      <w:pPr>
        <w:autoSpaceDE w:val="0"/>
        <w:autoSpaceDN w:val="0"/>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5.1 乙方应当在甲方确定的时间、指定的地点履行合同，具体的服务时间、地点和方式见</w:t>
      </w:r>
      <w:r>
        <w:rPr>
          <w:rFonts w:hint="eastAsia" w:ascii="宋体" w:hAnsi="宋体"/>
          <w:b/>
          <w:color w:val="auto"/>
          <w:szCs w:val="21"/>
          <w:highlight w:val="none"/>
        </w:rPr>
        <w:t>【政府采购合同专用条款】</w:t>
      </w:r>
      <w:r>
        <w:rPr>
          <w:rFonts w:hint="eastAsia" w:ascii="宋体" w:hAnsi="宋体"/>
          <w:color w:val="auto"/>
          <w:szCs w:val="21"/>
          <w:highlight w:val="none"/>
        </w:rPr>
        <w:t>。</w:t>
      </w:r>
    </w:p>
    <w:p w14:paraId="291E590C">
      <w:pPr>
        <w:autoSpaceDE w:val="0"/>
        <w:autoSpaceDN w:val="0"/>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5.2 乙方提供服务的应当在甲方指定的地点完成服务项目。</w:t>
      </w:r>
    </w:p>
    <w:p w14:paraId="1F5832F4">
      <w:pPr>
        <w:autoSpaceDE w:val="0"/>
        <w:autoSpaceDN w:val="0"/>
        <w:adjustRightInd w:val="0"/>
        <w:snapToGrid w:val="0"/>
        <w:spacing w:before="50" w:line="360" w:lineRule="auto"/>
        <w:jc w:val="left"/>
        <w:rPr>
          <w:rFonts w:hint="eastAsia" w:ascii="宋体" w:hAnsi="宋体"/>
          <w:b/>
          <w:bCs/>
          <w:color w:val="auto"/>
          <w:sz w:val="24"/>
          <w:highlight w:val="none"/>
        </w:rPr>
      </w:pPr>
      <w:r>
        <w:rPr>
          <w:rFonts w:hint="eastAsia" w:ascii="宋体" w:hAnsi="宋体"/>
          <w:b/>
          <w:bCs/>
          <w:color w:val="auto"/>
          <w:sz w:val="24"/>
          <w:highlight w:val="none"/>
        </w:rPr>
        <w:t>6.服务内容及要求</w:t>
      </w:r>
    </w:p>
    <w:p w14:paraId="4EAA394D">
      <w:pPr>
        <w:autoSpaceDE w:val="0"/>
        <w:autoSpaceDN w:val="0"/>
        <w:adjustRightInd w:val="0"/>
        <w:snapToGrid w:val="0"/>
        <w:spacing w:before="50" w:line="360" w:lineRule="auto"/>
        <w:jc w:val="left"/>
        <w:rPr>
          <w:rFonts w:ascii="宋体" w:hAnsi="宋体"/>
          <w:b/>
          <w:bCs/>
          <w:color w:val="auto"/>
          <w:sz w:val="24"/>
          <w:highlight w:val="none"/>
        </w:rPr>
      </w:pPr>
      <w:r>
        <w:rPr>
          <w:rFonts w:hint="eastAsia" w:ascii="宋体" w:hAnsi="宋体"/>
          <w:b/>
          <w:bCs/>
          <w:color w:val="auto"/>
          <w:sz w:val="24"/>
          <w:highlight w:val="none"/>
        </w:rPr>
        <w:t xml:space="preserve">  </w:t>
      </w:r>
      <w:r>
        <w:rPr>
          <w:rFonts w:hint="eastAsia" w:ascii="宋体" w:hAnsi="宋体"/>
          <w:color w:val="auto"/>
          <w:szCs w:val="21"/>
          <w:highlight w:val="none"/>
        </w:rPr>
        <w:t xml:space="preserve">  6.1 本合同乙方需履行的服务义务内容按招标文件第五章“</w:t>
      </w:r>
      <w:r>
        <w:rPr>
          <w:rFonts w:hint="eastAsia" w:ascii="宋体" w:hAnsi="宋体"/>
          <w:color w:val="auto"/>
          <w:szCs w:val="21"/>
          <w:highlight w:val="none"/>
          <w:lang w:val="en-US" w:eastAsia="zh-CN"/>
        </w:rPr>
        <w:t>技术</w:t>
      </w:r>
      <w:r>
        <w:rPr>
          <w:rFonts w:hint="eastAsia" w:ascii="宋体" w:hAnsi="宋体"/>
          <w:color w:val="auto"/>
          <w:szCs w:val="21"/>
          <w:highlight w:val="none"/>
        </w:rPr>
        <w:t>要求”内容拟定。</w:t>
      </w:r>
    </w:p>
    <w:p w14:paraId="30395230">
      <w:pPr>
        <w:autoSpaceDE w:val="0"/>
        <w:autoSpaceDN w:val="0"/>
        <w:adjustRightInd w:val="0"/>
        <w:snapToGrid w:val="0"/>
        <w:spacing w:before="50" w:line="360" w:lineRule="auto"/>
        <w:jc w:val="left"/>
        <w:rPr>
          <w:rFonts w:ascii="宋体" w:hAnsi="宋体"/>
          <w:b/>
          <w:bCs/>
          <w:color w:val="auto"/>
          <w:sz w:val="24"/>
          <w:highlight w:val="none"/>
        </w:rPr>
      </w:pPr>
      <w:r>
        <w:rPr>
          <w:rFonts w:hint="eastAsia" w:ascii="宋体" w:hAnsi="宋体"/>
          <w:b/>
          <w:bCs/>
          <w:color w:val="auto"/>
          <w:sz w:val="24"/>
          <w:highlight w:val="none"/>
        </w:rPr>
        <w:t>7.保密义务</w:t>
      </w:r>
    </w:p>
    <w:p w14:paraId="23423488">
      <w:pPr>
        <w:autoSpaceDE w:val="0"/>
        <w:autoSpaceDN w:val="0"/>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7.1 甲、乙双方在采购和履行合同过程中所获悉的对方属于保密的内容，双方均有保密义务。</w:t>
      </w:r>
    </w:p>
    <w:p w14:paraId="19AECF9F">
      <w:pPr>
        <w:autoSpaceDE w:val="0"/>
        <w:autoSpaceDN w:val="0"/>
        <w:adjustRightInd w:val="0"/>
        <w:snapToGrid w:val="0"/>
        <w:spacing w:before="50" w:line="360" w:lineRule="auto"/>
        <w:jc w:val="left"/>
        <w:rPr>
          <w:rFonts w:ascii="宋体" w:hAnsi="宋体"/>
          <w:b/>
          <w:bCs/>
          <w:color w:val="auto"/>
          <w:sz w:val="24"/>
          <w:highlight w:val="none"/>
        </w:rPr>
      </w:pPr>
      <w:r>
        <w:rPr>
          <w:rFonts w:hint="eastAsia" w:ascii="宋体" w:hAnsi="宋体"/>
          <w:b/>
          <w:bCs/>
          <w:color w:val="auto"/>
          <w:sz w:val="24"/>
          <w:highlight w:val="none"/>
        </w:rPr>
        <w:t>8.合同价款支付</w:t>
      </w:r>
    </w:p>
    <w:p w14:paraId="771DAD40">
      <w:pPr>
        <w:autoSpaceDE w:val="0"/>
        <w:autoSpaceDN w:val="0"/>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8.1 合同价款构成中应当由财政支付的部分，甲方应当</w:t>
      </w:r>
      <w:r>
        <w:rPr>
          <w:rFonts w:hint="eastAsia" w:ascii="宋体" w:hAnsi="宋体"/>
          <w:color w:val="auto"/>
          <w:szCs w:val="21"/>
          <w:highlight w:val="none"/>
          <w:lang w:val="en-US" w:eastAsia="zh-CN"/>
        </w:rPr>
        <w:t>按照合同约定的支付方式和条件</w:t>
      </w:r>
      <w:r>
        <w:rPr>
          <w:rFonts w:hint="eastAsia" w:ascii="宋体" w:hAnsi="宋体"/>
          <w:color w:val="auto"/>
          <w:szCs w:val="21"/>
          <w:highlight w:val="none"/>
        </w:rPr>
        <w:t>向国库管理部门申请支付，经国库管理部门审核后直接支付给乙方。</w:t>
      </w:r>
    </w:p>
    <w:p w14:paraId="7452DF91">
      <w:pPr>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 合同价款构成中应当由甲方自行支付的部分，甲方应当按照合同约定的支付方式和条件支付</w:t>
      </w:r>
      <w:r>
        <w:rPr>
          <w:rFonts w:hint="eastAsia" w:ascii="宋体" w:hAnsi="宋体"/>
          <w:color w:val="auto"/>
          <w:szCs w:val="21"/>
          <w:highlight w:val="none"/>
          <w:lang w:val="en-US" w:eastAsia="zh-CN"/>
        </w:rPr>
        <w:t>给乙方</w:t>
      </w:r>
      <w:r>
        <w:rPr>
          <w:rFonts w:hint="eastAsia" w:ascii="宋体" w:hAnsi="宋体"/>
          <w:color w:val="auto"/>
          <w:szCs w:val="21"/>
          <w:highlight w:val="none"/>
        </w:rPr>
        <w:t>。</w:t>
      </w:r>
    </w:p>
    <w:p w14:paraId="69F32212">
      <w:pPr>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8.3支付合同价</w:t>
      </w:r>
      <w:r>
        <w:rPr>
          <w:rFonts w:hint="eastAsia" w:ascii="宋体" w:hAnsi="宋体"/>
          <w:bCs/>
          <w:color w:val="auto"/>
          <w:szCs w:val="21"/>
          <w:highlight w:val="none"/>
        </w:rPr>
        <w:t>款</w:t>
      </w:r>
      <w:r>
        <w:rPr>
          <w:rFonts w:hint="eastAsia" w:ascii="宋体" w:hAnsi="宋体"/>
          <w:color w:val="auto"/>
          <w:szCs w:val="21"/>
          <w:highlight w:val="none"/>
        </w:rPr>
        <w:t>时，一律不向乙方以外的任何第三方办理付款手续。开户行和账号以签订的政府采购合同为准，如果乙方要求变更，则乙方必须提供加盖了财务专用章、法定代表人签字的证明文件，报经甲方审查同意。</w:t>
      </w:r>
    </w:p>
    <w:p w14:paraId="7FC6A618">
      <w:pPr>
        <w:autoSpaceDE w:val="0"/>
        <w:autoSpaceDN w:val="0"/>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8.4 合同价款支付方式</w:t>
      </w:r>
      <w:r>
        <w:rPr>
          <w:rFonts w:hint="eastAsia" w:ascii="宋体" w:hAnsi="宋体"/>
          <w:bCs/>
          <w:color w:val="auto"/>
          <w:szCs w:val="21"/>
          <w:highlight w:val="none"/>
        </w:rPr>
        <w:t>和条件在</w:t>
      </w:r>
      <w:r>
        <w:rPr>
          <w:rFonts w:hint="eastAsia" w:ascii="宋体" w:hAnsi="宋体"/>
          <w:b/>
          <w:color w:val="auto"/>
          <w:szCs w:val="21"/>
          <w:highlight w:val="none"/>
        </w:rPr>
        <w:t>【政府采购合同专用条款】</w:t>
      </w:r>
      <w:r>
        <w:rPr>
          <w:rFonts w:hint="eastAsia" w:ascii="宋体" w:hAnsi="宋体"/>
          <w:color w:val="auto"/>
          <w:szCs w:val="21"/>
          <w:highlight w:val="none"/>
        </w:rPr>
        <w:t>中另有规定。</w:t>
      </w:r>
    </w:p>
    <w:p w14:paraId="3FDA0BB5">
      <w:pPr>
        <w:adjustRightInd w:val="0"/>
        <w:snapToGrid w:val="0"/>
        <w:spacing w:before="50" w:line="360" w:lineRule="auto"/>
        <w:jc w:val="left"/>
        <w:rPr>
          <w:rFonts w:ascii="宋体" w:hAnsi="宋体"/>
          <w:b/>
          <w:bCs/>
          <w:color w:val="auto"/>
          <w:sz w:val="24"/>
          <w:highlight w:val="none"/>
        </w:rPr>
      </w:pPr>
      <w:r>
        <w:rPr>
          <w:rFonts w:hint="eastAsia" w:ascii="宋体" w:hAnsi="宋体"/>
          <w:b/>
          <w:bCs/>
          <w:color w:val="auto"/>
          <w:sz w:val="24"/>
          <w:highlight w:val="none"/>
        </w:rPr>
        <w:t>9.违约责任</w:t>
      </w:r>
    </w:p>
    <w:p w14:paraId="59338405">
      <w:pPr>
        <w:autoSpaceDE w:val="0"/>
        <w:autoSpaceDN w:val="0"/>
        <w:adjustRightInd w:val="0"/>
        <w:snapToGrid w:val="0"/>
        <w:spacing w:before="50"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9.1 合同履行期间，任何一方不履行或不完全履行本合同约定义务，另一方有权解除合同。责任方承担违约责任，并赔偿因此给对方造成的经济损失。</w:t>
      </w:r>
    </w:p>
    <w:p w14:paraId="471953B8">
      <w:pPr>
        <w:autoSpaceDE w:val="0"/>
        <w:autoSpaceDN w:val="0"/>
        <w:adjustRightInd w:val="0"/>
        <w:snapToGrid w:val="0"/>
        <w:spacing w:before="50" w:line="360" w:lineRule="auto"/>
        <w:jc w:val="left"/>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bCs/>
          <w:color w:val="auto"/>
          <w:szCs w:val="21"/>
          <w:highlight w:val="none"/>
        </w:rPr>
        <w:t xml:space="preserve"> 9.2 乙方未经甲方同意将承包业务全部或部分转包、分包给其它公司或个人的，甲方有权单方解除本合同。对甲方造成损失的，由乙方负责赔偿其全部损失。</w:t>
      </w:r>
    </w:p>
    <w:p w14:paraId="09F4E49D">
      <w:pPr>
        <w:autoSpaceDE w:val="0"/>
        <w:autoSpaceDN w:val="0"/>
        <w:adjustRightInd w:val="0"/>
        <w:snapToGrid w:val="0"/>
        <w:spacing w:before="50" w:line="360" w:lineRule="auto"/>
        <w:jc w:val="left"/>
        <w:rPr>
          <w:rFonts w:ascii="宋体" w:hAnsi="宋体"/>
          <w:b/>
          <w:color w:val="auto"/>
          <w:sz w:val="24"/>
          <w:highlight w:val="none"/>
        </w:rPr>
      </w:pPr>
      <w:r>
        <w:rPr>
          <w:rFonts w:hint="eastAsia" w:ascii="宋体" w:hAnsi="宋体"/>
          <w:b/>
          <w:color w:val="auto"/>
          <w:sz w:val="24"/>
          <w:highlight w:val="none"/>
        </w:rPr>
        <w:t>10.合同的变更</w:t>
      </w:r>
    </w:p>
    <w:p w14:paraId="07EC8E1E">
      <w:pPr>
        <w:autoSpaceDE w:val="0"/>
        <w:autoSpaceDN w:val="0"/>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10.1 在合同履行过程中，甲、乙双方可就合同履行的时间、地点和方式等协商进行变更。协商一致后，双方应签订书面的补充协议。</w:t>
      </w:r>
    </w:p>
    <w:p w14:paraId="500716C9">
      <w:pPr>
        <w:autoSpaceDE w:val="0"/>
        <w:autoSpaceDN w:val="0"/>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10.2 在不改变合同其他条款的前提下，甲方有权在合同价款百分之十的范围内追加与合同标的相同的货物或服务，并就此与乙方签订补充合同，乙方不得拒绝。</w:t>
      </w:r>
    </w:p>
    <w:p w14:paraId="33F2548F">
      <w:pPr>
        <w:autoSpaceDE w:val="0"/>
        <w:autoSpaceDN w:val="0"/>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10.3 除双方签署书面协议，并成为合同不可分割的一部分外，本合同条件不得有任何变更。</w:t>
      </w:r>
    </w:p>
    <w:p w14:paraId="191D2C11">
      <w:pPr>
        <w:autoSpaceDE w:val="0"/>
        <w:autoSpaceDN w:val="0"/>
        <w:adjustRightInd w:val="0"/>
        <w:snapToGrid w:val="0"/>
        <w:spacing w:before="50" w:line="360" w:lineRule="auto"/>
        <w:jc w:val="left"/>
        <w:rPr>
          <w:rFonts w:ascii="宋体" w:hAnsi="宋体"/>
          <w:b/>
          <w:color w:val="auto"/>
          <w:sz w:val="24"/>
          <w:highlight w:val="none"/>
        </w:rPr>
      </w:pPr>
      <w:r>
        <w:rPr>
          <w:rFonts w:hint="eastAsia" w:ascii="宋体" w:hAnsi="宋体"/>
          <w:b/>
          <w:color w:val="auto"/>
          <w:sz w:val="24"/>
          <w:highlight w:val="none"/>
        </w:rPr>
        <w:t>11.合同中止与终止</w:t>
      </w:r>
    </w:p>
    <w:p w14:paraId="61C57E42">
      <w:pPr>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11.1合同的中止</w:t>
      </w:r>
    </w:p>
    <w:p w14:paraId="1D87F05C">
      <w:pPr>
        <w:autoSpaceDE w:val="0"/>
        <w:autoSpaceDN w:val="0"/>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（1）合同在履行过程中，因采购计划调整，甲方可以要求中止履行，待计划确定后继续履行；</w:t>
      </w:r>
    </w:p>
    <w:p w14:paraId="3BF314AB">
      <w:pPr>
        <w:autoSpaceDE w:val="0"/>
        <w:autoSpaceDN w:val="0"/>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（2）合同履行过程中因供应商就采购过程或结果提起投诉的，甲方认为有必要或财政部门责令中止的，应当中止合同的履行。</w:t>
      </w:r>
    </w:p>
    <w:p w14:paraId="5F466337">
      <w:pPr>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11.2合同的终止</w:t>
      </w:r>
    </w:p>
    <w:p w14:paraId="19651D3C">
      <w:pPr>
        <w:autoSpaceDE w:val="0"/>
        <w:autoSpaceDN w:val="0"/>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3959AB5D">
      <w:pPr>
        <w:autoSpaceDE w:val="0"/>
        <w:autoSpaceDN w:val="0"/>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（2）乙方未能依照本合同约定条件履行合同，已构成根本性违约的，甲方有权终止本合同，并追究乙方的违约责任。</w:t>
      </w:r>
    </w:p>
    <w:p w14:paraId="2B881BAA">
      <w:pPr>
        <w:autoSpaceDE w:val="0"/>
        <w:autoSpaceDN w:val="0"/>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（3）如果乙方丧失履约能力或被宣告破产，甲方可在任何时候以书面形式通知乙方终止合同而不给乙方补偿。</w:t>
      </w:r>
    </w:p>
    <w:p w14:paraId="1C971D79">
      <w:pPr>
        <w:autoSpaceDE w:val="0"/>
        <w:autoSpaceDN w:val="0"/>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（4）如果乙方在履行合同过程中有不正当竞争行为，甲方有权解除合同，并按《中华人民共和国反不正当竞争法》规定由有关部门追究其法律责任。</w:t>
      </w:r>
    </w:p>
    <w:p w14:paraId="67DBD59E">
      <w:pPr>
        <w:autoSpaceDE w:val="0"/>
        <w:autoSpaceDN w:val="0"/>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（5）如果合同的履行将损害国家利益或社会公共利益，甲方有权终止合同的履行，给乙方造成损失的予以相应补偿。</w:t>
      </w:r>
    </w:p>
    <w:p w14:paraId="2D34219A">
      <w:pPr>
        <w:autoSpaceDE w:val="0"/>
        <w:autoSpaceDN w:val="0"/>
        <w:adjustRightInd w:val="0"/>
        <w:snapToGrid w:val="0"/>
        <w:spacing w:before="50" w:line="360" w:lineRule="auto"/>
        <w:jc w:val="left"/>
        <w:rPr>
          <w:rFonts w:ascii="宋体" w:hAnsi="宋体"/>
          <w:b/>
          <w:bCs/>
          <w:color w:val="auto"/>
          <w:sz w:val="24"/>
          <w:highlight w:val="none"/>
        </w:rPr>
      </w:pPr>
      <w:r>
        <w:rPr>
          <w:rFonts w:hint="eastAsia" w:ascii="宋体" w:hAnsi="宋体"/>
          <w:b/>
          <w:bCs/>
          <w:color w:val="auto"/>
          <w:sz w:val="24"/>
          <w:highlight w:val="none"/>
        </w:rPr>
        <w:t>12.合同转让和分包</w:t>
      </w:r>
    </w:p>
    <w:p w14:paraId="2BA5EC5A">
      <w:pPr>
        <w:autoSpaceDE w:val="0"/>
        <w:autoSpaceDN w:val="0"/>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12.1 乙方不得以任何形式将合同转包。</w:t>
      </w:r>
    </w:p>
    <w:p w14:paraId="2D0694A3">
      <w:pPr>
        <w:autoSpaceDE w:val="0"/>
        <w:autoSpaceDN w:val="0"/>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 乙方未在投标文件中说明，不得将</w:t>
      </w:r>
      <w:r>
        <w:rPr>
          <w:rFonts w:hint="eastAsia" w:ascii="宋体" w:hAnsi="宋体"/>
          <w:bCs/>
          <w:color w:val="auto"/>
          <w:szCs w:val="21"/>
          <w:highlight w:val="none"/>
        </w:rPr>
        <w:t>合同</w:t>
      </w:r>
      <w:r>
        <w:rPr>
          <w:rFonts w:hint="eastAsia" w:ascii="宋体" w:hAnsi="宋体"/>
          <w:color w:val="auto"/>
          <w:szCs w:val="21"/>
          <w:highlight w:val="none"/>
        </w:rPr>
        <w:t>的非主体、非关键性工作分包给他人。</w:t>
      </w:r>
    </w:p>
    <w:p w14:paraId="27B4AEBF">
      <w:pPr>
        <w:autoSpaceDE w:val="0"/>
        <w:autoSpaceDN w:val="0"/>
        <w:adjustRightInd w:val="0"/>
        <w:snapToGrid w:val="0"/>
        <w:spacing w:before="50" w:line="360" w:lineRule="auto"/>
        <w:jc w:val="left"/>
        <w:rPr>
          <w:rFonts w:ascii="宋体" w:hAnsi="宋体"/>
          <w:b/>
          <w:bCs/>
          <w:color w:val="auto"/>
          <w:sz w:val="24"/>
          <w:highlight w:val="none"/>
        </w:rPr>
      </w:pPr>
      <w:r>
        <w:rPr>
          <w:rFonts w:hint="eastAsia" w:ascii="宋体" w:hAnsi="宋体"/>
          <w:b/>
          <w:bCs/>
          <w:color w:val="auto"/>
          <w:sz w:val="24"/>
          <w:highlight w:val="none"/>
        </w:rPr>
        <w:t>13.不可抗力</w:t>
      </w:r>
    </w:p>
    <w:p w14:paraId="6AC58742">
      <w:pPr>
        <w:autoSpaceDE w:val="0"/>
        <w:autoSpaceDN w:val="0"/>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13.1 不可抗力是指合同双方不可预见、不可避免、不可克服的自然灾害和社会事件。</w:t>
      </w:r>
    </w:p>
    <w:p w14:paraId="6F3101D8">
      <w:pPr>
        <w:autoSpaceDE w:val="0"/>
        <w:autoSpaceDN w:val="0"/>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13.2 任何一方对由于不可抗力造成的部分或全部不能履行合同不承担违约责任。但迟延履行后发生不可抗力的，不能免除责任。</w:t>
      </w:r>
    </w:p>
    <w:p w14:paraId="19AAFC21">
      <w:pPr>
        <w:autoSpaceDE w:val="0"/>
        <w:autoSpaceDN w:val="0"/>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13.3 遇有不可抗力的一方，应在三日内将事件的情况以书面形式通知另一方，并在事件发生后十日内，向另一方提交合同不能履行或部分不能履行或需要延期履行理由的报告。</w:t>
      </w:r>
    </w:p>
    <w:p w14:paraId="33D95A4C">
      <w:pPr>
        <w:autoSpaceDE w:val="0"/>
        <w:autoSpaceDN w:val="0"/>
        <w:adjustRightInd w:val="0"/>
        <w:snapToGrid w:val="0"/>
        <w:spacing w:before="50" w:line="360" w:lineRule="auto"/>
        <w:jc w:val="left"/>
        <w:rPr>
          <w:rFonts w:ascii="宋体" w:hAnsi="宋体"/>
          <w:b/>
          <w:bCs/>
          <w:color w:val="auto"/>
          <w:sz w:val="24"/>
          <w:highlight w:val="none"/>
        </w:rPr>
      </w:pPr>
      <w:r>
        <w:rPr>
          <w:rFonts w:hint="eastAsia" w:ascii="宋体" w:hAnsi="宋体"/>
          <w:b/>
          <w:bCs/>
          <w:color w:val="auto"/>
          <w:sz w:val="24"/>
          <w:highlight w:val="none"/>
        </w:rPr>
        <w:t>14.解决争议的方法</w:t>
      </w:r>
    </w:p>
    <w:p w14:paraId="01A18468">
      <w:pPr>
        <w:autoSpaceDE w:val="0"/>
        <w:autoSpaceDN w:val="0"/>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14.1 合同各方应通过友好协商，解决在执行合同过程中所发生的或与合同有关的一切争端。如从协商开始后十日内仍不能解决，可以向财政部门提请调解。</w:t>
      </w:r>
    </w:p>
    <w:p w14:paraId="2776C2FB">
      <w:pPr>
        <w:autoSpaceDE w:val="0"/>
        <w:autoSpaceDN w:val="0"/>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14.2 调解不成可以向甲方所在地人民法院提起诉讼。</w:t>
      </w:r>
    </w:p>
    <w:p w14:paraId="73151523">
      <w:pPr>
        <w:autoSpaceDE w:val="0"/>
        <w:autoSpaceDN w:val="0"/>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14.3 如诉讼事项不影响合同其它部分的履行，则在诉讼期间，除正在进行诉讼的部分外，合同的其它部分应继续执行。</w:t>
      </w:r>
    </w:p>
    <w:p w14:paraId="237B02B1">
      <w:pPr>
        <w:autoSpaceDE w:val="0"/>
        <w:autoSpaceDN w:val="0"/>
        <w:adjustRightInd w:val="0"/>
        <w:snapToGrid w:val="0"/>
        <w:spacing w:before="50" w:line="360" w:lineRule="auto"/>
        <w:jc w:val="left"/>
        <w:rPr>
          <w:rFonts w:ascii="宋体" w:hAnsi="宋体"/>
          <w:b/>
          <w:color w:val="auto"/>
          <w:sz w:val="24"/>
          <w:highlight w:val="none"/>
        </w:rPr>
      </w:pPr>
      <w:r>
        <w:rPr>
          <w:rFonts w:hint="eastAsia" w:ascii="宋体" w:hAnsi="宋体"/>
          <w:b/>
          <w:color w:val="auto"/>
          <w:sz w:val="24"/>
          <w:highlight w:val="none"/>
        </w:rPr>
        <w:t>15.法律适用</w:t>
      </w:r>
    </w:p>
    <w:p w14:paraId="6B2FFB5A">
      <w:pPr>
        <w:autoSpaceDE w:val="0"/>
        <w:autoSpaceDN w:val="0"/>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15.1 本合同适用中华人民共和国现行法律、行政法规和规章，如合同条款与法律、行政法规和规章不一致的，按照法律、行政法规和规章修改本合同。</w:t>
      </w:r>
    </w:p>
    <w:p w14:paraId="29EFCDC1">
      <w:pPr>
        <w:autoSpaceDE w:val="0"/>
        <w:autoSpaceDN w:val="0"/>
        <w:adjustRightInd w:val="0"/>
        <w:snapToGrid w:val="0"/>
        <w:spacing w:before="50" w:line="360" w:lineRule="auto"/>
        <w:jc w:val="left"/>
        <w:rPr>
          <w:rFonts w:ascii="宋体" w:hAnsi="宋体"/>
          <w:b/>
          <w:color w:val="auto"/>
          <w:sz w:val="24"/>
          <w:highlight w:val="none"/>
        </w:rPr>
      </w:pPr>
      <w:r>
        <w:rPr>
          <w:rFonts w:hint="eastAsia" w:ascii="宋体" w:hAnsi="宋体"/>
          <w:b/>
          <w:bCs/>
          <w:color w:val="auto"/>
          <w:sz w:val="24"/>
          <w:highlight w:val="none"/>
        </w:rPr>
        <w:t>16.</w:t>
      </w:r>
      <w:r>
        <w:rPr>
          <w:rFonts w:hint="eastAsia" w:ascii="宋体" w:hAnsi="宋体"/>
          <w:b/>
          <w:color w:val="auto"/>
          <w:sz w:val="24"/>
          <w:highlight w:val="none"/>
        </w:rPr>
        <w:t>通知</w:t>
      </w:r>
    </w:p>
    <w:p w14:paraId="379560A6">
      <w:pPr>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16.1本合同一方给另一方的通知均应采用书面形式，传真或快递送到本合同中规定的对方的地址和办理签收手续，</w:t>
      </w:r>
    </w:p>
    <w:p w14:paraId="0796C669">
      <w:pPr>
        <w:adjustRightInd w:val="0"/>
        <w:snapToGrid w:val="0"/>
        <w:spacing w:before="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16.2通知以送到之日或通知书中规定的生效之日起生效，两者中以较迟之日为准。</w:t>
      </w:r>
    </w:p>
    <w:p w14:paraId="2F860D12">
      <w:pPr>
        <w:adjustRightInd w:val="0"/>
        <w:snapToGrid w:val="0"/>
        <w:spacing w:before="50" w:line="360" w:lineRule="auto"/>
        <w:jc w:val="left"/>
        <w:rPr>
          <w:rFonts w:ascii="宋体" w:hAnsi="宋体"/>
          <w:b/>
          <w:bCs/>
          <w:color w:val="auto"/>
          <w:sz w:val="24"/>
          <w:highlight w:val="none"/>
        </w:rPr>
      </w:pPr>
      <w:r>
        <w:rPr>
          <w:rFonts w:hint="eastAsia" w:ascii="宋体" w:hAnsi="宋体"/>
          <w:b/>
          <w:bCs/>
          <w:color w:val="auto"/>
          <w:sz w:val="24"/>
          <w:highlight w:val="none"/>
        </w:rPr>
        <w:t>17.合同未尽事项</w:t>
      </w:r>
    </w:p>
    <w:p w14:paraId="791A21B5">
      <w:pPr>
        <w:adjustRightInd w:val="0"/>
        <w:snapToGrid w:val="0"/>
        <w:spacing w:before="50"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17.1合同未尽事项见</w:t>
      </w:r>
      <w:r>
        <w:rPr>
          <w:rFonts w:hint="eastAsia" w:ascii="宋体" w:hAnsi="宋体"/>
          <w:b/>
          <w:color w:val="auto"/>
          <w:szCs w:val="21"/>
          <w:highlight w:val="none"/>
        </w:rPr>
        <w:t>【政府采购合同专用条款】。</w:t>
      </w:r>
    </w:p>
    <w:p w14:paraId="77D619CC">
      <w:pPr>
        <w:adjustRightInd w:val="0"/>
        <w:snapToGrid w:val="0"/>
        <w:spacing w:before="50" w:line="360" w:lineRule="auto"/>
        <w:jc w:val="left"/>
        <w:rPr>
          <w:rFonts w:ascii="宋体" w:hAnsi="宋体"/>
          <w:b/>
          <w:bCs/>
          <w:color w:val="auto"/>
          <w:sz w:val="24"/>
          <w:highlight w:val="none"/>
        </w:rPr>
      </w:pPr>
      <w:r>
        <w:rPr>
          <w:rFonts w:hint="eastAsia" w:ascii="宋体" w:hAnsi="宋体"/>
          <w:b/>
          <w:bCs/>
          <w:color w:val="auto"/>
          <w:sz w:val="24"/>
          <w:highlight w:val="none"/>
        </w:rPr>
        <w:t>18.合同生效</w:t>
      </w:r>
    </w:p>
    <w:p w14:paraId="21AD09D8">
      <w:pPr>
        <w:autoSpaceDE w:val="0"/>
        <w:autoSpaceDN w:val="0"/>
        <w:adjustRightInd w:val="0"/>
        <w:snapToGrid w:val="0"/>
        <w:spacing w:before="50" w:line="360" w:lineRule="auto"/>
        <w:ind w:firstLine="420" w:firstLineChars="200"/>
        <w:jc w:val="left"/>
        <w:rPr>
          <w:rFonts w:ascii="宋体" w:hAnsi="宋体" w:cs="宋体"/>
          <w:b/>
          <w:bCs/>
          <w:color w:val="auto"/>
          <w:sz w:val="32"/>
          <w:highlight w:val="none"/>
        </w:rPr>
      </w:pPr>
      <w:r>
        <w:rPr>
          <w:rFonts w:hint="eastAsia" w:ascii="宋体" w:hAnsi="宋体"/>
          <w:color w:val="auto"/>
          <w:szCs w:val="21"/>
          <w:highlight w:val="none"/>
        </w:rPr>
        <w:t>18.1 本合同在合同双方签字盖章后生效。</w:t>
      </w:r>
      <w:r>
        <w:rPr>
          <w:rFonts w:hint="eastAsia" w:ascii="宋体" w:hAnsi="宋体" w:cs="宋体"/>
          <w:b/>
          <w:bCs/>
          <w:color w:val="auto"/>
          <w:sz w:val="32"/>
          <w:highlight w:val="none"/>
        </w:rPr>
        <w:br w:type="page"/>
      </w:r>
    </w:p>
    <w:p w14:paraId="47C3F361">
      <w:pPr>
        <w:pStyle w:val="5"/>
        <w:adjustRightInd w:val="0"/>
        <w:snapToGrid w:val="0"/>
        <w:jc w:val="center"/>
        <w:rPr>
          <w:rFonts w:ascii="宋体" w:hAnsi="宋体" w:cs="宋体"/>
          <w:color w:val="auto"/>
          <w:sz w:val="28"/>
          <w:szCs w:val="28"/>
          <w:highlight w:val="none"/>
        </w:rPr>
      </w:pPr>
      <w:bookmarkStart w:id="78" w:name="_Toc19726"/>
      <w:r>
        <w:rPr>
          <w:rFonts w:hint="eastAsia" w:ascii="宋体" w:hAnsi="宋体" w:cs="宋体"/>
          <w:color w:val="auto"/>
          <w:sz w:val="28"/>
          <w:szCs w:val="28"/>
          <w:highlight w:val="none"/>
        </w:rPr>
        <w:t>第三节 政府采购合同专用条款</w:t>
      </w:r>
      <w:bookmarkEnd w:id="78"/>
    </w:p>
    <w:tbl>
      <w:tblPr>
        <w:tblStyle w:val="45"/>
        <w:tblW w:w="900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843"/>
        <w:gridCol w:w="5464"/>
      </w:tblGrid>
      <w:tr w14:paraId="6E5BEC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1" w:type="dxa"/>
            <w:tcBorders>
              <w:tl2br w:val="nil"/>
              <w:tr2bl w:val="nil"/>
            </w:tcBorders>
            <w:noWrap w:val="0"/>
            <w:vAlign w:val="center"/>
          </w:tcPr>
          <w:p w14:paraId="5091129D">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本章第二节</w:t>
            </w:r>
          </w:p>
          <w:p w14:paraId="6C65BDA0">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第1.1</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rPr>
              <w:t>款</w:t>
            </w:r>
          </w:p>
        </w:tc>
        <w:tc>
          <w:tcPr>
            <w:tcW w:w="1843" w:type="dxa"/>
            <w:tcBorders>
              <w:tl2br w:val="nil"/>
              <w:tr2bl w:val="nil"/>
            </w:tcBorders>
            <w:noWrap w:val="0"/>
            <w:vAlign w:val="center"/>
          </w:tcPr>
          <w:p w14:paraId="4AAE1345">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 xml:space="preserve">甲方名称、地址 </w:t>
            </w:r>
          </w:p>
        </w:tc>
        <w:tc>
          <w:tcPr>
            <w:tcW w:w="5464" w:type="dxa"/>
            <w:tcBorders>
              <w:tl2br w:val="nil"/>
              <w:tr2bl w:val="nil"/>
            </w:tcBorders>
            <w:noWrap w:val="0"/>
            <w:vAlign w:val="center"/>
          </w:tcPr>
          <w:p w14:paraId="5FE4EADE">
            <w:pPr>
              <w:snapToGrid/>
              <w:spacing w:before="0" w:beforeAutospacing="0" w:after="0" w:afterAutospacing="0" w:line="240" w:lineRule="auto"/>
              <w:jc w:val="both"/>
              <w:textAlignment w:val="baseline"/>
              <w:rPr>
                <w:rStyle w:val="125"/>
                <w:rFonts w:hint="eastAsia" w:ascii="Times New Roman" w:hAnsi="Times New Roman" w:eastAsia="宋体"/>
                <w:b w:val="0"/>
                <w:i w:val="0"/>
                <w:caps w:val="0"/>
                <w:color w:val="auto"/>
                <w:spacing w:val="0"/>
                <w:w w:val="100"/>
                <w:kern w:val="2"/>
                <w:sz w:val="21"/>
                <w:szCs w:val="24"/>
                <w:highlight w:val="none"/>
                <w:lang w:val="en-US" w:eastAsia="zh-CN" w:bidi="ar-SA"/>
              </w:rPr>
            </w:pPr>
            <w:r>
              <w:rPr>
                <w:rStyle w:val="125"/>
                <w:rFonts w:hint="eastAsia" w:ascii="Times New Roman" w:hAnsi="Times New Roman" w:eastAsia="宋体"/>
                <w:b w:val="0"/>
                <w:i w:val="0"/>
                <w:caps w:val="0"/>
                <w:color w:val="auto"/>
                <w:spacing w:val="0"/>
                <w:w w:val="100"/>
                <w:kern w:val="2"/>
                <w:sz w:val="21"/>
                <w:szCs w:val="24"/>
                <w:highlight w:val="none"/>
                <w:lang w:val="en-US" w:eastAsia="zh-CN" w:bidi="ar-SA"/>
              </w:rPr>
              <w:t>甲方名称：湖南铁路科技职业技术学院</w:t>
            </w:r>
          </w:p>
          <w:p w14:paraId="10E7C9C4">
            <w:pPr>
              <w:snapToGrid/>
              <w:spacing w:before="0" w:beforeAutospacing="0" w:after="0" w:afterAutospacing="0" w:line="240" w:lineRule="auto"/>
              <w:jc w:val="both"/>
              <w:textAlignment w:val="baseline"/>
              <w:rPr>
                <w:rFonts w:ascii="宋体" w:hAnsi="宋体"/>
                <w:color w:val="auto"/>
                <w:szCs w:val="21"/>
                <w:highlight w:val="none"/>
              </w:rPr>
            </w:pPr>
            <w:r>
              <w:rPr>
                <w:rStyle w:val="125"/>
                <w:rFonts w:hint="eastAsia" w:ascii="Times New Roman" w:hAnsi="Times New Roman" w:eastAsia="宋体"/>
                <w:b w:val="0"/>
                <w:i w:val="0"/>
                <w:caps w:val="0"/>
                <w:color w:val="auto"/>
                <w:spacing w:val="0"/>
                <w:w w:val="100"/>
                <w:kern w:val="2"/>
                <w:sz w:val="21"/>
                <w:szCs w:val="24"/>
                <w:highlight w:val="none"/>
                <w:lang w:val="en-US" w:eastAsia="zh-CN" w:bidi="ar-SA"/>
              </w:rPr>
              <w:t>地址：湖南省株洲市云龙示范区职教大学城智慧路1号</w:t>
            </w:r>
          </w:p>
        </w:tc>
      </w:tr>
      <w:tr w14:paraId="3F1E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1" w:type="dxa"/>
            <w:tcBorders>
              <w:tl2br w:val="nil"/>
              <w:tr2bl w:val="nil"/>
            </w:tcBorders>
            <w:noWrap w:val="0"/>
            <w:vAlign w:val="center"/>
          </w:tcPr>
          <w:p w14:paraId="087895FF">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本章第二节</w:t>
            </w:r>
          </w:p>
          <w:p w14:paraId="7EB692EF">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843" w:type="dxa"/>
            <w:tcBorders>
              <w:tl2br w:val="nil"/>
              <w:tr2bl w:val="nil"/>
            </w:tcBorders>
            <w:noWrap w:val="0"/>
            <w:vAlign w:val="center"/>
          </w:tcPr>
          <w:p w14:paraId="01EFA069">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项目现场</w:t>
            </w:r>
          </w:p>
        </w:tc>
        <w:tc>
          <w:tcPr>
            <w:tcW w:w="5464" w:type="dxa"/>
            <w:tcBorders>
              <w:tl2br w:val="nil"/>
              <w:tr2bl w:val="nil"/>
            </w:tcBorders>
            <w:noWrap w:val="0"/>
            <w:vAlign w:val="center"/>
          </w:tcPr>
          <w:p w14:paraId="7F6C8D3F">
            <w:pPr>
              <w:snapToGrid w:val="0"/>
              <w:spacing w:before="0" w:beforeAutospacing="0" w:after="0" w:afterAutospacing="0" w:line="240" w:lineRule="auto"/>
              <w:jc w:val="left"/>
              <w:textAlignment w:val="baseline"/>
              <w:rPr>
                <w:rFonts w:ascii="宋体" w:hAnsi="宋体"/>
                <w:color w:val="auto"/>
                <w:szCs w:val="21"/>
                <w:highlight w:val="none"/>
              </w:rPr>
            </w:pPr>
            <w:r>
              <w:rPr>
                <w:rFonts w:hint="eastAsia" w:ascii="宋体" w:hAnsi="宋体" w:cs="宋体"/>
                <w:color w:val="auto"/>
                <w:highlight w:val="none"/>
              </w:rPr>
              <w:t>甲方指定地点。</w:t>
            </w:r>
          </w:p>
        </w:tc>
      </w:tr>
      <w:tr w14:paraId="3E5E4B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1" w:type="dxa"/>
            <w:tcBorders>
              <w:tl2br w:val="nil"/>
              <w:tr2bl w:val="nil"/>
            </w:tcBorders>
            <w:noWrap w:val="0"/>
            <w:vAlign w:val="center"/>
          </w:tcPr>
          <w:p w14:paraId="30B5738D">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本章第二节</w:t>
            </w:r>
          </w:p>
          <w:p w14:paraId="722B1816">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第5.1款</w:t>
            </w:r>
          </w:p>
        </w:tc>
        <w:tc>
          <w:tcPr>
            <w:tcW w:w="1843" w:type="dxa"/>
            <w:tcBorders>
              <w:tl2br w:val="nil"/>
              <w:tr2bl w:val="nil"/>
            </w:tcBorders>
            <w:noWrap w:val="0"/>
            <w:vAlign w:val="center"/>
          </w:tcPr>
          <w:p w14:paraId="5D24C4E9">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履行合同的时间、地点及方式</w:t>
            </w:r>
          </w:p>
        </w:tc>
        <w:tc>
          <w:tcPr>
            <w:tcW w:w="5464" w:type="dxa"/>
            <w:tcBorders>
              <w:tl2br w:val="nil"/>
              <w:tr2bl w:val="nil"/>
            </w:tcBorders>
            <w:noWrap w:val="0"/>
            <w:vAlign w:val="center"/>
          </w:tcPr>
          <w:p w14:paraId="5048C935">
            <w:pPr>
              <w:pStyle w:val="44"/>
              <w:tabs>
                <w:tab w:val="left" w:pos="630"/>
              </w:tabs>
              <w:spacing w:after="0" w:line="360" w:lineRule="auto"/>
              <w:ind w:left="0" w:leftChars="0" w:firstLine="0" w:firstLineChars="0"/>
              <w:jc w:val="left"/>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rPr>
              <w:t>1、履行合同的时间</w:t>
            </w:r>
            <w:r>
              <w:rPr>
                <w:rFonts w:hint="eastAsia" w:ascii="宋体" w:hAnsi="宋体" w:cs="宋体"/>
                <w:color w:val="auto"/>
                <w:szCs w:val="21"/>
                <w:highlight w:val="none"/>
                <w:lang w:eastAsia="zh-CN"/>
              </w:rPr>
              <w:t>：本项目整体服务期限为两年，合同一年一签，其中中央空调维保服务期限从2025年9月1日至2026年11月30日。</w:t>
            </w:r>
          </w:p>
          <w:p w14:paraId="6F6F4B41">
            <w:pPr>
              <w:snapToGrid w:val="0"/>
              <w:spacing w:before="0" w:beforeAutospacing="0" w:after="0" w:afterAutospacing="0" w:line="240" w:lineRule="auto"/>
              <w:jc w:val="left"/>
              <w:textAlignment w:val="baseline"/>
              <w:rPr>
                <w:rFonts w:ascii="宋体" w:hAnsi="宋体"/>
                <w:color w:val="auto"/>
                <w:szCs w:val="21"/>
                <w:highlight w:val="none"/>
              </w:rPr>
            </w:pPr>
            <w:r>
              <w:rPr>
                <w:rFonts w:hint="eastAsia" w:hAnsi="宋体"/>
                <w:color w:val="auto"/>
                <w:highlight w:val="none"/>
              </w:rPr>
              <w:t>2、服务地点：采购人指定地点。</w:t>
            </w:r>
          </w:p>
        </w:tc>
      </w:tr>
      <w:tr w14:paraId="753F51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701" w:type="dxa"/>
            <w:tcBorders>
              <w:tl2br w:val="nil"/>
              <w:tr2bl w:val="nil"/>
            </w:tcBorders>
            <w:noWrap w:val="0"/>
            <w:vAlign w:val="center"/>
          </w:tcPr>
          <w:p w14:paraId="20FD6C53">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本章第二节</w:t>
            </w:r>
          </w:p>
          <w:p w14:paraId="630C2D09">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第13.5款</w:t>
            </w:r>
          </w:p>
        </w:tc>
        <w:tc>
          <w:tcPr>
            <w:tcW w:w="1843" w:type="dxa"/>
            <w:tcBorders>
              <w:tl2br w:val="nil"/>
              <w:tr2bl w:val="nil"/>
            </w:tcBorders>
            <w:noWrap w:val="0"/>
            <w:vAlign w:val="center"/>
          </w:tcPr>
          <w:p w14:paraId="399187DD">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合同价款支付方式</w:t>
            </w:r>
            <w:r>
              <w:rPr>
                <w:rFonts w:hint="eastAsia" w:ascii="宋体" w:hAnsi="宋体"/>
                <w:bCs/>
                <w:color w:val="auto"/>
                <w:szCs w:val="21"/>
                <w:highlight w:val="none"/>
              </w:rPr>
              <w:t>和条件</w:t>
            </w:r>
          </w:p>
        </w:tc>
        <w:tc>
          <w:tcPr>
            <w:tcW w:w="5464" w:type="dxa"/>
            <w:tcBorders>
              <w:tl2br w:val="nil"/>
              <w:tr2bl w:val="nil"/>
            </w:tcBorders>
            <w:noWrap w:val="0"/>
            <w:vAlign w:val="center"/>
          </w:tcPr>
          <w:p w14:paraId="7D52759B">
            <w:pPr>
              <w:adjustRightInd w:val="0"/>
              <w:snapToGrid w:val="0"/>
              <w:spacing w:line="440" w:lineRule="exact"/>
              <w:rPr>
                <w:rFonts w:hint="eastAsia" w:ascii="宋体" w:hAnsi="宋体" w:eastAsia="宋体"/>
                <w:color w:val="auto"/>
                <w:szCs w:val="21"/>
                <w:highlight w:val="none"/>
                <w:lang w:eastAsia="zh-CN"/>
              </w:rPr>
            </w:pPr>
            <w:r>
              <w:rPr>
                <w:rFonts w:hint="eastAsia" w:ascii="宋体" w:hAnsi="宋体" w:eastAsia="宋体" w:cs="宋体"/>
                <w:color w:val="auto"/>
                <w:sz w:val="21"/>
                <w:szCs w:val="21"/>
                <w:highlight w:val="none"/>
              </w:rPr>
              <w:t>服务费按月结算。</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于每月支付上月服务费，如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提供服务不足一个月时按日计算。</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须在每月底开具正式税务发票原件交</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每月五日前，提交上月详细的物业管理服务人员出勤表（以当月合同在册、在岗人员为准），供</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审核，办理付款审批手续。如有缺岗的，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按其岗位实际缺岗天数扣减日工资</w:t>
            </w:r>
            <w:r>
              <w:rPr>
                <w:rFonts w:hint="eastAsia" w:ascii="宋体" w:hAnsi="宋体" w:eastAsia="宋体" w:cs="宋体"/>
                <w:color w:val="auto"/>
                <w:sz w:val="21"/>
                <w:szCs w:val="21"/>
                <w:highlight w:val="none"/>
                <w:lang w:eastAsia="zh-CN"/>
              </w:rPr>
              <w:t>。</w:t>
            </w:r>
          </w:p>
        </w:tc>
      </w:tr>
      <w:tr w14:paraId="44B523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1" w:type="dxa"/>
            <w:tcBorders>
              <w:tl2br w:val="nil"/>
              <w:tr2bl w:val="nil"/>
            </w:tcBorders>
            <w:noWrap w:val="0"/>
            <w:vAlign w:val="center"/>
          </w:tcPr>
          <w:p w14:paraId="3357D964">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本章第二节</w:t>
            </w:r>
          </w:p>
          <w:p w14:paraId="24733111">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17</w:t>
            </w:r>
            <w:r>
              <w:rPr>
                <w:rFonts w:hint="eastAsia" w:ascii="宋体" w:hAnsi="宋体"/>
                <w:color w:val="auto"/>
                <w:szCs w:val="21"/>
                <w:highlight w:val="none"/>
              </w:rPr>
              <w:t>.1款</w:t>
            </w:r>
          </w:p>
        </w:tc>
        <w:tc>
          <w:tcPr>
            <w:tcW w:w="1843" w:type="dxa"/>
            <w:tcBorders>
              <w:tl2br w:val="nil"/>
              <w:tr2bl w:val="nil"/>
            </w:tcBorders>
            <w:noWrap w:val="0"/>
            <w:vAlign w:val="center"/>
          </w:tcPr>
          <w:p w14:paraId="489CF30E">
            <w:pPr>
              <w:adjustRightInd w:val="0"/>
              <w:snapToGrid w:val="0"/>
              <w:spacing w:line="360" w:lineRule="auto"/>
              <w:jc w:val="left"/>
              <w:rPr>
                <w:rFonts w:ascii="宋体" w:hAnsi="宋体"/>
                <w:color w:val="auto"/>
                <w:szCs w:val="21"/>
                <w:highlight w:val="none"/>
              </w:rPr>
            </w:pPr>
            <w:r>
              <w:rPr>
                <w:rFonts w:hint="eastAsia" w:ascii="宋体" w:hAnsi="宋体"/>
                <w:bCs/>
                <w:color w:val="auto"/>
                <w:szCs w:val="21"/>
                <w:highlight w:val="none"/>
              </w:rPr>
              <w:t>合同未尽事项</w:t>
            </w:r>
          </w:p>
        </w:tc>
        <w:tc>
          <w:tcPr>
            <w:tcW w:w="5464" w:type="dxa"/>
            <w:tcBorders>
              <w:tl2br w:val="nil"/>
              <w:tr2bl w:val="nil"/>
            </w:tcBorders>
            <w:noWrap w:val="0"/>
            <w:vAlign w:val="center"/>
          </w:tcPr>
          <w:p w14:paraId="3B370A8B">
            <w:pPr>
              <w:adjustRightInd w:val="0"/>
              <w:snapToGrid w:val="0"/>
              <w:spacing w:line="360" w:lineRule="auto"/>
              <w:jc w:val="left"/>
              <w:rPr>
                <w:rFonts w:ascii="宋体" w:hAnsi="宋体"/>
                <w:color w:val="auto"/>
                <w:szCs w:val="21"/>
                <w:highlight w:val="none"/>
              </w:rPr>
            </w:pPr>
            <w:r>
              <w:rPr>
                <w:rStyle w:val="125"/>
                <w:rFonts w:ascii="宋体" w:hAnsi="宋体"/>
                <w:b w:val="0"/>
                <w:i w:val="0"/>
                <w:caps w:val="0"/>
                <w:color w:val="auto"/>
                <w:spacing w:val="0"/>
                <w:w w:val="100"/>
                <w:kern w:val="2"/>
                <w:sz w:val="21"/>
                <w:szCs w:val="21"/>
                <w:highlight w:val="none"/>
                <w:lang w:val="en-US" w:eastAsia="zh-CN" w:bidi="ar-SA"/>
              </w:rPr>
              <w:t>双方协商解决</w:t>
            </w:r>
            <w:r>
              <w:rPr>
                <w:rStyle w:val="125"/>
                <w:rFonts w:hint="eastAsia" w:ascii="宋体" w:hAnsi="宋体"/>
                <w:b w:val="0"/>
                <w:i w:val="0"/>
                <w:caps w:val="0"/>
                <w:color w:val="auto"/>
                <w:spacing w:val="0"/>
                <w:w w:val="100"/>
                <w:kern w:val="2"/>
                <w:sz w:val="21"/>
                <w:szCs w:val="21"/>
                <w:highlight w:val="none"/>
                <w:lang w:val="en-US" w:eastAsia="zh-CN" w:bidi="ar-SA"/>
              </w:rPr>
              <w:t>。</w:t>
            </w:r>
          </w:p>
        </w:tc>
      </w:tr>
    </w:tbl>
    <w:p w14:paraId="37298588">
      <w:pPr>
        <w:adjustRightInd w:val="0"/>
        <w:snapToGrid w:val="0"/>
        <w:spacing w:line="360" w:lineRule="auto"/>
        <w:jc w:val="center"/>
        <w:rPr>
          <w:rFonts w:ascii="宋体" w:hAnsi="宋体" w:cs="宋体"/>
          <w:color w:val="auto"/>
          <w:sz w:val="24"/>
          <w:highlight w:val="none"/>
        </w:rPr>
      </w:pPr>
    </w:p>
    <w:p w14:paraId="6D1CA746">
      <w:pPr>
        <w:pStyle w:val="26"/>
        <w:adjustRightInd w:val="0"/>
        <w:snapToGrid w:val="0"/>
        <w:spacing w:line="360" w:lineRule="auto"/>
        <w:jc w:val="center"/>
        <w:outlineLvl w:val="0"/>
        <w:rPr>
          <w:rFonts w:hAnsi="宋体" w:cs="宋体"/>
          <w:b/>
          <w:bCs/>
          <w:color w:val="auto"/>
          <w:sz w:val="32"/>
          <w:highlight w:val="none"/>
        </w:rPr>
      </w:pPr>
      <w:r>
        <w:rPr>
          <w:rFonts w:hint="eastAsia" w:hAnsi="宋体" w:cs="宋体"/>
          <w:b/>
          <w:bCs/>
          <w:color w:val="auto"/>
          <w:sz w:val="52"/>
          <w:szCs w:val="30"/>
          <w:highlight w:val="none"/>
        </w:rPr>
        <w:br w:type="page"/>
      </w:r>
      <w:bookmarkStart w:id="79" w:name="_Toc32433"/>
      <w:r>
        <w:rPr>
          <w:rFonts w:hint="eastAsia" w:hAnsi="宋体" w:cs="宋体"/>
          <w:b/>
          <w:bCs/>
          <w:color w:val="auto"/>
          <w:sz w:val="32"/>
          <w:szCs w:val="32"/>
          <w:highlight w:val="none"/>
        </w:rPr>
        <w:t>第七章 投标文件的组成</w:t>
      </w:r>
      <w:bookmarkEnd w:id="79"/>
    </w:p>
    <w:p w14:paraId="29B78CC2">
      <w:pPr>
        <w:adjustRightInd w:val="0"/>
        <w:snapToGrid w:val="0"/>
        <w:spacing w:beforeLines="50"/>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第一部分 资格证明文件</w:t>
      </w:r>
    </w:p>
    <w:p w14:paraId="539B1E8A">
      <w:pPr>
        <w:adjustRightInd w:val="0"/>
        <w:snapToGrid w:val="0"/>
        <w:spacing w:beforeLines="50"/>
        <w:ind w:firstLine="630" w:firstLineChars="300"/>
        <w:rPr>
          <w:rFonts w:ascii="宋体" w:hAnsi="宋体" w:cs="宋体"/>
          <w:color w:val="auto"/>
          <w:szCs w:val="21"/>
          <w:highlight w:val="none"/>
        </w:rPr>
      </w:pPr>
      <w:r>
        <w:rPr>
          <w:rFonts w:hint="eastAsia" w:ascii="宋体" w:hAnsi="宋体" w:cs="宋体"/>
          <w:color w:val="auto"/>
          <w:szCs w:val="21"/>
          <w:highlight w:val="none"/>
        </w:rPr>
        <w:t>资格证明文件封面</w:t>
      </w:r>
    </w:p>
    <w:p w14:paraId="55DAAC0E">
      <w:pPr>
        <w:adjustRightInd w:val="0"/>
        <w:snapToGrid w:val="0"/>
        <w:spacing w:beforeLines="50"/>
        <w:ind w:firstLine="630" w:firstLineChars="300"/>
        <w:rPr>
          <w:rFonts w:ascii="宋体" w:hAnsi="宋体" w:cs="宋体"/>
          <w:color w:val="auto"/>
          <w:szCs w:val="21"/>
          <w:highlight w:val="none"/>
        </w:rPr>
      </w:pPr>
      <w:r>
        <w:rPr>
          <w:rFonts w:hint="eastAsia" w:ascii="宋体" w:hAnsi="宋体" w:cs="宋体"/>
          <w:color w:val="auto"/>
          <w:szCs w:val="21"/>
          <w:highlight w:val="none"/>
        </w:rPr>
        <w:t>一、资格证明材料</w:t>
      </w:r>
    </w:p>
    <w:p w14:paraId="2550F54A">
      <w:pPr>
        <w:adjustRightInd w:val="0"/>
        <w:snapToGrid w:val="0"/>
        <w:spacing w:beforeLines="50"/>
        <w:ind w:firstLine="630" w:firstLineChars="300"/>
        <w:rPr>
          <w:rFonts w:ascii="宋体" w:hAnsi="宋体" w:cs="宋体"/>
          <w:color w:val="auto"/>
          <w:szCs w:val="21"/>
          <w:highlight w:val="none"/>
        </w:rPr>
      </w:pPr>
      <w:r>
        <w:rPr>
          <w:rFonts w:hint="eastAsia" w:ascii="宋体" w:hAnsi="宋体" w:cs="宋体"/>
          <w:color w:val="auto"/>
          <w:szCs w:val="21"/>
          <w:highlight w:val="none"/>
        </w:rPr>
        <w:t>（一）开标一览表</w:t>
      </w:r>
    </w:p>
    <w:p w14:paraId="21986C52">
      <w:pPr>
        <w:adjustRightInd w:val="0"/>
        <w:snapToGrid w:val="0"/>
        <w:spacing w:beforeLines="50"/>
        <w:ind w:firstLine="630" w:firstLineChars="300"/>
        <w:rPr>
          <w:rFonts w:ascii="宋体" w:hAnsi="宋体" w:cs="宋体"/>
          <w:color w:val="auto"/>
          <w:szCs w:val="21"/>
          <w:highlight w:val="none"/>
        </w:rPr>
      </w:pPr>
      <w:r>
        <w:rPr>
          <w:rFonts w:hint="eastAsia" w:ascii="宋体" w:hAnsi="宋体" w:cs="宋体"/>
          <w:color w:val="auto"/>
          <w:szCs w:val="21"/>
          <w:highlight w:val="none"/>
        </w:rPr>
        <w:t>（二）投标保证金</w:t>
      </w:r>
    </w:p>
    <w:p w14:paraId="1145ED28">
      <w:pPr>
        <w:adjustRightInd w:val="0"/>
        <w:snapToGrid w:val="0"/>
        <w:spacing w:beforeLines="50"/>
        <w:ind w:firstLine="630" w:firstLineChars="300"/>
        <w:rPr>
          <w:rFonts w:ascii="宋体" w:hAnsi="宋体" w:cs="宋体"/>
          <w:color w:val="auto"/>
          <w:szCs w:val="21"/>
          <w:highlight w:val="none"/>
        </w:rPr>
      </w:pPr>
      <w:r>
        <w:rPr>
          <w:rFonts w:hint="eastAsia" w:ascii="宋体" w:hAnsi="宋体" w:cs="宋体"/>
          <w:color w:val="auto"/>
          <w:szCs w:val="21"/>
          <w:highlight w:val="none"/>
        </w:rPr>
        <w:t>（三）法定代表人（单位负责人）身份证明或授权委托书</w:t>
      </w:r>
    </w:p>
    <w:p w14:paraId="71AC73D4">
      <w:pPr>
        <w:adjustRightInd w:val="0"/>
        <w:snapToGrid w:val="0"/>
        <w:spacing w:beforeLines="50"/>
        <w:ind w:firstLine="630" w:firstLineChars="300"/>
        <w:rPr>
          <w:rFonts w:ascii="宋体" w:hAnsi="宋体" w:cs="宋体"/>
          <w:color w:val="auto"/>
          <w:szCs w:val="21"/>
          <w:highlight w:val="none"/>
        </w:rPr>
      </w:pPr>
      <w:r>
        <w:rPr>
          <w:rFonts w:hint="eastAsia" w:ascii="宋体" w:hAnsi="宋体" w:cs="宋体"/>
          <w:color w:val="auto"/>
          <w:szCs w:val="21"/>
          <w:highlight w:val="none"/>
        </w:rPr>
        <w:t>（四）投标人具备投标资格的证明文件</w:t>
      </w:r>
    </w:p>
    <w:p w14:paraId="2E716CBF">
      <w:pPr>
        <w:adjustRightInd w:val="0"/>
        <w:snapToGrid w:val="0"/>
        <w:spacing w:beforeLines="50"/>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第二部分 商务文件</w:t>
      </w:r>
    </w:p>
    <w:p w14:paraId="6EEEB741">
      <w:pPr>
        <w:adjustRightInd w:val="0"/>
        <w:snapToGrid w:val="0"/>
        <w:spacing w:beforeLines="50"/>
        <w:ind w:firstLine="630" w:firstLineChars="300"/>
        <w:rPr>
          <w:rFonts w:ascii="宋体" w:hAnsi="宋体" w:cs="宋体"/>
          <w:color w:val="auto"/>
          <w:szCs w:val="21"/>
          <w:highlight w:val="none"/>
        </w:rPr>
      </w:pPr>
      <w:r>
        <w:rPr>
          <w:rFonts w:hint="eastAsia" w:ascii="宋体" w:hAnsi="宋体" w:cs="宋体"/>
          <w:color w:val="auto"/>
          <w:szCs w:val="21"/>
          <w:highlight w:val="none"/>
        </w:rPr>
        <w:t>商务文件封面</w:t>
      </w:r>
    </w:p>
    <w:p w14:paraId="7E715F57">
      <w:pPr>
        <w:adjustRightInd w:val="0"/>
        <w:snapToGrid w:val="0"/>
        <w:spacing w:beforeLines="50"/>
        <w:ind w:firstLine="630" w:firstLineChars="300"/>
        <w:rPr>
          <w:rFonts w:ascii="宋体" w:hAnsi="宋体" w:cs="宋体"/>
          <w:color w:val="auto"/>
          <w:szCs w:val="21"/>
          <w:highlight w:val="none"/>
        </w:rPr>
      </w:pPr>
      <w:r>
        <w:rPr>
          <w:rFonts w:hint="eastAsia" w:ascii="宋体" w:hAnsi="宋体" w:cs="宋体"/>
          <w:color w:val="auto"/>
          <w:szCs w:val="21"/>
          <w:highlight w:val="none"/>
        </w:rPr>
        <w:t>二、投标函</w:t>
      </w:r>
    </w:p>
    <w:p w14:paraId="4F1221BE">
      <w:pPr>
        <w:adjustRightInd w:val="0"/>
        <w:snapToGrid w:val="0"/>
        <w:spacing w:beforeLines="50"/>
        <w:ind w:firstLine="630" w:firstLineChars="300"/>
        <w:rPr>
          <w:rFonts w:ascii="宋体" w:hAnsi="宋体" w:cs="宋体"/>
          <w:color w:val="auto"/>
          <w:szCs w:val="21"/>
          <w:highlight w:val="none"/>
        </w:rPr>
      </w:pPr>
      <w:r>
        <w:rPr>
          <w:rFonts w:hint="eastAsia" w:ascii="宋体" w:hAnsi="宋体" w:cs="宋体"/>
          <w:color w:val="auto"/>
          <w:szCs w:val="21"/>
          <w:highlight w:val="none"/>
        </w:rPr>
        <w:t>三、开标一览表</w:t>
      </w:r>
    </w:p>
    <w:p w14:paraId="6AE74E95">
      <w:pPr>
        <w:adjustRightInd w:val="0"/>
        <w:snapToGrid w:val="0"/>
        <w:spacing w:beforeLines="50"/>
        <w:ind w:firstLine="630" w:firstLineChars="300"/>
        <w:rPr>
          <w:rFonts w:ascii="宋体" w:hAnsi="宋体" w:cs="宋体"/>
          <w:color w:val="auto"/>
          <w:szCs w:val="21"/>
          <w:highlight w:val="none"/>
        </w:rPr>
      </w:pPr>
      <w:r>
        <w:rPr>
          <w:rFonts w:hint="eastAsia" w:ascii="宋体" w:hAnsi="宋体" w:cs="宋体"/>
          <w:color w:val="auto"/>
          <w:szCs w:val="21"/>
          <w:highlight w:val="none"/>
        </w:rPr>
        <w:t>四、分项价格表</w:t>
      </w:r>
    </w:p>
    <w:p w14:paraId="4B547F26">
      <w:pPr>
        <w:adjustRightInd w:val="0"/>
        <w:snapToGrid w:val="0"/>
        <w:spacing w:beforeLines="50"/>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五、享受政府采购政策优惠的证明资料</w:t>
      </w:r>
    </w:p>
    <w:p w14:paraId="16FA2F11">
      <w:pPr>
        <w:adjustRightInd w:val="0"/>
        <w:snapToGrid w:val="0"/>
        <w:spacing w:beforeLines="50"/>
        <w:ind w:firstLine="630" w:firstLineChars="3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六、人员配备</w:t>
      </w:r>
    </w:p>
    <w:p w14:paraId="0AECB893">
      <w:pPr>
        <w:adjustRightInd w:val="0"/>
        <w:snapToGrid w:val="0"/>
        <w:spacing w:beforeLines="50"/>
        <w:ind w:firstLine="630" w:firstLineChars="3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七、企业认证</w:t>
      </w:r>
    </w:p>
    <w:p w14:paraId="179DE3C6">
      <w:pPr>
        <w:adjustRightInd w:val="0"/>
        <w:snapToGrid w:val="0"/>
        <w:spacing w:beforeLines="50"/>
        <w:ind w:firstLine="630" w:firstLineChars="3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八、服务响应</w:t>
      </w:r>
    </w:p>
    <w:p w14:paraId="6B483016">
      <w:pPr>
        <w:adjustRightInd w:val="0"/>
        <w:snapToGrid w:val="0"/>
        <w:spacing w:beforeLines="50"/>
        <w:ind w:firstLine="630" w:firstLineChars="300"/>
        <w:rPr>
          <w:rFonts w:ascii="宋体" w:hAnsi="宋体" w:cs="宋体"/>
          <w:color w:val="auto"/>
          <w:szCs w:val="21"/>
          <w:highlight w:val="none"/>
        </w:rPr>
      </w:pPr>
      <w:r>
        <w:rPr>
          <w:rFonts w:hint="eastAsia" w:ascii="宋体" w:hAnsi="宋体" w:eastAsia="宋体" w:cs="宋体"/>
          <w:color w:val="auto"/>
          <w:szCs w:val="21"/>
          <w:highlight w:val="none"/>
          <w:lang w:eastAsia="zh-CN"/>
        </w:rPr>
        <w:t>九、</w:t>
      </w:r>
      <w:r>
        <w:rPr>
          <w:rFonts w:hint="eastAsia" w:ascii="宋体" w:hAnsi="宋体" w:cs="宋体"/>
          <w:color w:val="auto"/>
          <w:szCs w:val="21"/>
          <w:highlight w:val="none"/>
          <w:lang w:eastAsia="zh-CN"/>
        </w:rPr>
        <w:t>类似业绩</w:t>
      </w:r>
    </w:p>
    <w:p w14:paraId="2D27343D">
      <w:pPr>
        <w:adjustRightInd w:val="0"/>
        <w:snapToGrid w:val="0"/>
        <w:spacing w:beforeLines="50"/>
        <w:ind w:firstLine="630" w:firstLineChars="300"/>
        <w:rPr>
          <w:rFonts w:ascii="宋体" w:hAnsi="宋体" w:cs="宋体"/>
          <w:color w:val="auto"/>
          <w:szCs w:val="21"/>
          <w:highlight w:val="none"/>
        </w:rPr>
      </w:pPr>
      <w:r>
        <w:rPr>
          <w:rFonts w:hint="eastAsia" w:ascii="宋体" w:hAnsi="宋体" w:eastAsia="宋体" w:cs="宋体"/>
          <w:color w:val="auto"/>
          <w:szCs w:val="21"/>
          <w:highlight w:val="none"/>
          <w:lang w:eastAsia="zh-CN"/>
        </w:rPr>
        <w:t>十、</w:t>
      </w:r>
      <w:r>
        <w:rPr>
          <w:rFonts w:hint="eastAsia" w:ascii="宋体" w:hAnsi="宋体" w:cs="宋体"/>
          <w:color w:val="auto"/>
          <w:szCs w:val="21"/>
          <w:highlight w:val="none"/>
        </w:rPr>
        <w:t>投标人认为需要提供的其他资料</w:t>
      </w:r>
    </w:p>
    <w:p w14:paraId="52FA261F">
      <w:pPr>
        <w:adjustRightInd w:val="0"/>
        <w:snapToGrid w:val="0"/>
        <w:spacing w:beforeLines="50"/>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第三部分 技术文件</w:t>
      </w:r>
    </w:p>
    <w:p w14:paraId="41F46A18">
      <w:pPr>
        <w:adjustRightInd w:val="0"/>
        <w:snapToGrid w:val="0"/>
        <w:spacing w:beforeLines="50"/>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技术文件封面</w:t>
      </w:r>
    </w:p>
    <w:p w14:paraId="756D85B2">
      <w:pPr>
        <w:adjustRightInd w:val="0"/>
        <w:snapToGrid w:val="0"/>
        <w:spacing w:beforeLines="50"/>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十一、采购需求响应</w:t>
      </w:r>
    </w:p>
    <w:p w14:paraId="05506FC8">
      <w:pPr>
        <w:adjustRightInd w:val="0"/>
        <w:snapToGrid w:val="0"/>
        <w:spacing w:beforeLines="50"/>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十二、整体服务方案</w:t>
      </w:r>
    </w:p>
    <w:p w14:paraId="4C29D9FE">
      <w:pPr>
        <w:adjustRightInd w:val="0"/>
        <w:snapToGrid w:val="0"/>
        <w:spacing w:beforeLines="50"/>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十三、卫生保洁服务方案</w:t>
      </w:r>
    </w:p>
    <w:p w14:paraId="48101449">
      <w:pPr>
        <w:adjustRightInd w:val="0"/>
        <w:snapToGrid w:val="0"/>
        <w:spacing w:beforeLines="50"/>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十四、秩序维护管理方案</w:t>
      </w:r>
    </w:p>
    <w:p w14:paraId="4B98125E">
      <w:pPr>
        <w:adjustRightInd w:val="0"/>
        <w:snapToGrid w:val="0"/>
        <w:spacing w:beforeLines="50"/>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十五、设备运行维护方案</w:t>
      </w:r>
    </w:p>
    <w:p w14:paraId="3874D500">
      <w:pPr>
        <w:adjustRightInd w:val="0"/>
        <w:snapToGrid w:val="0"/>
        <w:spacing w:beforeLines="50"/>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十六、宿舍管理服务方案</w:t>
      </w:r>
    </w:p>
    <w:p w14:paraId="50D475D6">
      <w:pPr>
        <w:adjustRightInd w:val="0"/>
        <w:snapToGrid w:val="0"/>
        <w:spacing w:beforeLines="50"/>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十七、会务服务方案</w:t>
      </w:r>
    </w:p>
    <w:p w14:paraId="53A67600">
      <w:pPr>
        <w:adjustRightInd w:val="0"/>
        <w:snapToGrid w:val="0"/>
        <w:spacing w:beforeLines="50"/>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十八、应急管理方案</w:t>
      </w:r>
    </w:p>
    <w:p w14:paraId="630283BB">
      <w:pPr>
        <w:adjustRightInd w:val="0"/>
        <w:snapToGrid w:val="0"/>
        <w:spacing w:beforeLines="50"/>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十九、节能管理服务</w:t>
      </w:r>
    </w:p>
    <w:p w14:paraId="7E96E560">
      <w:pPr>
        <w:adjustRightInd w:val="0"/>
        <w:snapToGrid w:val="0"/>
        <w:spacing w:beforeLines="50" w:line="360" w:lineRule="auto"/>
        <w:ind w:firstLine="420" w:firstLineChars="200"/>
        <w:jc w:val="left"/>
        <w:rPr>
          <w:rFonts w:ascii="宋体" w:hAnsi="宋体" w:cs="宋体"/>
          <w:color w:val="auto"/>
          <w:szCs w:val="21"/>
          <w:highlight w:val="none"/>
        </w:rPr>
      </w:pPr>
    </w:p>
    <w:p w14:paraId="079D6DB5">
      <w:pPr>
        <w:adjustRightInd w:val="0"/>
        <w:snapToGrid w:val="0"/>
        <w:spacing w:line="360" w:lineRule="auto"/>
        <w:jc w:val="center"/>
        <w:rPr>
          <w:rFonts w:ascii="宋体" w:hAnsi="宋体" w:cs="宋体"/>
          <w:color w:val="auto"/>
          <w:sz w:val="32"/>
          <w:szCs w:val="32"/>
          <w:highlight w:val="none"/>
        </w:rPr>
      </w:pPr>
    </w:p>
    <w:p w14:paraId="0AE320DD">
      <w:pPr>
        <w:adjustRightInd w:val="0"/>
        <w:snapToGrid w:val="0"/>
        <w:spacing w:line="360" w:lineRule="auto"/>
        <w:jc w:val="center"/>
        <w:rPr>
          <w:rFonts w:ascii="宋体" w:hAnsi="宋体" w:cs="宋体"/>
          <w:color w:val="auto"/>
          <w:sz w:val="32"/>
          <w:szCs w:val="32"/>
          <w:highlight w:val="none"/>
        </w:rPr>
      </w:pPr>
    </w:p>
    <w:p w14:paraId="645B45AE">
      <w:pPr>
        <w:adjustRightInd w:val="0"/>
        <w:snapToGrid w:val="0"/>
        <w:spacing w:line="360" w:lineRule="auto"/>
        <w:jc w:val="center"/>
        <w:rPr>
          <w:rFonts w:ascii="宋体" w:hAnsi="宋体" w:cs="宋体"/>
          <w:color w:val="auto"/>
          <w:sz w:val="32"/>
          <w:szCs w:val="32"/>
          <w:highlight w:val="none"/>
        </w:rPr>
      </w:pPr>
    </w:p>
    <w:p w14:paraId="7563AFF3">
      <w:pPr>
        <w:pStyle w:val="26"/>
        <w:adjustRightInd w:val="0"/>
        <w:snapToGrid w:val="0"/>
        <w:spacing w:line="360" w:lineRule="auto"/>
        <w:jc w:val="center"/>
        <w:rPr>
          <w:rFonts w:hAnsi="宋体" w:cs="宋体"/>
          <w:b/>
          <w:bCs/>
          <w:color w:val="auto"/>
          <w:sz w:val="72"/>
          <w:szCs w:val="72"/>
          <w:highlight w:val="none"/>
        </w:rPr>
      </w:pPr>
      <w:r>
        <w:rPr>
          <w:rFonts w:hint="eastAsia" w:hAnsi="宋体" w:cs="宋体"/>
          <w:b/>
          <w:bCs/>
          <w:color w:val="auto"/>
          <w:sz w:val="72"/>
          <w:szCs w:val="72"/>
          <w:highlight w:val="none"/>
        </w:rPr>
        <w:t>政府采购</w:t>
      </w:r>
    </w:p>
    <w:p w14:paraId="331306E0">
      <w:pPr>
        <w:adjustRightInd w:val="0"/>
        <w:snapToGrid w:val="0"/>
        <w:spacing w:line="360" w:lineRule="auto"/>
        <w:jc w:val="center"/>
        <w:rPr>
          <w:rFonts w:ascii="宋体" w:hAnsi="宋体" w:cs="宋体"/>
          <w:b/>
          <w:bCs/>
          <w:color w:val="auto"/>
          <w:sz w:val="84"/>
          <w:szCs w:val="84"/>
          <w:highlight w:val="none"/>
        </w:rPr>
      </w:pPr>
      <w:r>
        <w:rPr>
          <w:rFonts w:hint="eastAsia" w:ascii="宋体" w:hAnsi="宋体" w:cs="宋体"/>
          <w:b/>
          <w:bCs/>
          <w:color w:val="auto"/>
          <w:sz w:val="84"/>
          <w:szCs w:val="84"/>
          <w:highlight w:val="none"/>
        </w:rPr>
        <w:t>投 标 文 件</w:t>
      </w:r>
    </w:p>
    <w:p w14:paraId="7C9D2B24">
      <w:pPr>
        <w:pStyle w:val="5"/>
        <w:adjustRightInd w:val="0"/>
        <w:snapToGrid w:val="0"/>
        <w:jc w:val="center"/>
        <w:rPr>
          <w:rFonts w:ascii="宋体" w:hAnsi="宋体" w:cs="宋体"/>
          <w:color w:val="auto"/>
          <w:sz w:val="44"/>
          <w:szCs w:val="44"/>
          <w:highlight w:val="none"/>
        </w:rPr>
      </w:pPr>
      <w:bookmarkStart w:id="80" w:name="_Toc16142"/>
      <w:r>
        <w:rPr>
          <w:rFonts w:hint="eastAsia" w:ascii="宋体" w:hAnsi="宋体" w:cs="宋体"/>
          <w:color w:val="auto"/>
          <w:sz w:val="44"/>
          <w:szCs w:val="44"/>
          <w:highlight w:val="none"/>
        </w:rPr>
        <w:t>第一部分 资格证明文件</w:t>
      </w:r>
      <w:bookmarkEnd w:id="80"/>
    </w:p>
    <w:p w14:paraId="267122D6">
      <w:pPr>
        <w:adjustRightInd w:val="0"/>
        <w:snapToGrid w:val="0"/>
        <w:spacing w:line="360" w:lineRule="auto"/>
        <w:rPr>
          <w:rFonts w:ascii="宋体" w:hAnsi="宋体" w:cs="宋体"/>
          <w:b/>
          <w:color w:val="auto"/>
          <w:sz w:val="32"/>
          <w:szCs w:val="32"/>
          <w:highlight w:val="none"/>
        </w:rPr>
      </w:pPr>
    </w:p>
    <w:p w14:paraId="62DC9180">
      <w:pPr>
        <w:adjustRightInd w:val="0"/>
        <w:snapToGrid w:val="0"/>
        <w:spacing w:line="360" w:lineRule="auto"/>
        <w:rPr>
          <w:rFonts w:ascii="宋体" w:hAnsi="宋体" w:cs="宋体"/>
          <w:b/>
          <w:color w:val="auto"/>
          <w:sz w:val="30"/>
          <w:szCs w:val="30"/>
          <w:highlight w:val="none"/>
        </w:rPr>
      </w:pPr>
      <w:r>
        <w:rPr>
          <w:rFonts w:hint="eastAsia" w:ascii="宋体" w:hAnsi="宋体" w:cs="宋体"/>
          <w:b/>
          <w:color w:val="auto"/>
          <w:sz w:val="32"/>
          <w:szCs w:val="32"/>
          <w:highlight w:val="none"/>
        </w:rPr>
        <w:t xml:space="preserve">                     </w:t>
      </w:r>
    </w:p>
    <w:p w14:paraId="588A3F0A">
      <w:pPr>
        <w:ind w:firstLine="1767" w:firstLineChars="550"/>
        <w:rPr>
          <w:color w:val="auto"/>
          <w:highlight w:val="none"/>
        </w:rPr>
      </w:pPr>
      <w:r>
        <w:rPr>
          <w:rFonts w:ascii="宋体" w:hAnsi="宋体" w:cs="宋体"/>
          <w:b/>
          <w:bCs/>
          <w:color w:val="auto"/>
          <w:sz w:val="32"/>
          <w:szCs w:val="32"/>
          <w:highlight w:val="none"/>
        </w:rPr>
        <w:t>采购项目名称：________________   </w:t>
      </w:r>
      <w:r>
        <w:rPr>
          <w:rFonts w:ascii="宋体" w:hAnsi="宋体" w:cs="宋体"/>
          <w:color w:val="auto"/>
          <w:szCs w:val="21"/>
          <w:highlight w:val="none"/>
        </w:rPr>
        <w:t xml:space="preserve"> </w:t>
      </w:r>
    </w:p>
    <w:p w14:paraId="44DAD5E6">
      <w:pPr>
        <w:ind w:firstLine="1767" w:firstLineChars="550"/>
        <w:rPr>
          <w:color w:val="auto"/>
          <w:highlight w:val="none"/>
        </w:rPr>
      </w:pPr>
      <w:r>
        <w:rPr>
          <w:rFonts w:ascii="宋体" w:hAnsi="宋体" w:cs="宋体"/>
          <w:b/>
          <w:bCs/>
          <w:color w:val="auto"/>
          <w:sz w:val="32"/>
          <w:szCs w:val="32"/>
          <w:highlight w:val="none"/>
        </w:rPr>
        <w:t>政府采购编号：________________</w:t>
      </w:r>
      <w:r>
        <w:rPr>
          <w:rFonts w:ascii="宋体" w:hAnsi="宋体" w:cs="宋体"/>
          <w:color w:val="auto"/>
          <w:szCs w:val="21"/>
          <w:highlight w:val="none"/>
        </w:rPr>
        <w:t xml:space="preserve"> </w:t>
      </w:r>
    </w:p>
    <w:p w14:paraId="45B2F9B2">
      <w:pPr>
        <w:ind w:firstLine="1767" w:firstLineChars="550"/>
        <w:rPr>
          <w:color w:val="auto"/>
          <w:highlight w:val="none"/>
        </w:rPr>
      </w:pPr>
      <w:r>
        <w:rPr>
          <w:rFonts w:hint="eastAsia" w:ascii="宋体" w:hAnsi="宋体" w:cs="宋体"/>
          <w:b/>
          <w:bCs/>
          <w:color w:val="auto"/>
          <w:sz w:val="32"/>
          <w:szCs w:val="32"/>
          <w:highlight w:val="none"/>
          <w:lang w:eastAsia="zh-CN"/>
        </w:rPr>
        <w:t>采购代理编号</w:t>
      </w:r>
      <w:r>
        <w:rPr>
          <w:rFonts w:ascii="宋体" w:hAnsi="宋体" w:cs="宋体"/>
          <w:b/>
          <w:bCs/>
          <w:color w:val="auto"/>
          <w:sz w:val="32"/>
          <w:szCs w:val="32"/>
          <w:highlight w:val="none"/>
        </w:rPr>
        <w:t>：________________</w:t>
      </w:r>
      <w:r>
        <w:rPr>
          <w:color w:val="auto"/>
          <w:szCs w:val="21"/>
          <w:highlight w:val="none"/>
        </w:rPr>
        <w:t xml:space="preserve"> </w:t>
      </w:r>
    </w:p>
    <w:p w14:paraId="2B39C0D9">
      <w:pPr>
        <w:adjustRightInd w:val="0"/>
        <w:snapToGrid w:val="0"/>
        <w:spacing w:line="360" w:lineRule="auto"/>
        <w:rPr>
          <w:rFonts w:ascii="宋体" w:hAnsi="宋体" w:cs="宋体"/>
          <w:color w:val="auto"/>
          <w:sz w:val="30"/>
          <w:szCs w:val="30"/>
          <w:highlight w:val="none"/>
        </w:rPr>
      </w:pPr>
    </w:p>
    <w:p w14:paraId="59004717">
      <w:pPr>
        <w:pStyle w:val="2"/>
        <w:rPr>
          <w:color w:val="auto"/>
          <w:highlight w:val="none"/>
        </w:rPr>
      </w:pPr>
    </w:p>
    <w:p w14:paraId="44C1205A">
      <w:pPr>
        <w:adjustRightInd w:val="0"/>
        <w:snapToGrid w:val="0"/>
        <w:spacing w:line="360" w:lineRule="auto"/>
        <w:rPr>
          <w:rFonts w:ascii="宋体" w:hAnsi="宋体" w:cs="宋体"/>
          <w:color w:val="auto"/>
          <w:sz w:val="30"/>
          <w:szCs w:val="30"/>
          <w:highlight w:val="none"/>
        </w:rPr>
      </w:pPr>
    </w:p>
    <w:p w14:paraId="6BDB437F">
      <w:pPr>
        <w:adjustRightInd w:val="0"/>
        <w:snapToGrid w:val="0"/>
        <w:spacing w:line="360" w:lineRule="auto"/>
        <w:ind w:firstLine="1984" w:firstLineChars="620"/>
        <w:rPr>
          <w:rFonts w:ascii="宋体" w:hAnsi="宋体" w:cs="宋体"/>
          <w:color w:val="auto"/>
          <w:sz w:val="32"/>
          <w:szCs w:val="32"/>
          <w:highlight w:val="none"/>
          <w:u w:val="single"/>
        </w:rPr>
      </w:pPr>
      <w:r>
        <w:rPr>
          <w:rFonts w:hint="eastAsia" w:ascii="宋体" w:hAnsi="宋体" w:cs="宋体"/>
          <w:color w:val="auto"/>
          <w:sz w:val="32"/>
          <w:szCs w:val="32"/>
          <w:highlight w:val="none"/>
        </w:rPr>
        <w:t>投标人</w:t>
      </w:r>
      <w:r>
        <w:rPr>
          <w:rFonts w:hint="eastAsia" w:ascii="宋体" w:hAnsi="宋体" w:cs="宋体"/>
          <w:color w:val="auto"/>
          <w:sz w:val="32"/>
          <w:szCs w:val="32"/>
          <w:highlight w:val="none"/>
          <w:u w:val="single"/>
        </w:rPr>
        <w:t xml:space="preserve">                               </w:t>
      </w:r>
    </w:p>
    <w:p w14:paraId="6A6A507C">
      <w:pPr>
        <w:adjustRightInd w:val="0"/>
        <w:snapToGrid w:val="0"/>
        <w:spacing w:line="360" w:lineRule="auto"/>
        <w:jc w:val="center"/>
        <w:rPr>
          <w:rFonts w:ascii="宋体" w:hAnsi="宋体" w:cs="宋体"/>
          <w:color w:val="auto"/>
          <w:sz w:val="28"/>
          <w:szCs w:val="28"/>
          <w:highlight w:val="none"/>
        </w:rPr>
      </w:pPr>
      <w:r>
        <w:rPr>
          <w:rFonts w:hint="eastAsia" w:ascii="宋体" w:hAnsi="宋体" w:cs="宋体"/>
          <w:color w:val="auto"/>
          <w:sz w:val="32"/>
          <w:szCs w:val="32"/>
          <w:highlight w:val="none"/>
        </w:rPr>
        <w:t>年  月  日</w:t>
      </w:r>
      <w:r>
        <w:rPr>
          <w:rFonts w:hint="eastAsia" w:ascii="宋体" w:hAnsi="宋体" w:cs="宋体"/>
          <w:color w:val="auto"/>
          <w:sz w:val="28"/>
          <w:szCs w:val="28"/>
          <w:highlight w:val="none"/>
        </w:rPr>
        <w:br w:type="page"/>
      </w:r>
    </w:p>
    <w:p w14:paraId="37B2A370">
      <w:pPr>
        <w:adjustRightInd w:val="0"/>
        <w:snapToGrid w:val="0"/>
        <w:spacing w:beforeLines="50"/>
        <w:jc w:val="center"/>
        <w:rPr>
          <w:rFonts w:ascii="宋体" w:hAnsi="宋体" w:cs="宋体"/>
          <w:b/>
          <w:bCs/>
          <w:color w:val="auto"/>
          <w:sz w:val="28"/>
          <w:szCs w:val="28"/>
          <w:highlight w:val="none"/>
        </w:rPr>
      </w:pPr>
      <w:bookmarkStart w:id="81" w:name="_Toc29077"/>
      <w:bookmarkStart w:id="82" w:name="_Toc24658"/>
      <w:bookmarkStart w:id="83" w:name="_Toc3130"/>
      <w:bookmarkStart w:id="84" w:name="_Toc30442"/>
      <w:bookmarkStart w:id="85" w:name="_Toc16614"/>
      <w:r>
        <w:rPr>
          <w:rFonts w:hint="eastAsia" w:ascii="宋体" w:hAnsi="宋体" w:cs="宋体"/>
          <w:b/>
          <w:bCs/>
          <w:color w:val="auto"/>
          <w:sz w:val="28"/>
          <w:szCs w:val="28"/>
          <w:highlight w:val="none"/>
        </w:rPr>
        <w:t>一、资格证明材料</w:t>
      </w:r>
    </w:p>
    <w:p w14:paraId="769A1769">
      <w:pPr>
        <w:pStyle w:val="6"/>
        <w:adjustRightInd w:val="0"/>
        <w:snapToGrid w:val="0"/>
        <w:spacing w:before="0" w:after="0" w:line="360" w:lineRule="auto"/>
        <w:rPr>
          <w:rFonts w:ascii="宋体" w:hAnsi="宋体" w:cs="宋体"/>
          <w:color w:val="auto"/>
          <w:sz w:val="28"/>
          <w:szCs w:val="28"/>
          <w:highlight w:val="none"/>
        </w:rPr>
      </w:pPr>
    </w:p>
    <w:p w14:paraId="1318F94E">
      <w:pPr>
        <w:pStyle w:val="6"/>
        <w:adjustRightInd w:val="0"/>
        <w:snapToGrid w:val="0"/>
        <w:spacing w:before="0" w:after="0"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（一）开标一览表</w:t>
      </w:r>
      <w:bookmarkEnd w:id="81"/>
      <w:bookmarkEnd w:id="82"/>
      <w:bookmarkEnd w:id="83"/>
      <w:bookmarkEnd w:id="84"/>
      <w:bookmarkEnd w:id="85"/>
    </w:p>
    <w:p w14:paraId="7F6298E0">
      <w:pPr>
        <w:adjustRightInd w:val="0"/>
        <w:snapToGrid w:val="0"/>
        <w:spacing w:line="360" w:lineRule="auto"/>
        <w:ind w:left="-88" w:leftChars="-42"/>
        <w:jc w:val="center"/>
        <w:rPr>
          <w:rFonts w:ascii="宋体" w:hAnsi="宋体" w:cs="宋体"/>
          <w:color w:val="auto"/>
          <w:sz w:val="24"/>
          <w:highlight w:val="none"/>
        </w:rPr>
      </w:pPr>
    </w:p>
    <w:p w14:paraId="12E89C69">
      <w:pPr>
        <w:adjustRightInd w:val="0"/>
        <w:snapToGrid w:val="0"/>
        <w:spacing w:line="360" w:lineRule="auto"/>
        <w:rPr>
          <w:rFonts w:ascii="宋体" w:hAnsi="宋体" w:cs="宋体"/>
          <w:color w:val="auto"/>
          <w:szCs w:val="22"/>
          <w:highlight w:val="none"/>
          <w:u w:val="single"/>
        </w:rPr>
      </w:pPr>
      <w:r>
        <w:rPr>
          <w:rFonts w:hint="eastAsia" w:ascii="宋体" w:hAnsi="宋体" w:cs="宋体"/>
          <w:color w:val="auto"/>
          <w:szCs w:val="22"/>
          <w:highlight w:val="none"/>
        </w:rPr>
        <w:t>采购代理编号：</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 xml:space="preserve">                          项目名称： </w:t>
      </w:r>
      <w:r>
        <w:rPr>
          <w:rFonts w:hint="eastAsia" w:ascii="宋体" w:hAnsi="宋体" w:cs="宋体"/>
          <w:color w:val="auto"/>
          <w:szCs w:val="22"/>
          <w:highlight w:val="none"/>
          <w:u w:val="single"/>
        </w:rPr>
        <w:t xml:space="preserve">           </w:t>
      </w:r>
    </w:p>
    <w:p w14:paraId="4D560399">
      <w:pPr>
        <w:pStyle w:val="2"/>
        <w:rPr>
          <w:color w:val="auto"/>
          <w:highlight w:val="none"/>
        </w:rPr>
      </w:pPr>
      <w:r>
        <w:rPr>
          <w:rFonts w:hint="eastAsia" w:cs="宋体"/>
          <w:i w:val="0"/>
          <w:color w:val="auto"/>
          <w:kern w:val="2"/>
          <w:szCs w:val="22"/>
          <w:highlight w:val="none"/>
        </w:rPr>
        <w:t>包号：</w:t>
      </w:r>
      <w:r>
        <w:rPr>
          <w:rFonts w:hint="eastAsia" w:cs="宋体"/>
          <w:color w:val="auto"/>
          <w:highlight w:val="none"/>
          <w:u w:val="single"/>
        </w:rPr>
        <w:t xml:space="preserve">              </w:t>
      </w:r>
      <w:r>
        <w:rPr>
          <w:rFonts w:hint="eastAsia" w:cs="宋体"/>
          <w:color w:val="auto"/>
          <w:highlight w:val="none"/>
        </w:rPr>
        <w:t xml:space="preserve">                             </w:t>
      </w:r>
      <w:r>
        <w:rPr>
          <w:rFonts w:hint="eastAsia" w:cs="宋体"/>
          <w:i w:val="0"/>
          <w:color w:val="auto"/>
          <w:kern w:val="2"/>
          <w:szCs w:val="22"/>
          <w:highlight w:val="none"/>
        </w:rPr>
        <w:t xml:space="preserve">     包名称：</w:t>
      </w:r>
      <w:r>
        <w:rPr>
          <w:rFonts w:hint="eastAsia" w:cs="宋体"/>
          <w:color w:val="auto"/>
          <w:highlight w:val="none"/>
          <w:u w:val="single"/>
        </w:rPr>
        <w:t xml:space="preserve">             </w:t>
      </w:r>
    </w:p>
    <w:tbl>
      <w:tblPr>
        <w:tblStyle w:val="46"/>
        <w:tblW w:w="90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40"/>
      </w:tblGrid>
      <w:tr w14:paraId="5610A1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9" w:type="dxa"/>
            <w:tcBorders>
              <w:tl2br w:val="nil"/>
              <w:tr2bl w:val="nil"/>
            </w:tcBorders>
            <w:vAlign w:val="center"/>
          </w:tcPr>
          <w:p w14:paraId="2D553F5F">
            <w:pPr>
              <w:pStyle w:val="2"/>
              <w:jc w:val="center"/>
              <w:rPr>
                <w:i w:val="0"/>
                <w:iCs/>
                <w:color w:val="auto"/>
                <w:highlight w:val="none"/>
              </w:rPr>
            </w:pPr>
            <w:r>
              <w:rPr>
                <w:rFonts w:hint="eastAsia"/>
                <w:i w:val="0"/>
                <w:iCs/>
                <w:color w:val="auto"/>
                <w:highlight w:val="none"/>
              </w:rPr>
              <w:t>标题</w:t>
            </w:r>
          </w:p>
        </w:tc>
        <w:tc>
          <w:tcPr>
            <w:tcW w:w="4540" w:type="dxa"/>
            <w:tcBorders>
              <w:tl2br w:val="nil"/>
              <w:tr2bl w:val="nil"/>
            </w:tcBorders>
            <w:vAlign w:val="center"/>
          </w:tcPr>
          <w:p w14:paraId="4A3B8BEF">
            <w:pPr>
              <w:pStyle w:val="2"/>
              <w:jc w:val="center"/>
              <w:rPr>
                <w:i w:val="0"/>
                <w:iCs/>
                <w:color w:val="auto"/>
                <w:highlight w:val="none"/>
              </w:rPr>
            </w:pPr>
            <w:r>
              <w:rPr>
                <w:rFonts w:hint="eastAsia"/>
                <w:i w:val="0"/>
                <w:iCs/>
                <w:color w:val="auto"/>
                <w:highlight w:val="none"/>
              </w:rPr>
              <w:t>内容</w:t>
            </w:r>
          </w:p>
        </w:tc>
      </w:tr>
      <w:tr w14:paraId="791F4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9" w:type="dxa"/>
            <w:tcBorders>
              <w:tl2br w:val="nil"/>
              <w:tr2bl w:val="nil"/>
            </w:tcBorders>
            <w:vAlign w:val="center"/>
          </w:tcPr>
          <w:p w14:paraId="1CFFF72B">
            <w:pPr>
              <w:pStyle w:val="2"/>
              <w:jc w:val="center"/>
              <w:rPr>
                <w:i w:val="0"/>
                <w:iCs/>
                <w:color w:val="auto"/>
                <w:highlight w:val="none"/>
              </w:rPr>
            </w:pPr>
            <w:r>
              <w:rPr>
                <w:rFonts w:hint="eastAsia"/>
                <w:i w:val="0"/>
                <w:iCs/>
                <w:color w:val="auto"/>
                <w:highlight w:val="none"/>
              </w:rPr>
              <w:t>总报价</w:t>
            </w:r>
          </w:p>
        </w:tc>
        <w:tc>
          <w:tcPr>
            <w:tcW w:w="4540" w:type="dxa"/>
            <w:tcBorders>
              <w:tl2br w:val="nil"/>
              <w:tr2bl w:val="nil"/>
            </w:tcBorders>
            <w:vAlign w:val="center"/>
          </w:tcPr>
          <w:p w14:paraId="324B396D">
            <w:pPr>
              <w:pStyle w:val="2"/>
              <w:jc w:val="center"/>
              <w:rPr>
                <w:rFonts w:hint="eastAsia" w:eastAsia="宋体"/>
                <w:i w:val="0"/>
                <w:iCs/>
                <w:color w:val="auto"/>
                <w:highlight w:val="none"/>
                <w:lang w:val="en-US" w:eastAsia="zh-CN"/>
              </w:rPr>
            </w:pPr>
            <w:r>
              <w:rPr>
                <w:rFonts w:hint="eastAsia"/>
                <w:i w:val="0"/>
                <w:iCs/>
                <w:color w:val="auto"/>
                <w:highlight w:val="none"/>
                <w:u w:val="single"/>
              </w:rPr>
              <w:t xml:space="preserve">                 </w:t>
            </w:r>
            <w:r>
              <w:rPr>
                <w:rFonts w:hint="eastAsia"/>
                <w:i w:val="0"/>
                <w:iCs/>
                <w:color w:val="auto"/>
                <w:highlight w:val="none"/>
              </w:rPr>
              <w:t>元</w:t>
            </w:r>
            <w:r>
              <w:rPr>
                <w:rFonts w:hint="eastAsia"/>
                <w:i w:val="0"/>
                <w:iCs/>
                <w:color w:val="auto"/>
                <w:highlight w:val="none"/>
                <w:lang w:val="en-US" w:eastAsia="zh-CN"/>
              </w:rPr>
              <w:t>/年</w:t>
            </w:r>
          </w:p>
        </w:tc>
      </w:tr>
      <w:tr w14:paraId="7BEF63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9" w:type="dxa"/>
            <w:tcBorders>
              <w:tl2br w:val="nil"/>
              <w:tr2bl w:val="nil"/>
            </w:tcBorders>
            <w:vAlign w:val="center"/>
          </w:tcPr>
          <w:p w14:paraId="197DF163">
            <w:pPr>
              <w:pStyle w:val="2"/>
              <w:jc w:val="center"/>
              <w:rPr>
                <w:i w:val="0"/>
                <w:iCs/>
                <w:color w:val="auto"/>
                <w:highlight w:val="none"/>
              </w:rPr>
            </w:pPr>
            <w:r>
              <w:rPr>
                <w:rFonts w:hint="eastAsia"/>
                <w:i w:val="0"/>
                <w:iCs/>
                <w:color w:val="auto"/>
                <w:highlight w:val="none"/>
              </w:rPr>
              <w:t>合同周期</w:t>
            </w:r>
          </w:p>
        </w:tc>
        <w:tc>
          <w:tcPr>
            <w:tcW w:w="4540" w:type="dxa"/>
            <w:tcBorders>
              <w:tl2br w:val="nil"/>
              <w:tr2bl w:val="nil"/>
            </w:tcBorders>
            <w:vAlign w:val="center"/>
          </w:tcPr>
          <w:p w14:paraId="72D9798D">
            <w:pPr>
              <w:pStyle w:val="2"/>
              <w:jc w:val="center"/>
              <w:rPr>
                <w:rFonts w:hint="eastAsia" w:eastAsia="宋体"/>
                <w:i w:val="0"/>
                <w:iCs/>
                <w:color w:val="auto"/>
                <w:highlight w:val="none"/>
                <w:lang w:val="en-US" w:eastAsia="zh-CN"/>
              </w:rPr>
            </w:pPr>
            <w:r>
              <w:rPr>
                <w:rFonts w:hint="eastAsia"/>
                <w:i w:val="0"/>
                <w:iCs/>
                <w:color w:val="auto"/>
                <w:highlight w:val="none"/>
                <w:lang w:val="en-US" w:eastAsia="zh-CN"/>
              </w:rPr>
              <w:t>本项目整体服务期限为两年，合同一年一签，其中中央空调维保服务期限从2025年9月1日至2026年11月30日。</w:t>
            </w:r>
          </w:p>
        </w:tc>
      </w:tr>
      <w:tr w14:paraId="033D2A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9" w:type="dxa"/>
            <w:tcBorders>
              <w:tl2br w:val="nil"/>
              <w:tr2bl w:val="nil"/>
            </w:tcBorders>
            <w:vAlign w:val="center"/>
          </w:tcPr>
          <w:p w14:paraId="4FAFB556">
            <w:pPr>
              <w:pStyle w:val="2"/>
              <w:jc w:val="center"/>
              <w:rPr>
                <w:i w:val="0"/>
                <w:iCs/>
                <w:color w:val="auto"/>
                <w:highlight w:val="none"/>
              </w:rPr>
            </w:pPr>
            <w:r>
              <w:rPr>
                <w:rFonts w:hint="eastAsia"/>
                <w:i w:val="0"/>
                <w:iCs/>
                <w:color w:val="auto"/>
                <w:highlight w:val="none"/>
              </w:rPr>
              <w:t>服务要求</w:t>
            </w:r>
          </w:p>
        </w:tc>
        <w:tc>
          <w:tcPr>
            <w:tcW w:w="4540" w:type="dxa"/>
            <w:tcBorders>
              <w:tl2br w:val="nil"/>
              <w:tr2bl w:val="nil"/>
            </w:tcBorders>
            <w:vAlign w:val="center"/>
          </w:tcPr>
          <w:p w14:paraId="7D69E8E4">
            <w:pPr>
              <w:pStyle w:val="2"/>
              <w:jc w:val="center"/>
              <w:rPr>
                <w:i w:val="0"/>
                <w:iCs/>
                <w:color w:val="auto"/>
                <w:highlight w:val="none"/>
              </w:rPr>
            </w:pPr>
          </w:p>
        </w:tc>
      </w:tr>
      <w:tr w14:paraId="25C523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9" w:type="dxa"/>
            <w:tcBorders>
              <w:tl2br w:val="nil"/>
              <w:tr2bl w:val="nil"/>
            </w:tcBorders>
            <w:vAlign w:val="center"/>
          </w:tcPr>
          <w:p w14:paraId="6A5C83E8">
            <w:pPr>
              <w:pStyle w:val="2"/>
              <w:jc w:val="center"/>
              <w:rPr>
                <w:i w:val="0"/>
                <w:iCs/>
                <w:color w:val="auto"/>
                <w:highlight w:val="none"/>
              </w:rPr>
            </w:pPr>
            <w:r>
              <w:rPr>
                <w:rFonts w:hint="eastAsia"/>
                <w:i w:val="0"/>
                <w:iCs/>
                <w:color w:val="auto"/>
                <w:highlight w:val="none"/>
              </w:rPr>
              <w:t>保证金</w:t>
            </w:r>
          </w:p>
        </w:tc>
        <w:tc>
          <w:tcPr>
            <w:tcW w:w="4540" w:type="dxa"/>
            <w:tcBorders>
              <w:tl2br w:val="nil"/>
              <w:tr2bl w:val="nil"/>
            </w:tcBorders>
            <w:vAlign w:val="center"/>
          </w:tcPr>
          <w:p w14:paraId="4D860F1B">
            <w:pPr>
              <w:pStyle w:val="2"/>
              <w:jc w:val="center"/>
              <w:rPr>
                <w:i w:val="0"/>
                <w:iCs/>
                <w:color w:val="auto"/>
                <w:highlight w:val="none"/>
              </w:rPr>
            </w:pPr>
          </w:p>
        </w:tc>
      </w:tr>
      <w:tr w14:paraId="23E3AE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9" w:type="dxa"/>
            <w:tcBorders>
              <w:tl2br w:val="nil"/>
              <w:tr2bl w:val="nil"/>
            </w:tcBorders>
            <w:vAlign w:val="center"/>
          </w:tcPr>
          <w:p w14:paraId="3F0D3B2E">
            <w:pPr>
              <w:pStyle w:val="2"/>
              <w:jc w:val="center"/>
              <w:rPr>
                <w:i w:val="0"/>
                <w:iCs/>
                <w:color w:val="auto"/>
                <w:highlight w:val="none"/>
              </w:rPr>
            </w:pPr>
            <w:r>
              <w:rPr>
                <w:rFonts w:hint="eastAsia"/>
                <w:i w:val="0"/>
                <w:iCs/>
                <w:color w:val="auto"/>
                <w:highlight w:val="none"/>
              </w:rPr>
              <w:t>备注</w:t>
            </w:r>
          </w:p>
        </w:tc>
        <w:tc>
          <w:tcPr>
            <w:tcW w:w="4540" w:type="dxa"/>
            <w:tcBorders>
              <w:tl2br w:val="nil"/>
              <w:tr2bl w:val="nil"/>
            </w:tcBorders>
            <w:vAlign w:val="center"/>
          </w:tcPr>
          <w:p w14:paraId="14813226">
            <w:pPr>
              <w:pStyle w:val="2"/>
              <w:jc w:val="center"/>
              <w:rPr>
                <w:i w:val="0"/>
                <w:iCs/>
                <w:color w:val="auto"/>
                <w:highlight w:val="none"/>
              </w:rPr>
            </w:pPr>
          </w:p>
        </w:tc>
      </w:tr>
    </w:tbl>
    <w:p w14:paraId="41912398">
      <w:pPr>
        <w:adjustRightInd w:val="0"/>
        <w:snapToGrid w:val="0"/>
        <w:spacing w:line="360" w:lineRule="auto"/>
        <w:rPr>
          <w:rFonts w:ascii="宋体" w:hAnsi="宋体" w:cs="宋体"/>
          <w:b/>
          <w:color w:val="auto"/>
          <w:szCs w:val="22"/>
          <w:highlight w:val="none"/>
        </w:rPr>
      </w:pPr>
      <w:r>
        <w:rPr>
          <w:rFonts w:hint="eastAsia" w:ascii="宋体" w:hAnsi="宋体" w:cs="宋体"/>
          <w:b/>
          <w:color w:val="auto"/>
          <w:szCs w:val="22"/>
          <w:highlight w:val="none"/>
        </w:rPr>
        <w:t>备注：</w:t>
      </w:r>
      <w:r>
        <w:rPr>
          <w:rFonts w:hint="eastAsia" w:ascii="宋体" w:hAnsi="宋体" w:cs="宋体"/>
          <w:color w:val="auto"/>
          <w:szCs w:val="21"/>
          <w:highlight w:val="none"/>
        </w:rPr>
        <w:t>（1）本表须按包填写，一个“包号”一份。</w:t>
      </w:r>
    </w:p>
    <w:p w14:paraId="6FD6C06E">
      <w:pPr>
        <w:adjustRightInd w:val="0"/>
        <w:snapToGrid w:val="0"/>
        <w:spacing w:line="360" w:lineRule="auto"/>
        <w:rPr>
          <w:rFonts w:ascii="宋体" w:hAnsi="宋体" w:cs="宋体"/>
          <w:color w:val="auto"/>
          <w:highlight w:val="none"/>
        </w:rPr>
      </w:pPr>
      <w:r>
        <w:rPr>
          <w:rFonts w:hint="eastAsia" w:ascii="宋体" w:hAnsi="宋体" w:cs="宋体"/>
          <w:color w:val="auto"/>
          <w:szCs w:val="22"/>
          <w:highlight w:val="none"/>
        </w:rPr>
        <w:t>（2）投标人提交两份及以上投标报价不同的“开标一览表”，且未书面说明哪个有效或以哪个为准的，其</w:t>
      </w:r>
      <w:r>
        <w:rPr>
          <w:rFonts w:hint="eastAsia" w:ascii="宋体" w:hAnsi="宋体" w:cs="宋体"/>
          <w:b/>
          <w:color w:val="auto"/>
          <w:szCs w:val="22"/>
          <w:highlight w:val="none"/>
        </w:rPr>
        <w:t>投标无效</w:t>
      </w:r>
      <w:r>
        <w:rPr>
          <w:rFonts w:hint="eastAsia" w:ascii="宋体" w:hAnsi="宋体" w:cs="宋体"/>
          <w:color w:val="auto"/>
          <w:szCs w:val="22"/>
          <w:highlight w:val="none"/>
        </w:rPr>
        <w:t>。</w:t>
      </w:r>
    </w:p>
    <w:p w14:paraId="101734D6">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szCs w:val="22"/>
          <w:highlight w:val="none"/>
        </w:rPr>
        <w:t>（3）投标人在投标截止时间前修改“开标一览表”中的投标报价的，应同时修改投标文件“分项报价明细表”“享受政府采购政策优惠的证明资料”以及“联合体协议书”（如果影响）等相关内容。</w:t>
      </w:r>
    </w:p>
    <w:p w14:paraId="68253D98">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szCs w:val="22"/>
          <w:highlight w:val="none"/>
        </w:rPr>
        <w:t xml:space="preserve"> </w:t>
      </w:r>
    </w:p>
    <w:p w14:paraId="1AC35768">
      <w:pPr>
        <w:adjustRightInd w:val="0"/>
        <w:snapToGrid w:val="0"/>
        <w:spacing w:line="360" w:lineRule="auto"/>
        <w:rPr>
          <w:rFonts w:ascii="宋体" w:hAnsi="宋体" w:cs="宋体"/>
          <w:color w:val="auto"/>
          <w:highlight w:val="none"/>
        </w:rPr>
      </w:pPr>
      <w:r>
        <w:rPr>
          <w:rFonts w:hint="eastAsia" w:ascii="宋体" w:hAnsi="宋体" w:cs="宋体"/>
          <w:color w:val="auto"/>
          <w:szCs w:val="22"/>
          <w:highlight w:val="none"/>
        </w:rPr>
        <w:t xml:space="preserve"> </w:t>
      </w:r>
    </w:p>
    <w:p w14:paraId="244C10DC">
      <w:pPr>
        <w:adjustRightInd w:val="0"/>
        <w:snapToGrid w:val="0"/>
        <w:spacing w:line="360" w:lineRule="auto"/>
        <w:rPr>
          <w:rFonts w:ascii="宋体" w:hAnsi="宋体" w:cs="宋体"/>
          <w:color w:val="auto"/>
          <w:highlight w:val="none"/>
        </w:rPr>
      </w:pPr>
      <w:r>
        <w:rPr>
          <w:rFonts w:hint="eastAsia" w:ascii="宋体" w:hAnsi="宋体" w:cs="宋体"/>
          <w:color w:val="auto"/>
          <w:szCs w:val="22"/>
          <w:highlight w:val="none"/>
        </w:rPr>
        <w:t>投标人名称（盖单位章）：</w:t>
      </w:r>
    </w:p>
    <w:p w14:paraId="4ABB0510">
      <w:pPr>
        <w:adjustRightInd w:val="0"/>
        <w:snapToGrid w:val="0"/>
        <w:spacing w:line="360" w:lineRule="auto"/>
        <w:rPr>
          <w:rFonts w:ascii="宋体" w:hAnsi="宋体" w:cs="宋体"/>
          <w:color w:val="auto"/>
          <w:highlight w:val="none"/>
        </w:rPr>
      </w:pPr>
      <w:r>
        <w:rPr>
          <w:rFonts w:hint="eastAsia" w:ascii="宋体" w:hAnsi="宋体" w:cs="宋体"/>
          <w:color w:val="auto"/>
          <w:spacing w:val="-2"/>
          <w:kern w:val="0"/>
          <w:szCs w:val="22"/>
          <w:highlight w:val="none"/>
        </w:rPr>
        <w:t>法</w:t>
      </w:r>
      <w:r>
        <w:rPr>
          <w:rFonts w:hint="eastAsia" w:ascii="宋体" w:hAnsi="宋体" w:cs="宋体"/>
          <w:color w:val="auto"/>
          <w:kern w:val="0"/>
          <w:szCs w:val="22"/>
          <w:highlight w:val="none"/>
        </w:rPr>
        <w:t>定</w:t>
      </w:r>
      <w:r>
        <w:rPr>
          <w:rFonts w:hint="eastAsia" w:ascii="宋体" w:hAnsi="宋体" w:cs="宋体"/>
          <w:color w:val="auto"/>
          <w:spacing w:val="-2"/>
          <w:kern w:val="0"/>
          <w:szCs w:val="22"/>
          <w:highlight w:val="none"/>
        </w:rPr>
        <w:t>代</w:t>
      </w:r>
      <w:r>
        <w:rPr>
          <w:rFonts w:hint="eastAsia" w:ascii="宋体" w:hAnsi="宋体" w:cs="宋体"/>
          <w:color w:val="auto"/>
          <w:kern w:val="0"/>
          <w:szCs w:val="22"/>
          <w:highlight w:val="none"/>
        </w:rPr>
        <w:t>表</w:t>
      </w:r>
      <w:r>
        <w:rPr>
          <w:rFonts w:hint="eastAsia" w:ascii="宋体" w:hAnsi="宋体" w:cs="宋体"/>
          <w:color w:val="auto"/>
          <w:spacing w:val="-2"/>
          <w:kern w:val="0"/>
          <w:szCs w:val="22"/>
          <w:highlight w:val="none"/>
        </w:rPr>
        <w:t>人</w:t>
      </w:r>
      <w:r>
        <w:rPr>
          <w:rFonts w:hint="eastAsia" w:ascii="宋体" w:hAnsi="宋体" w:cs="宋体"/>
          <w:color w:val="auto"/>
          <w:kern w:val="0"/>
          <w:szCs w:val="22"/>
          <w:highlight w:val="none"/>
        </w:rPr>
        <w:t>（</w:t>
      </w:r>
      <w:r>
        <w:rPr>
          <w:rFonts w:hint="eastAsia" w:ascii="宋体" w:hAnsi="宋体" w:cs="宋体"/>
          <w:color w:val="auto"/>
          <w:spacing w:val="-2"/>
          <w:kern w:val="0"/>
          <w:szCs w:val="22"/>
          <w:highlight w:val="none"/>
        </w:rPr>
        <w:t>单</w:t>
      </w:r>
      <w:r>
        <w:rPr>
          <w:rFonts w:hint="eastAsia" w:ascii="宋体" w:hAnsi="宋体" w:cs="宋体"/>
          <w:color w:val="auto"/>
          <w:kern w:val="0"/>
          <w:szCs w:val="22"/>
          <w:highlight w:val="none"/>
        </w:rPr>
        <w:t>位</w:t>
      </w:r>
      <w:r>
        <w:rPr>
          <w:rFonts w:hint="eastAsia" w:ascii="宋体" w:hAnsi="宋体" w:cs="宋体"/>
          <w:color w:val="auto"/>
          <w:spacing w:val="-2"/>
          <w:kern w:val="0"/>
          <w:szCs w:val="22"/>
          <w:highlight w:val="none"/>
        </w:rPr>
        <w:t>负</w:t>
      </w:r>
      <w:r>
        <w:rPr>
          <w:rFonts w:hint="eastAsia" w:ascii="宋体" w:hAnsi="宋体" w:cs="宋体"/>
          <w:color w:val="auto"/>
          <w:kern w:val="0"/>
          <w:szCs w:val="22"/>
          <w:highlight w:val="none"/>
        </w:rPr>
        <w:t>责人</w:t>
      </w:r>
      <w:r>
        <w:rPr>
          <w:rFonts w:hint="eastAsia" w:ascii="宋体" w:hAnsi="宋体" w:cs="宋体"/>
          <w:color w:val="auto"/>
          <w:spacing w:val="-2"/>
          <w:kern w:val="0"/>
          <w:szCs w:val="22"/>
          <w:highlight w:val="none"/>
        </w:rPr>
        <w:t>）</w:t>
      </w:r>
      <w:r>
        <w:rPr>
          <w:rFonts w:hint="eastAsia" w:ascii="宋体" w:hAnsi="宋体" w:cs="宋体"/>
          <w:color w:val="auto"/>
          <w:szCs w:val="22"/>
          <w:highlight w:val="none"/>
        </w:rPr>
        <w:t>或其授权的代理人（签字或印章）：</w:t>
      </w:r>
    </w:p>
    <w:p w14:paraId="043D908D">
      <w:pPr>
        <w:widowControl/>
        <w:jc w:val="left"/>
        <w:rPr>
          <w:color w:val="auto"/>
          <w:highlight w:val="none"/>
        </w:rPr>
      </w:pPr>
      <w:r>
        <w:rPr>
          <w:rFonts w:hint="eastAsia" w:ascii="宋体" w:hAnsi="宋体"/>
          <w:color w:val="auto"/>
          <w:szCs w:val="22"/>
          <w:highlight w:val="none"/>
        </w:rPr>
        <w:t>日期：   年   月   日</w:t>
      </w:r>
    </w:p>
    <w:p w14:paraId="76063ACA">
      <w:pPr>
        <w:adjustRightInd w:val="0"/>
        <w:snapToGrid w:val="0"/>
        <w:spacing w:line="360" w:lineRule="auto"/>
        <w:rPr>
          <w:rFonts w:ascii="宋体" w:hAnsi="宋体" w:cs="宋体"/>
          <w:color w:val="auto"/>
          <w:szCs w:val="21"/>
          <w:highlight w:val="none"/>
        </w:rPr>
      </w:pPr>
    </w:p>
    <w:p w14:paraId="0335E558">
      <w:pPr>
        <w:widowControl/>
        <w:jc w:val="left"/>
        <w:rPr>
          <w:rFonts w:ascii="宋体" w:hAnsi="宋体" w:cs="宋体"/>
          <w:color w:val="auto"/>
          <w:szCs w:val="21"/>
          <w:highlight w:val="none"/>
        </w:rPr>
      </w:pPr>
      <w:r>
        <w:rPr>
          <w:rFonts w:hint="eastAsia" w:ascii="宋体" w:hAnsi="宋体" w:cs="宋体"/>
          <w:color w:val="auto"/>
          <w:szCs w:val="21"/>
          <w:highlight w:val="none"/>
        </w:rPr>
        <w:br w:type="page"/>
      </w:r>
    </w:p>
    <w:p w14:paraId="28C6C282">
      <w:pPr>
        <w:pStyle w:val="6"/>
        <w:adjustRightInd w:val="0"/>
        <w:snapToGrid w:val="0"/>
        <w:spacing w:before="0" w:after="0" w:line="360" w:lineRule="auto"/>
        <w:jc w:val="center"/>
        <w:rPr>
          <w:rFonts w:hint="eastAsia" w:ascii="宋体" w:hAnsi="宋体" w:eastAsia="宋体" w:cs="宋体"/>
          <w:color w:val="auto"/>
          <w:sz w:val="28"/>
          <w:szCs w:val="28"/>
          <w:highlight w:val="none"/>
          <w:lang w:eastAsia="zh-CN"/>
        </w:rPr>
      </w:pPr>
      <w:bookmarkStart w:id="86" w:name="_Toc15993"/>
      <w:bookmarkStart w:id="87" w:name="_Toc23402"/>
      <w:bookmarkStart w:id="88" w:name="_Toc25817"/>
      <w:bookmarkStart w:id="89" w:name="_Toc3810"/>
      <w:bookmarkStart w:id="90" w:name="_Toc13883"/>
      <w:r>
        <w:rPr>
          <w:rFonts w:hint="eastAsia" w:ascii="宋体" w:hAnsi="宋体" w:cs="宋体"/>
          <w:color w:val="auto"/>
          <w:sz w:val="28"/>
          <w:szCs w:val="28"/>
          <w:highlight w:val="none"/>
        </w:rPr>
        <w:t>（二）投标保证金</w:t>
      </w:r>
      <w:bookmarkEnd w:id="86"/>
      <w:bookmarkEnd w:id="87"/>
      <w:bookmarkEnd w:id="88"/>
      <w:bookmarkEnd w:id="89"/>
      <w:bookmarkEnd w:id="90"/>
    </w:p>
    <w:p w14:paraId="4B4D4E32">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采用电子保函的提供电子保函复印件或扫描件；采用银行转账的提供投标人基本账户开户许可证和本项目投标保证金银行进账单或转账凭证的复印件或扫描件。</w:t>
      </w:r>
    </w:p>
    <w:p w14:paraId="5CB06317">
      <w:pPr>
        <w:widowControl/>
        <w:spacing w:line="360" w:lineRule="auto"/>
        <w:ind w:firstLine="420" w:firstLineChars="200"/>
        <w:jc w:val="left"/>
        <w:rPr>
          <w:rFonts w:ascii="宋体" w:hAnsi="宋体" w:cs="宋体"/>
          <w:color w:val="auto"/>
          <w:kern w:val="0"/>
          <w:sz w:val="21"/>
          <w:szCs w:val="21"/>
          <w:highlight w:val="none"/>
        </w:rPr>
      </w:pPr>
    </w:p>
    <w:p w14:paraId="59CEAE5B">
      <w:pPr>
        <w:widowControl/>
        <w:spacing w:line="360" w:lineRule="auto"/>
        <w:ind w:firstLine="420" w:firstLineChars="200"/>
        <w:jc w:val="left"/>
        <w:rPr>
          <w:rFonts w:hint="eastAsia" w:eastAsia="宋体"/>
          <w:color w:val="auto"/>
          <w:sz w:val="21"/>
          <w:szCs w:val="21"/>
          <w:highlight w:val="none"/>
          <w:lang w:eastAsia="zh-CN"/>
        </w:rPr>
      </w:pPr>
      <w:r>
        <w:rPr>
          <w:rFonts w:hint="eastAsia" w:ascii="宋体" w:hAnsi="宋体" w:cs="宋体"/>
          <w:color w:val="auto"/>
          <w:kern w:val="0"/>
          <w:sz w:val="21"/>
          <w:szCs w:val="21"/>
          <w:highlight w:val="none"/>
        </w:rPr>
        <w:t>1、递交方式：</w:t>
      </w:r>
      <w:r>
        <w:rPr>
          <w:rFonts w:hint="eastAsia" w:ascii="宋体" w:hAnsi="宋体" w:cs="宋体"/>
          <w:b/>
          <w:bCs/>
          <w:color w:val="auto"/>
          <w:kern w:val="0"/>
          <w:sz w:val="21"/>
          <w:szCs w:val="21"/>
          <w:highlight w:val="none"/>
        </w:rPr>
        <w:t>银行转账</w:t>
      </w:r>
      <w:r>
        <w:rPr>
          <w:rFonts w:hint="eastAsia" w:ascii="宋体" w:hAnsi="宋体" w:cs="宋体"/>
          <w:color w:val="auto"/>
          <w:kern w:val="0"/>
          <w:sz w:val="21"/>
          <w:szCs w:val="21"/>
          <w:highlight w:val="none"/>
        </w:rPr>
        <w:t>或</w:t>
      </w:r>
      <w:r>
        <w:rPr>
          <w:rFonts w:hint="eastAsia" w:ascii="宋体" w:hAnsi="宋体" w:cs="宋体"/>
          <w:b/>
          <w:bCs/>
          <w:color w:val="auto"/>
          <w:kern w:val="0"/>
          <w:sz w:val="21"/>
          <w:szCs w:val="21"/>
          <w:highlight w:val="none"/>
        </w:rPr>
        <w:t>电子保函</w:t>
      </w:r>
      <w:r>
        <w:rPr>
          <w:rFonts w:hint="eastAsia" w:ascii="宋体" w:hAnsi="宋体" w:cs="宋体"/>
          <w:color w:val="auto"/>
          <w:kern w:val="0"/>
          <w:sz w:val="21"/>
          <w:szCs w:val="21"/>
          <w:highlight w:val="none"/>
        </w:rPr>
        <w:t>。</w:t>
      </w:r>
    </w:p>
    <w:p w14:paraId="25954E7A">
      <w:pPr>
        <w:widowControl/>
        <w:wordWrap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1.1、</w:t>
      </w:r>
      <w:r>
        <w:rPr>
          <w:rFonts w:hint="eastAsia" w:ascii="宋体" w:hAnsi="宋体" w:cs="宋体"/>
          <w:b/>
          <w:bCs/>
          <w:color w:val="auto"/>
          <w:kern w:val="0"/>
          <w:sz w:val="21"/>
          <w:szCs w:val="21"/>
          <w:highlight w:val="none"/>
        </w:rPr>
        <w:t>电子保函：</w:t>
      </w:r>
      <w:r>
        <w:rPr>
          <w:rFonts w:hint="eastAsia" w:ascii="宋体" w:hAnsi="宋体" w:cs="宋体"/>
          <w:color w:val="auto"/>
          <w:kern w:val="0"/>
          <w:sz w:val="21"/>
          <w:szCs w:val="21"/>
          <w:highlight w:val="none"/>
        </w:rPr>
        <w:t>包括银行电子保函、电子担保保函、投标保证保险。电子保函可通过株洲市公共资源交易中心官网首页进入“电子保函”模块进行申请，也可以登录http://hxbh.hnhxzx.cn:20080进行电子保函申请。具体操作请登录株洲市公共资源交易中心门户网站—操作指南—《株洲市电子保函服务平台政府采购投标人操作手册》了解。</w:t>
      </w:r>
    </w:p>
    <w:p w14:paraId="68D497B3">
      <w:pPr>
        <w:widowControl/>
        <w:spacing w:line="360" w:lineRule="auto"/>
        <w:ind w:firstLine="420" w:firstLineChars="200"/>
        <w:jc w:val="left"/>
        <w:rPr>
          <w:color w:val="auto"/>
          <w:sz w:val="21"/>
          <w:szCs w:val="21"/>
          <w:highlight w:val="none"/>
        </w:rPr>
      </w:pPr>
      <w:r>
        <w:rPr>
          <w:rFonts w:hint="eastAsia" w:ascii="宋体" w:hAnsi="宋体" w:cs="宋体"/>
          <w:color w:val="auto"/>
          <w:kern w:val="0"/>
          <w:sz w:val="21"/>
          <w:szCs w:val="21"/>
          <w:highlight w:val="none"/>
        </w:rPr>
        <w:t>1.2、</w:t>
      </w:r>
      <w:r>
        <w:rPr>
          <w:rFonts w:hint="eastAsia" w:ascii="宋体" w:hAnsi="宋体" w:cs="宋体"/>
          <w:b/>
          <w:bCs/>
          <w:color w:val="auto"/>
          <w:kern w:val="0"/>
          <w:sz w:val="21"/>
          <w:szCs w:val="21"/>
          <w:highlight w:val="none"/>
        </w:rPr>
        <w:t>银行转账</w:t>
      </w:r>
      <w:r>
        <w:rPr>
          <w:rFonts w:hint="eastAsia" w:ascii="宋体" w:hAnsi="宋体" w:cs="宋体"/>
          <w:color w:val="auto"/>
          <w:kern w:val="0"/>
          <w:sz w:val="21"/>
          <w:szCs w:val="21"/>
          <w:highlight w:val="none"/>
        </w:rPr>
        <w:t>：递交方式：投标保证金必须是从投标人单位</w:t>
      </w:r>
      <w:r>
        <w:rPr>
          <w:rFonts w:hint="eastAsia" w:ascii="宋体" w:hAnsi="宋体" w:cs="宋体"/>
          <w:b/>
          <w:bCs/>
          <w:color w:val="auto"/>
          <w:kern w:val="0"/>
          <w:sz w:val="21"/>
          <w:szCs w:val="21"/>
          <w:highlight w:val="none"/>
        </w:rPr>
        <w:t>基本账户</w:t>
      </w:r>
      <w:r>
        <w:rPr>
          <w:rFonts w:hint="eastAsia" w:ascii="宋体" w:hAnsi="宋体" w:cs="宋体"/>
          <w:color w:val="auto"/>
          <w:kern w:val="0"/>
          <w:sz w:val="21"/>
          <w:szCs w:val="21"/>
          <w:highlight w:val="none"/>
        </w:rPr>
        <w:t>转（汇）入投标保证金的托管账户管理，以现金方式和非投标人单位账户提交的投标保证金无效；投标保证金托管账户如下：</w:t>
      </w:r>
    </w:p>
    <w:p w14:paraId="22F1D515">
      <w:pPr>
        <w:widowControl/>
        <w:spacing w:line="360" w:lineRule="auto"/>
        <w:ind w:firstLine="422" w:firstLineChars="200"/>
        <w:jc w:val="left"/>
        <w:rPr>
          <w:rFonts w:hint="eastAsia" w:eastAsia="宋体"/>
          <w:color w:val="auto"/>
          <w:sz w:val="21"/>
          <w:szCs w:val="21"/>
          <w:highlight w:val="none"/>
          <w:lang w:eastAsia="zh-CN"/>
        </w:rPr>
      </w:pPr>
      <w:r>
        <w:rPr>
          <w:rFonts w:hint="eastAsia" w:ascii="宋体" w:hAnsi="宋体" w:cs="宋体"/>
          <w:b/>
          <w:bCs/>
          <w:color w:val="auto"/>
          <w:kern w:val="0"/>
          <w:sz w:val="21"/>
          <w:szCs w:val="21"/>
          <w:highlight w:val="none"/>
        </w:rPr>
        <w:t>账户名称：株洲市公共资源交易中心交易保证金专户</w:t>
      </w:r>
    </w:p>
    <w:p w14:paraId="44CC2333">
      <w:pPr>
        <w:widowControl/>
        <w:spacing w:line="360" w:lineRule="auto"/>
        <w:ind w:firstLine="422" w:firstLineChars="200"/>
        <w:jc w:val="left"/>
        <w:rPr>
          <w:rFonts w:hint="eastAsia" w:eastAsia="宋体"/>
          <w:color w:val="auto"/>
          <w:sz w:val="21"/>
          <w:szCs w:val="21"/>
          <w:highlight w:val="none"/>
          <w:lang w:eastAsia="zh-CN"/>
        </w:rPr>
      </w:pPr>
      <w:r>
        <w:rPr>
          <w:rFonts w:hint="eastAsia" w:ascii="宋体" w:hAnsi="宋体" w:cs="宋体"/>
          <w:b/>
          <w:bCs/>
          <w:color w:val="auto"/>
          <w:kern w:val="0"/>
          <w:sz w:val="21"/>
          <w:szCs w:val="21"/>
          <w:highlight w:val="none"/>
        </w:rPr>
        <w:t>开户银行：中国建设银行股份有限公司株洲湘银支行</w:t>
      </w:r>
    </w:p>
    <w:p w14:paraId="1A803A0C">
      <w:pPr>
        <w:widowControl/>
        <w:spacing w:line="360" w:lineRule="auto"/>
        <w:ind w:firstLine="422" w:firstLineChars="200"/>
        <w:jc w:val="left"/>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银行账号：4300 1500 5620 5966 6666-11600</w:t>
      </w:r>
    </w:p>
    <w:p w14:paraId="3ADE68F1">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该账号仅为此项目的保证金托管账户，请勿与其它项目的账号混淆，发生串户则视为无效保证金。</w:t>
      </w:r>
    </w:p>
    <w:p w14:paraId="4709E324">
      <w:pPr>
        <w:widowControl/>
        <w:numPr>
          <w:ilvl w:val="0"/>
          <w:numId w:val="28"/>
        </w:numPr>
        <w:spacing w:line="360" w:lineRule="auto"/>
        <w:ind w:firstLine="420" w:firstLineChars="200"/>
        <w:jc w:val="left"/>
        <w:rPr>
          <w:color w:val="auto"/>
          <w:sz w:val="21"/>
          <w:szCs w:val="21"/>
          <w:highlight w:val="none"/>
        </w:rPr>
      </w:pPr>
      <w:r>
        <w:rPr>
          <w:rFonts w:hint="eastAsia" w:ascii="宋体" w:hAnsi="宋体" w:cs="宋体"/>
          <w:color w:val="auto"/>
          <w:kern w:val="0"/>
          <w:sz w:val="21"/>
          <w:szCs w:val="21"/>
          <w:highlight w:val="none"/>
        </w:rPr>
        <w:t>在转账票据摘要处须注明：“（项目名称）投标保证金”。（如“项目名称”字符过多，转账票据摘要处填写不下的，则“取‘项目名称’前面字符”填入。）</w:t>
      </w:r>
    </w:p>
    <w:p w14:paraId="765DDA8A">
      <w:pPr>
        <w:widowControl/>
        <w:numPr>
          <w:ilvl w:val="0"/>
          <w:numId w:val="28"/>
        </w:numPr>
        <w:spacing w:line="360" w:lineRule="auto"/>
        <w:ind w:firstLine="420" w:firstLineChars="200"/>
        <w:jc w:val="left"/>
        <w:rPr>
          <w:color w:val="auto"/>
          <w:sz w:val="21"/>
          <w:szCs w:val="21"/>
          <w:highlight w:val="none"/>
        </w:rPr>
      </w:pPr>
      <w:r>
        <w:rPr>
          <w:rFonts w:hint="eastAsia" w:ascii="宋体" w:hAnsi="宋体" w:cs="宋体"/>
          <w:color w:val="auto"/>
          <w:kern w:val="0"/>
          <w:sz w:val="21"/>
          <w:szCs w:val="21"/>
          <w:highlight w:val="none"/>
        </w:rPr>
        <w:t>投标保证金到帐截止时间为投标截止时间。（为确保投标保证金按时到账，请投标人于开标日前一个工作日下午3：00前提交，并注意交纳保证金的银行账号中含有“-”号。）</w:t>
      </w:r>
    </w:p>
    <w:p w14:paraId="6EE53CCC">
      <w:pPr>
        <w:widowControl/>
        <w:spacing w:line="360" w:lineRule="auto"/>
        <w:ind w:firstLine="420" w:firstLineChars="200"/>
        <w:jc w:val="left"/>
        <w:rPr>
          <w:rFonts w:hint="eastAsia" w:eastAsia="宋体"/>
          <w:color w:val="auto"/>
          <w:sz w:val="21"/>
          <w:szCs w:val="21"/>
          <w:highlight w:val="none"/>
          <w:lang w:eastAsia="zh-CN"/>
        </w:rPr>
      </w:pPr>
      <w:r>
        <w:rPr>
          <w:rFonts w:hint="eastAsia" w:ascii="宋体" w:hAnsi="宋体" w:cs="宋体"/>
          <w:color w:val="auto"/>
          <w:kern w:val="0"/>
          <w:sz w:val="21"/>
          <w:szCs w:val="21"/>
          <w:highlight w:val="none"/>
        </w:rPr>
        <w:t>特别提示：</w:t>
      </w:r>
    </w:p>
    <w:p w14:paraId="7C07AC5A">
      <w:pPr>
        <w:widowControl/>
        <w:spacing w:line="360" w:lineRule="auto"/>
        <w:ind w:firstLine="420" w:firstLineChars="200"/>
        <w:jc w:val="left"/>
        <w:rPr>
          <w:rFonts w:hint="eastAsia" w:eastAsia="宋体"/>
          <w:color w:val="auto"/>
          <w:sz w:val="21"/>
          <w:szCs w:val="21"/>
          <w:highlight w:val="none"/>
          <w:lang w:eastAsia="zh-CN"/>
        </w:rPr>
      </w:pPr>
      <w:r>
        <w:rPr>
          <w:rFonts w:hint="eastAsia" w:ascii="宋体" w:hAnsi="宋体" w:cs="宋体"/>
          <w:color w:val="auto"/>
          <w:kern w:val="0"/>
          <w:sz w:val="21"/>
          <w:szCs w:val="21"/>
          <w:highlight w:val="none"/>
        </w:rPr>
        <w:t>①投标保证金汇款服务咨询：中国建设银行股份有限公司株洲湘银支行</w:t>
      </w:r>
    </w:p>
    <w:p w14:paraId="14D4E769">
      <w:pPr>
        <w:widowControl/>
        <w:spacing w:line="360" w:lineRule="auto"/>
        <w:ind w:firstLine="420" w:firstLineChars="200"/>
        <w:jc w:val="left"/>
        <w:rPr>
          <w:rFonts w:hint="eastAsia" w:eastAsia="宋体"/>
          <w:color w:val="auto"/>
          <w:sz w:val="21"/>
          <w:szCs w:val="21"/>
          <w:highlight w:val="none"/>
          <w:lang w:eastAsia="zh-CN"/>
        </w:rPr>
      </w:pPr>
      <w:r>
        <w:rPr>
          <w:rFonts w:hint="eastAsia" w:ascii="宋体" w:hAnsi="宋体" w:cs="宋体"/>
          <w:color w:val="auto"/>
          <w:kern w:val="0"/>
          <w:sz w:val="21"/>
          <w:szCs w:val="21"/>
          <w:highlight w:val="none"/>
        </w:rPr>
        <w:t>0731-28520852（联系人：黄朝辉）和0731-22864427（联系人：刘岚）。</w:t>
      </w:r>
    </w:p>
    <w:p w14:paraId="4364F132">
      <w:pPr>
        <w:widowControl/>
        <w:spacing w:line="360" w:lineRule="auto"/>
        <w:ind w:firstLine="422" w:firstLineChars="200"/>
        <w:jc w:val="left"/>
        <w:rPr>
          <w:rFonts w:hint="eastAsia" w:eastAsia="宋体"/>
          <w:color w:val="auto"/>
          <w:sz w:val="21"/>
          <w:szCs w:val="21"/>
          <w:highlight w:val="none"/>
          <w:lang w:eastAsia="zh-CN"/>
        </w:rPr>
      </w:pPr>
      <w:r>
        <w:rPr>
          <w:rFonts w:hint="eastAsia" w:ascii="宋体" w:hAnsi="宋体" w:cs="宋体"/>
          <w:b/>
          <w:bCs/>
          <w:color w:val="auto"/>
          <w:kern w:val="0"/>
          <w:sz w:val="21"/>
          <w:szCs w:val="21"/>
          <w:highlight w:val="none"/>
        </w:rPr>
        <w:t>②开标现场将展示投标保证金情况，各投标单位仅须在投标文件中提供投标人账户开户许可证和银行进账单的复印件或扫描件。如投标单位基本账户被冻结，须提交申请从投标单位名称一致的其他账户转入投标保证金，并提供法院出具的协助冻结存款通知书复印件，请投标人认真阅读关于投标保证金缴纳的规定，并严格执行，防止投标保证金缴纳出现失误。</w:t>
      </w:r>
    </w:p>
    <w:p w14:paraId="05E159A1">
      <w:pPr>
        <w:widowControl/>
        <w:spacing w:line="360" w:lineRule="auto"/>
        <w:ind w:firstLine="422" w:firstLineChars="200"/>
        <w:jc w:val="left"/>
        <w:rPr>
          <w:rFonts w:hint="eastAsia" w:eastAsia="宋体"/>
          <w:color w:val="auto"/>
          <w:sz w:val="21"/>
          <w:szCs w:val="21"/>
          <w:highlight w:val="none"/>
          <w:lang w:eastAsia="zh-CN"/>
        </w:rPr>
      </w:pPr>
      <w:r>
        <w:rPr>
          <w:rFonts w:hint="eastAsia" w:ascii="宋体" w:hAnsi="宋体" w:cs="宋体"/>
          <w:b/>
          <w:bCs/>
          <w:color w:val="auto"/>
          <w:kern w:val="0"/>
          <w:sz w:val="21"/>
          <w:szCs w:val="21"/>
          <w:highlight w:val="none"/>
        </w:rPr>
        <w:t>③因银行和收款方在开标前均无法查询保证金到账情况，建议投标人尽量提前递交投标保证金，并密切关注是否有被退回的情况，避免因未按招标文件要求递交投标保证金而导致废标。</w:t>
      </w:r>
    </w:p>
    <w:p w14:paraId="0EDE6D8E">
      <w:pPr>
        <w:widowControl/>
        <w:spacing w:line="360" w:lineRule="auto"/>
        <w:ind w:firstLine="422" w:firstLineChars="200"/>
        <w:jc w:val="left"/>
        <w:rPr>
          <w:rFonts w:hint="eastAsia" w:eastAsia="宋体"/>
          <w:color w:val="auto"/>
          <w:sz w:val="21"/>
          <w:szCs w:val="21"/>
          <w:highlight w:val="none"/>
          <w:lang w:eastAsia="zh-CN"/>
        </w:rPr>
      </w:pPr>
      <w:r>
        <w:rPr>
          <w:rFonts w:hint="eastAsia" w:ascii="宋体" w:hAnsi="宋体" w:cs="宋体"/>
          <w:b/>
          <w:bCs/>
          <w:color w:val="auto"/>
          <w:kern w:val="0"/>
          <w:sz w:val="21"/>
          <w:szCs w:val="21"/>
          <w:highlight w:val="none"/>
        </w:rPr>
        <w:t>2、投标人不按招标文件要求提交投标保证金的，视为不合格投标人。</w:t>
      </w:r>
    </w:p>
    <w:p w14:paraId="12E19D31">
      <w:pPr>
        <w:spacing w:after="156" w:line="360" w:lineRule="auto"/>
        <w:ind w:firstLine="400" w:firstLineChars="200"/>
        <w:rPr>
          <w:rFonts w:hint="eastAsia" w:ascii="宋体" w:hAnsi="宋体" w:cs="宋体"/>
          <w:bCs/>
          <w:color w:val="auto"/>
          <w:highlight w:val="none"/>
        </w:rPr>
      </w:pPr>
      <w:r>
        <w:rPr>
          <w:rFonts w:hint="eastAsia" w:ascii="宋体" w:hAnsi="宋体" w:cs="宋体"/>
          <w:color w:val="auto"/>
          <w:kern w:val="0"/>
          <w:sz w:val="20"/>
          <w:szCs w:val="20"/>
          <w:highlight w:val="none"/>
          <w:lang w:bidi="ar"/>
        </w:rPr>
        <w:t>3、</w:t>
      </w:r>
      <w:r>
        <w:rPr>
          <w:rFonts w:hint="eastAsia" w:ascii="宋体" w:hAnsi="宋体" w:cs="宋体"/>
          <w:b/>
          <w:color w:val="auto"/>
          <w:highlight w:val="none"/>
        </w:rPr>
        <w:t>未中标人</w:t>
      </w:r>
      <w:r>
        <w:rPr>
          <w:rFonts w:hint="eastAsia" w:ascii="宋体" w:hAnsi="宋体" w:cs="宋体"/>
          <w:bCs/>
          <w:color w:val="auto"/>
          <w:highlight w:val="none"/>
        </w:rPr>
        <w:t>的投标保证金在中标通知书发出后五个工作日内由银行自动退还给投标人。</w:t>
      </w:r>
      <w:r>
        <w:rPr>
          <w:rFonts w:hint="eastAsia" w:ascii="宋体" w:hAnsi="宋体" w:cs="宋体"/>
          <w:b/>
          <w:color w:val="auto"/>
          <w:highlight w:val="none"/>
        </w:rPr>
        <w:t>中标人</w:t>
      </w:r>
      <w:r>
        <w:rPr>
          <w:rFonts w:hint="eastAsia" w:ascii="宋体" w:hAnsi="宋体" w:cs="宋体"/>
          <w:bCs/>
          <w:color w:val="auto"/>
          <w:highlight w:val="none"/>
        </w:rPr>
        <w:t>于合同签订之日起五个工作日内将退款申请及付款凭证发至项目代理机构，代理机构在交易系统上传退款申请、付款凭证、公共资源交易中心进场交易确认书后退款至原缴款账户。株洲市公共资源交易中心一楼服务大厅3号保证金窗口联系电话：0731-28681387。</w:t>
      </w:r>
    </w:p>
    <w:p w14:paraId="2E5D609C">
      <w:pPr>
        <w:adjustRightInd w:val="0"/>
        <w:snapToGrid w:val="0"/>
        <w:spacing w:beforeLines="50" w:line="360" w:lineRule="auto"/>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附退款申请格式：</w:t>
      </w:r>
    </w:p>
    <w:tbl>
      <w:tblPr>
        <w:tblStyle w:val="46"/>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0"/>
      </w:tblGrid>
      <w:tr w14:paraId="1DB6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40" w:type="dxa"/>
          </w:tcPr>
          <w:p w14:paraId="46355A9D">
            <w:pPr>
              <w:spacing w:after="156" w:line="360" w:lineRule="exact"/>
              <w:jc w:val="center"/>
              <w:rPr>
                <w:rFonts w:ascii="宋体" w:hAnsi="宋体" w:cs="宋体"/>
                <w:color w:val="auto"/>
                <w:highlight w:val="none"/>
              </w:rPr>
            </w:pPr>
            <w:r>
              <w:rPr>
                <w:rFonts w:hint="eastAsia" w:ascii="宋体" w:hAnsi="宋体" w:cs="宋体"/>
                <w:b/>
                <w:snapToGrid w:val="0"/>
                <w:color w:val="auto"/>
                <w:highlight w:val="none"/>
              </w:rPr>
              <w:t>退款申请</w:t>
            </w:r>
          </w:p>
          <w:p w14:paraId="0B75D268">
            <w:pPr>
              <w:adjustRightInd w:val="0"/>
              <w:snapToGrid w:val="0"/>
              <w:spacing w:beforeLines="50" w:line="360" w:lineRule="auto"/>
              <w:rPr>
                <w:rFonts w:ascii="宋体" w:hAnsi="宋体" w:cs="宋体"/>
                <w:snapToGrid w:val="0"/>
                <w:color w:val="auto"/>
                <w:highlight w:val="none"/>
              </w:rPr>
            </w:pPr>
            <w:r>
              <w:rPr>
                <w:rFonts w:hint="eastAsia" w:ascii="宋体" w:hAnsi="宋体" w:cs="宋体"/>
                <w:b/>
                <w:snapToGrid w:val="0"/>
                <w:color w:val="auto"/>
                <w:highlight w:val="none"/>
              </w:rPr>
              <w:t>株洲市公共资源交易中心</w:t>
            </w:r>
            <w:r>
              <w:rPr>
                <w:rFonts w:hint="eastAsia" w:ascii="宋体" w:hAnsi="宋体" w:cs="宋体"/>
                <w:snapToGrid w:val="0"/>
                <w:color w:val="auto"/>
                <w:highlight w:val="none"/>
              </w:rPr>
              <w:t>：</w:t>
            </w:r>
          </w:p>
          <w:p w14:paraId="7A334182">
            <w:pPr>
              <w:adjustRightInd w:val="0"/>
              <w:snapToGrid w:val="0"/>
              <w:spacing w:beforeLines="50" w:line="360" w:lineRule="auto"/>
              <w:ind w:firstLine="420"/>
              <w:rPr>
                <w:rFonts w:ascii="宋体" w:hAnsi="宋体" w:cs="宋体"/>
                <w:snapToGrid w:val="0"/>
                <w:color w:val="auto"/>
                <w:highlight w:val="none"/>
              </w:rPr>
            </w:pPr>
            <w:r>
              <w:rPr>
                <w:rFonts w:hint="eastAsia" w:ascii="宋体" w:hAnsi="宋体" w:cs="宋体"/>
                <w:snapToGrid w:val="0"/>
                <w:color w:val="auto"/>
                <w:highlight w:val="none"/>
              </w:rPr>
              <w:t>我单位于</w:t>
            </w:r>
            <w:r>
              <w:rPr>
                <w:rFonts w:hint="eastAsia" w:ascii="宋体" w:hAnsi="宋体" w:cs="宋体"/>
                <w:snapToGrid w:val="0"/>
                <w:color w:val="auto"/>
                <w:highlight w:val="none"/>
                <w:u w:val="single"/>
                <w:lang w:val="en-US" w:eastAsia="zh-CN"/>
              </w:rPr>
              <w:t xml:space="preserve">   </w:t>
            </w:r>
            <w:r>
              <w:rPr>
                <w:rFonts w:hint="eastAsia" w:ascii="宋体" w:hAnsi="宋体" w:cs="宋体"/>
                <w:snapToGrid w:val="0"/>
                <w:color w:val="auto"/>
                <w:highlight w:val="none"/>
                <w:u w:val="single"/>
              </w:rPr>
              <w:t>年</w:t>
            </w:r>
            <w:r>
              <w:rPr>
                <w:rFonts w:hint="eastAsia" w:ascii="宋体" w:hAnsi="宋体" w:cs="宋体"/>
                <w:snapToGrid w:val="0"/>
                <w:color w:val="auto"/>
                <w:highlight w:val="none"/>
                <w:u w:val="single"/>
                <w:lang w:val="en-US" w:eastAsia="zh-CN"/>
              </w:rPr>
              <w:t xml:space="preserve">   </w:t>
            </w:r>
            <w:r>
              <w:rPr>
                <w:rFonts w:hint="eastAsia" w:ascii="宋体" w:hAnsi="宋体" w:cs="宋体"/>
                <w:snapToGrid w:val="0"/>
                <w:color w:val="auto"/>
                <w:highlight w:val="none"/>
              </w:rPr>
              <w:t>月</w:t>
            </w:r>
            <w:r>
              <w:rPr>
                <w:rFonts w:hint="eastAsia" w:ascii="宋体" w:hAnsi="宋体" w:cs="宋体"/>
                <w:snapToGrid w:val="0"/>
                <w:color w:val="auto"/>
                <w:highlight w:val="none"/>
                <w:u w:val="single"/>
                <w:lang w:val="en-US" w:eastAsia="zh-CN"/>
              </w:rPr>
              <w:t xml:space="preserve">   </w:t>
            </w:r>
            <w:r>
              <w:rPr>
                <w:rFonts w:hint="eastAsia" w:ascii="宋体" w:hAnsi="宋体" w:cs="宋体"/>
                <w:snapToGrid w:val="0"/>
                <w:color w:val="auto"/>
                <w:highlight w:val="none"/>
              </w:rPr>
              <w:t>日，参加</w:t>
            </w:r>
            <w:r>
              <w:rPr>
                <w:rFonts w:hint="eastAsia" w:ascii="宋体" w:hAnsi="宋体" w:cs="宋体"/>
                <w:snapToGrid w:val="0"/>
                <w:color w:val="auto"/>
                <w:highlight w:val="none"/>
                <w:u w:val="single"/>
                <w:lang w:val="en-US" w:eastAsia="zh-CN"/>
              </w:rPr>
              <w:t xml:space="preserve">              </w:t>
            </w:r>
            <w:r>
              <w:rPr>
                <w:rFonts w:hint="eastAsia" w:ascii="宋体" w:hAnsi="宋体" w:cs="宋体"/>
                <w:snapToGrid w:val="0"/>
                <w:color w:val="auto"/>
                <w:highlight w:val="none"/>
              </w:rPr>
              <w:t>项目，汇入投标保证金</w:t>
            </w:r>
            <w:r>
              <w:rPr>
                <w:rFonts w:hint="eastAsia" w:ascii="宋体" w:hAnsi="宋体" w:cs="宋体"/>
                <w:snapToGrid w:val="0"/>
                <w:color w:val="auto"/>
                <w:highlight w:val="none"/>
                <w:u w:val="single"/>
                <w:lang w:val="en-US" w:eastAsia="zh-CN"/>
              </w:rPr>
              <w:t xml:space="preserve">    </w:t>
            </w:r>
            <w:r>
              <w:rPr>
                <w:rFonts w:hint="eastAsia" w:ascii="宋体" w:hAnsi="宋体" w:cs="宋体"/>
                <w:snapToGrid w:val="0"/>
                <w:color w:val="auto"/>
                <w:highlight w:val="none"/>
              </w:rPr>
              <w:t>元。现确定为</w:t>
            </w:r>
            <w:r>
              <w:rPr>
                <w:rFonts w:hint="eastAsia" w:ascii="宋体" w:hAnsi="宋体" w:cs="宋体"/>
                <w:snapToGrid w:val="0"/>
                <w:color w:val="auto"/>
                <w:highlight w:val="none"/>
                <w:lang w:eastAsia="zh-CN"/>
              </w:rPr>
              <w:t>中标</w:t>
            </w:r>
            <w:r>
              <w:rPr>
                <w:rFonts w:hint="eastAsia" w:ascii="宋体" w:hAnsi="宋体" w:cs="宋体"/>
                <w:snapToGrid w:val="0"/>
                <w:color w:val="auto"/>
                <w:highlight w:val="none"/>
              </w:rPr>
              <w:t>人，并已与招标人签订采购合同，特申请退回此笔投标保证金。另附我单位投标保证金付款凭证复印件、公共资源交易中心进场交易确认书复印件。</w:t>
            </w:r>
          </w:p>
          <w:p w14:paraId="39566D3A">
            <w:pPr>
              <w:adjustRightInd w:val="0"/>
              <w:snapToGrid w:val="0"/>
              <w:spacing w:beforeLines="50" w:line="360" w:lineRule="auto"/>
              <w:ind w:firstLine="420"/>
              <w:rPr>
                <w:rFonts w:ascii="宋体" w:hAnsi="宋体" w:cs="宋体"/>
                <w:snapToGrid w:val="0"/>
                <w:color w:val="auto"/>
                <w:highlight w:val="none"/>
              </w:rPr>
            </w:pPr>
            <w:r>
              <w:rPr>
                <w:rFonts w:hint="eastAsia" w:ascii="宋体" w:hAnsi="宋体" w:cs="宋体"/>
                <w:snapToGrid w:val="0"/>
                <w:color w:val="auto"/>
                <w:highlight w:val="none"/>
              </w:rPr>
              <w:t>特此申请！</w:t>
            </w:r>
          </w:p>
          <w:p w14:paraId="2CD840BA">
            <w:pPr>
              <w:adjustRightInd w:val="0"/>
              <w:snapToGrid w:val="0"/>
              <w:spacing w:beforeLines="50" w:line="360" w:lineRule="auto"/>
              <w:ind w:firstLine="420"/>
              <w:jc w:val="left"/>
              <w:rPr>
                <w:rFonts w:ascii="宋体" w:hAnsi="宋体" w:cs="宋体"/>
                <w:snapToGrid w:val="0"/>
                <w:color w:val="auto"/>
                <w:highlight w:val="none"/>
              </w:rPr>
            </w:pPr>
          </w:p>
          <w:p w14:paraId="5674C330">
            <w:pPr>
              <w:spacing w:after="156" w:line="360" w:lineRule="exact"/>
              <w:ind w:firstLine="420"/>
              <w:jc w:val="left"/>
              <w:rPr>
                <w:rFonts w:ascii="宋体" w:hAnsi="宋体" w:cs="宋体"/>
                <w:snapToGrid w:val="0"/>
                <w:color w:val="auto"/>
                <w:highlight w:val="none"/>
              </w:rPr>
            </w:pPr>
            <w:r>
              <w:rPr>
                <w:rFonts w:hint="eastAsia" w:ascii="宋体" w:hAnsi="宋体" w:cs="宋体"/>
                <w:snapToGrid w:val="0"/>
                <w:color w:val="auto"/>
                <w:highlight w:val="none"/>
              </w:rPr>
              <w:t>投标人：（公章）</w:t>
            </w:r>
          </w:p>
          <w:p w14:paraId="676899AD">
            <w:pPr>
              <w:spacing w:after="156" w:line="360" w:lineRule="exact"/>
              <w:ind w:firstLine="420"/>
              <w:jc w:val="right"/>
              <w:rPr>
                <w:rFonts w:ascii="宋体" w:hAnsi="宋体" w:cs="宋体"/>
                <w:snapToGrid w:val="0"/>
                <w:color w:val="auto"/>
                <w:highlight w:val="none"/>
              </w:rPr>
            </w:pPr>
            <w:r>
              <w:rPr>
                <w:rFonts w:hint="eastAsia" w:ascii="宋体" w:hAnsi="宋体" w:cs="宋体"/>
                <w:snapToGrid w:val="0"/>
                <w:color w:val="auto"/>
                <w:highlight w:val="none"/>
              </w:rPr>
              <w:t>年</w:t>
            </w:r>
            <w:r>
              <w:rPr>
                <w:rFonts w:hint="eastAsia" w:ascii="宋体" w:hAnsi="宋体" w:cs="宋体"/>
                <w:snapToGrid w:val="0"/>
                <w:color w:val="auto"/>
                <w:highlight w:val="none"/>
                <w:lang w:val="en-US" w:eastAsia="zh-CN"/>
              </w:rPr>
              <w:t xml:space="preserve">  </w:t>
            </w:r>
            <w:r>
              <w:rPr>
                <w:rFonts w:hint="eastAsia" w:ascii="宋体" w:hAnsi="宋体" w:cs="宋体"/>
                <w:snapToGrid w:val="0"/>
                <w:color w:val="auto"/>
                <w:highlight w:val="none"/>
              </w:rPr>
              <w:t>月</w:t>
            </w:r>
            <w:r>
              <w:rPr>
                <w:rFonts w:hint="eastAsia" w:ascii="宋体" w:hAnsi="宋体" w:cs="宋体"/>
                <w:snapToGrid w:val="0"/>
                <w:color w:val="auto"/>
                <w:highlight w:val="none"/>
                <w:lang w:val="en-US" w:eastAsia="zh-CN"/>
              </w:rPr>
              <w:t xml:space="preserve">  </w:t>
            </w:r>
            <w:r>
              <w:rPr>
                <w:rFonts w:hint="eastAsia" w:ascii="宋体" w:hAnsi="宋体" w:cs="宋体"/>
                <w:snapToGrid w:val="0"/>
                <w:color w:val="auto"/>
                <w:highlight w:val="none"/>
              </w:rPr>
              <w:t>日</w:t>
            </w:r>
          </w:p>
          <w:p w14:paraId="055562D1">
            <w:pPr>
              <w:spacing w:after="156" w:line="360" w:lineRule="exact"/>
              <w:ind w:firstLine="420"/>
              <w:rPr>
                <w:rFonts w:ascii="宋体" w:hAnsi="宋体" w:cs="宋体"/>
                <w:b/>
                <w:snapToGrid w:val="0"/>
                <w:color w:val="auto"/>
                <w:highlight w:val="none"/>
              </w:rPr>
            </w:pPr>
            <w:r>
              <w:rPr>
                <w:rFonts w:hint="eastAsia" w:ascii="宋体" w:hAnsi="宋体" w:cs="宋体"/>
                <w:snapToGrid w:val="0"/>
                <w:color w:val="auto"/>
                <w:highlight w:val="none"/>
              </w:rPr>
              <w:t xml:space="preserve">招标人：（意见加盖公章）                           </w:t>
            </w:r>
            <w:r>
              <w:rPr>
                <w:rFonts w:hint="eastAsia" w:ascii="宋体" w:hAnsi="宋体" w:cs="宋体"/>
                <w:snapToGrid w:val="0"/>
                <w:color w:val="auto"/>
                <w:highlight w:val="none"/>
                <w:lang w:val="en-US" w:eastAsia="zh-CN"/>
              </w:rPr>
              <w:t xml:space="preserve">    </w:t>
            </w:r>
            <w:r>
              <w:rPr>
                <w:rFonts w:hint="eastAsia" w:ascii="宋体" w:hAnsi="宋体" w:cs="宋体"/>
                <w:snapToGrid w:val="0"/>
                <w:color w:val="auto"/>
                <w:highlight w:val="none"/>
              </w:rPr>
              <w:t xml:space="preserve">            </w:t>
            </w:r>
            <w:r>
              <w:rPr>
                <w:rFonts w:hint="eastAsia" w:ascii="宋体" w:hAnsi="宋体" w:cs="宋体"/>
                <w:snapToGrid w:val="0"/>
                <w:color w:val="auto"/>
                <w:highlight w:val="none"/>
                <w:lang w:val="en-US" w:eastAsia="zh-CN"/>
              </w:rPr>
              <w:t xml:space="preserve">  </w:t>
            </w:r>
            <w:r>
              <w:rPr>
                <w:rFonts w:hint="eastAsia" w:ascii="宋体" w:hAnsi="宋体" w:cs="宋体"/>
                <w:snapToGrid w:val="0"/>
                <w:color w:val="auto"/>
                <w:highlight w:val="none"/>
              </w:rPr>
              <w:t xml:space="preserve"> 年</w:t>
            </w:r>
            <w:r>
              <w:rPr>
                <w:rFonts w:hint="eastAsia" w:ascii="宋体" w:hAnsi="宋体" w:cs="宋体"/>
                <w:snapToGrid w:val="0"/>
                <w:color w:val="auto"/>
                <w:highlight w:val="none"/>
                <w:lang w:val="en-US" w:eastAsia="zh-CN"/>
              </w:rPr>
              <w:t xml:space="preserve">  </w:t>
            </w:r>
            <w:r>
              <w:rPr>
                <w:rFonts w:hint="eastAsia" w:ascii="宋体" w:hAnsi="宋体" w:cs="宋体"/>
                <w:snapToGrid w:val="0"/>
                <w:color w:val="auto"/>
                <w:highlight w:val="none"/>
              </w:rPr>
              <w:t>月</w:t>
            </w:r>
            <w:r>
              <w:rPr>
                <w:rFonts w:hint="eastAsia" w:ascii="宋体" w:hAnsi="宋体" w:cs="宋体"/>
                <w:snapToGrid w:val="0"/>
                <w:color w:val="auto"/>
                <w:highlight w:val="none"/>
                <w:lang w:val="en-US" w:eastAsia="zh-CN"/>
              </w:rPr>
              <w:t xml:space="preserve">  </w:t>
            </w:r>
            <w:r>
              <w:rPr>
                <w:rFonts w:hint="eastAsia" w:ascii="宋体" w:hAnsi="宋体" w:cs="宋体"/>
                <w:snapToGrid w:val="0"/>
                <w:color w:val="auto"/>
                <w:highlight w:val="none"/>
              </w:rPr>
              <w:t>日</w:t>
            </w:r>
          </w:p>
        </w:tc>
      </w:tr>
    </w:tbl>
    <w:p w14:paraId="1D6BF8D0">
      <w:pPr>
        <w:adjustRightInd w:val="0"/>
        <w:snapToGrid w:val="0"/>
        <w:spacing w:line="360" w:lineRule="auto"/>
        <w:ind w:firstLine="422" w:firstLineChars="200"/>
        <w:rPr>
          <w:rFonts w:ascii="宋体" w:hAnsi="宋体" w:cs="宋体"/>
          <w:b/>
          <w:snapToGrid w:val="0"/>
          <w:color w:val="auto"/>
          <w:highlight w:val="none"/>
        </w:rPr>
      </w:pPr>
      <w:r>
        <w:rPr>
          <w:rFonts w:hint="eastAsia" w:ascii="宋体" w:hAnsi="宋体" w:cs="宋体"/>
          <w:b/>
          <w:snapToGrid w:val="0"/>
          <w:color w:val="auto"/>
          <w:highlight w:val="none"/>
        </w:rPr>
        <w:t>4、投标人有下列情况之一的，将不予退回投标保证金：</w:t>
      </w:r>
    </w:p>
    <w:p w14:paraId="6747A989">
      <w:pPr>
        <w:adjustRightInd w:val="0"/>
        <w:snapToGrid w:val="0"/>
        <w:spacing w:line="360" w:lineRule="auto"/>
        <w:ind w:firstLine="420" w:firstLineChars="200"/>
        <w:rPr>
          <w:rFonts w:ascii="宋体" w:hAnsi="宋体" w:cs="宋体"/>
          <w:snapToGrid w:val="0"/>
          <w:color w:val="auto"/>
          <w:highlight w:val="none"/>
        </w:rPr>
      </w:pPr>
      <w:r>
        <w:rPr>
          <w:rFonts w:hint="eastAsia" w:ascii="宋体" w:hAnsi="宋体" w:cs="宋体"/>
          <w:snapToGrid w:val="0"/>
          <w:color w:val="auto"/>
          <w:highlight w:val="none"/>
        </w:rPr>
        <w:t>（1）投标人在投标有效期内撤销其投标文件的；</w:t>
      </w:r>
    </w:p>
    <w:p w14:paraId="70C7DED0">
      <w:pPr>
        <w:adjustRightInd w:val="0"/>
        <w:snapToGrid w:val="0"/>
        <w:spacing w:line="360" w:lineRule="auto"/>
        <w:ind w:firstLine="420" w:firstLineChars="200"/>
        <w:rPr>
          <w:rFonts w:ascii="宋体" w:hAnsi="宋体" w:cs="宋体"/>
          <w:snapToGrid w:val="0"/>
          <w:color w:val="auto"/>
          <w:highlight w:val="none"/>
        </w:rPr>
      </w:pPr>
      <w:r>
        <w:rPr>
          <w:rFonts w:hint="eastAsia" w:ascii="宋体" w:hAnsi="宋体" w:cs="宋体"/>
          <w:snapToGrid w:val="0"/>
          <w:color w:val="auto"/>
          <w:highlight w:val="none"/>
        </w:rPr>
        <w:t>（2）成交投标人无正当理由不与招标人订立合同，在签订合同时向招标人提出附加条件，或者不按照招标文件要求提交履约保证金的。</w:t>
      </w:r>
    </w:p>
    <w:p w14:paraId="40377308">
      <w:pPr>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088BC3A1">
      <w:pPr>
        <w:widowControl/>
        <w:jc w:val="center"/>
        <w:rPr>
          <w:color w:val="auto"/>
          <w:highlight w:val="none"/>
        </w:rPr>
      </w:pPr>
      <w:r>
        <w:rPr>
          <w:rFonts w:hint="eastAsia" w:ascii="黑体" w:hAnsi="宋体" w:eastAsia="黑体" w:cs="黑体"/>
          <w:b/>
          <w:bCs/>
          <w:color w:val="auto"/>
          <w:kern w:val="0"/>
          <w:sz w:val="28"/>
          <w:szCs w:val="28"/>
          <w:highlight w:val="none"/>
        </w:rPr>
        <w:t>投标保函（格式）</w:t>
      </w:r>
    </w:p>
    <w:p w14:paraId="7DBC5820">
      <w:pPr>
        <w:widowControl/>
        <w:jc w:val="center"/>
        <w:rPr>
          <w:color w:val="auto"/>
          <w:highlight w:val="none"/>
        </w:rPr>
      </w:pPr>
      <w:r>
        <w:rPr>
          <w:rFonts w:hint="eastAsia" w:ascii="宋体" w:hAnsi="宋体" w:cs="宋体"/>
          <w:color w:val="auto"/>
          <w:kern w:val="0"/>
          <w:szCs w:val="21"/>
          <w:highlight w:val="none"/>
        </w:rPr>
        <w:t>（金融机构、担保机构保函）</w:t>
      </w:r>
    </w:p>
    <w:p w14:paraId="440FDDD7">
      <w:pPr>
        <w:widowControl/>
        <w:spacing w:line="360" w:lineRule="auto"/>
        <w:jc w:val="left"/>
        <w:rPr>
          <w:b/>
          <w:bCs/>
          <w:color w:val="auto"/>
          <w:highlight w:val="none"/>
        </w:rPr>
      </w:pPr>
      <w:r>
        <w:rPr>
          <w:rFonts w:hint="eastAsia" w:ascii="宋体" w:hAnsi="宋体" w:cs="宋体"/>
          <w:b/>
          <w:bCs/>
          <w:color w:val="auto"/>
          <w:kern w:val="0"/>
          <w:szCs w:val="21"/>
          <w:highlight w:val="none"/>
        </w:rPr>
        <w:t xml:space="preserve">（招标人名称）： </w:t>
      </w:r>
    </w:p>
    <w:p w14:paraId="61E59EE4">
      <w:pPr>
        <w:widowControl/>
        <w:spacing w:line="360" w:lineRule="auto"/>
        <w:ind w:firstLine="420" w:firstLineChars="200"/>
        <w:jc w:val="left"/>
        <w:rPr>
          <w:color w:val="auto"/>
          <w:highlight w:val="none"/>
        </w:rPr>
      </w:pPr>
      <w:r>
        <w:rPr>
          <w:rFonts w:hint="eastAsia" w:ascii="宋体" w:hAnsi="宋体" w:cs="宋体"/>
          <w:color w:val="auto"/>
          <w:kern w:val="0"/>
          <w:szCs w:val="21"/>
          <w:highlight w:val="none"/>
        </w:rPr>
        <w:t>鉴于（投标人名称）（以下称“投标人”）于年月日参加（项目名称）政府采购招标（政采购编号：，采购代理编号：   ）的投标，（担保人名称，以下简称“我方”）无条件地、不可撤 销地保证：若投标人在投标有效期内撤销投标文件，或中标后无正当理由不与招标人订立合同，或在签订合同时向招标人提出附加条件，或不按照招标文件要求提交履约保证金，以及发生招标文件明确规定可以不予退还投标保证金的其他情形，我方承担保证责任。收到你方书面通知后，我方在 7 日内向你方无条件支付人民币</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（大写）。本保函在投标有效期内保持有效。要求我方承担保证责任的通知应在投标有效期内送达我方。</w:t>
      </w:r>
    </w:p>
    <w:p w14:paraId="6DF5091D">
      <w:pPr>
        <w:widowControl/>
        <w:spacing w:line="360" w:lineRule="auto"/>
        <w:ind w:firstLine="420" w:firstLineChars="200"/>
        <w:jc w:val="left"/>
        <w:rPr>
          <w:color w:val="auto"/>
          <w:highlight w:val="none"/>
        </w:rPr>
      </w:pPr>
      <w:r>
        <w:rPr>
          <w:rFonts w:hint="eastAsia" w:ascii="宋体" w:hAnsi="宋体" w:cs="宋体"/>
          <w:color w:val="auto"/>
          <w:kern w:val="0"/>
          <w:szCs w:val="21"/>
          <w:highlight w:val="none"/>
        </w:rPr>
        <w:t xml:space="preserve">担保人名称：（盖单位章） </w:t>
      </w:r>
    </w:p>
    <w:p w14:paraId="33DA0FCC">
      <w:pPr>
        <w:widowControl/>
        <w:spacing w:line="360" w:lineRule="auto"/>
        <w:ind w:firstLine="420" w:firstLineChars="200"/>
        <w:jc w:val="left"/>
        <w:rPr>
          <w:color w:val="auto"/>
          <w:highlight w:val="none"/>
        </w:rPr>
      </w:pPr>
      <w:r>
        <w:rPr>
          <w:rFonts w:hint="eastAsia" w:ascii="宋体" w:hAnsi="宋体" w:cs="宋体"/>
          <w:color w:val="auto"/>
          <w:kern w:val="0"/>
          <w:szCs w:val="21"/>
          <w:highlight w:val="none"/>
        </w:rPr>
        <w:t xml:space="preserve">法定代表人（单位负责人）或委托代理人：（签字或印章） </w:t>
      </w:r>
    </w:p>
    <w:p w14:paraId="6EA509B1">
      <w:pPr>
        <w:widowControl/>
        <w:spacing w:line="360" w:lineRule="auto"/>
        <w:ind w:firstLine="420" w:firstLineChars="200"/>
        <w:jc w:val="left"/>
        <w:rPr>
          <w:color w:val="auto"/>
          <w:highlight w:val="none"/>
        </w:rPr>
      </w:pPr>
      <w:r>
        <w:rPr>
          <w:rFonts w:hint="eastAsia" w:ascii="宋体" w:hAnsi="宋体" w:cs="宋体"/>
          <w:color w:val="auto"/>
          <w:kern w:val="0"/>
          <w:szCs w:val="21"/>
          <w:highlight w:val="none"/>
        </w:rPr>
        <w:t xml:space="preserve">地 址： </w:t>
      </w:r>
    </w:p>
    <w:p w14:paraId="325703FA">
      <w:pPr>
        <w:widowControl/>
        <w:spacing w:line="360" w:lineRule="auto"/>
        <w:ind w:firstLine="420" w:firstLineChars="200"/>
        <w:jc w:val="left"/>
        <w:rPr>
          <w:color w:val="auto"/>
          <w:highlight w:val="none"/>
        </w:rPr>
      </w:pPr>
      <w:r>
        <w:rPr>
          <w:rFonts w:hint="eastAsia" w:ascii="宋体" w:hAnsi="宋体" w:cs="宋体"/>
          <w:color w:val="auto"/>
          <w:kern w:val="0"/>
          <w:szCs w:val="21"/>
          <w:highlight w:val="none"/>
        </w:rPr>
        <w:t xml:space="preserve">邮政编码： </w:t>
      </w:r>
    </w:p>
    <w:p w14:paraId="4D20FDC1">
      <w:pPr>
        <w:widowControl/>
        <w:spacing w:line="360" w:lineRule="auto"/>
        <w:ind w:firstLine="420" w:firstLineChars="200"/>
        <w:jc w:val="left"/>
        <w:rPr>
          <w:color w:val="auto"/>
          <w:highlight w:val="none"/>
        </w:rPr>
      </w:pPr>
      <w:r>
        <w:rPr>
          <w:rFonts w:hint="eastAsia" w:ascii="宋体" w:hAnsi="宋体" w:cs="宋体"/>
          <w:color w:val="auto"/>
          <w:kern w:val="0"/>
          <w:szCs w:val="21"/>
          <w:highlight w:val="none"/>
        </w:rPr>
        <w:t xml:space="preserve">电 话： </w:t>
      </w:r>
    </w:p>
    <w:p w14:paraId="573C2518">
      <w:pPr>
        <w:widowControl/>
        <w:spacing w:line="360" w:lineRule="auto"/>
        <w:ind w:firstLine="420" w:firstLineChars="200"/>
        <w:jc w:val="left"/>
        <w:rPr>
          <w:color w:val="auto"/>
          <w:highlight w:val="none"/>
        </w:rPr>
      </w:pPr>
      <w:r>
        <w:rPr>
          <w:rFonts w:hint="eastAsia" w:ascii="宋体" w:hAnsi="宋体" w:cs="宋体"/>
          <w:color w:val="auto"/>
          <w:kern w:val="0"/>
          <w:szCs w:val="21"/>
          <w:highlight w:val="none"/>
        </w:rPr>
        <w:t>年  月  日</w:t>
      </w:r>
    </w:p>
    <w:p w14:paraId="3E72E655">
      <w:pPr>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12CB88B3">
      <w:pPr>
        <w:pStyle w:val="6"/>
        <w:adjustRightInd w:val="0"/>
        <w:snapToGrid w:val="0"/>
        <w:spacing w:before="0" w:after="0" w:line="360" w:lineRule="auto"/>
        <w:jc w:val="center"/>
        <w:rPr>
          <w:rFonts w:ascii="宋体" w:hAnsi="宋体" w:cs="宋体"/>
          <w:color w:val="auto"/>
          <w:sz w:val="28"/>
          <w:szCs w:val="28"/>
          <w:highlight w:val="none"/>
        </w:rPr>
      </w:pPr>
      <w:bookmarkStart w:id="91" w:name="_Toc28751"/>
      <w:bookmarkStart w:id="92" w:name="_Toc15321"/>
      <w:bookmarkStart w:id="93" w:name="_Toc31621"/>
      <w:bookmarkStart w:id="94" w:name="_Toc31097"/>
      <w:bookmarkStart w:id="95" w:name="_Toc14644"/>
      <w:r>
        <w:rPr>
          <w:rFonts w:hint="eastAsia" w:ascii="宋体" w:hAnsi="宋体" w:cs="宋体"/>
          <w:color w:val="auto"/>
          <w:sz w:val="28"/>
          <w:szCs w:val="28"/>
          <w:highlight w:val="none"/>
        </w:rPr>
        <w:t>（三）法定代表人（单位负责人）身份证明或授权委托书</w:t>
      </w:r>
      <w:bookmarkEnd w:id="91"/>
      <w:bookmarkEnd w:id="92"/>
      <w:bookmarkEnd w:id="93"/>
      <w:bookmarkEnd w:id="94"/>
      <w:bookmarkEnd w:id="95"/>
    </w:p>
    <w:p w14:paraId="00EE53BB">
      <w:pPr>
        <w:tabs>
          <w:tab w:val="left" w:pos="3880"/>
        </w:tabs>
        <w:autoSpaceDE w:val="0"/>
        <w:autoSpaceDN w:val="0"/>
        <w:adjustRightInd w:val="0"/>
        <w:snapToGrid w:val="0"/>
        <w:spacing w:line="360" w:lineRule="auto"/>
        <w:ind w:left="100" w:right="-20"/>
        <w:jc w:val="left"/>
        <w:rPr>
          <w:rFonts w:ascii="宋体" w:hAnsi="宋体" w:cs="宋体"/>
          <w:color w:val="auto"/>
          <w:kern w:val="0"/>
          <w:position w:val="-4"/>
          <w:szCs w:val="21"/>
          <w:highlight w:val="none"/>
        </w:rPr>
      </w:pPr>
    </w:p>
    <w:p w14:paraId="76BC5D6B">
      <w:pPr>
        <w:tabs>
          <w:tab w:val="left" w:pos="3880"/>
        </w:tabs>
        <w:autoSpaceDE w:val="0"/>
        <w:autoSpaceDN w:val="0"/>
        <w:adjustRightInd w:val="0"/>
        <w:snapToGrid w:val="0"/>
        <w:spacing w:line="360" w:lineRule="auto"/>
        <w:ind w:left="100" w:right="-20"/>
        <w:jc w:val="center"/>
        <w:rPr>
          <w:rFonts w:ascii="宋体" w:hAnsi="宋体" w:cs="宋体"/>
          <w:color w:val="auto"/>
          <w:kern w:val="0"/>
          <w:sz w:val="28"/>
          <w:szCs w:val="28"/>
          <w:highlight w:val="none"/>
          <w:lang w:val="zh-CN" w:bidi="zh-CN"/>
        </w:rPr>
      </w:pPr>
      <w:r>
        <w:rPr>
          <w:rFonts w:hint="eastAsia" w:ascii="宋体" w:hAnsi="宋体" w:cs="宋体"/>
          <w:color w:val="auto"/>
          <w:kern w:val="0"/>
          <w:sz w:val="28"/>
          <w:szCs w:val="28"/>
          <w:highlight w:val="none"/>
          <w:lang w:val="zh-CN" w:bidi="zh-CN"/>
        </w:rPr>
        <w:t>法定代表人（单位负责人）身份证明</w:t>
      </w:r>
    </w:p>
    <w:p w14:paraId="314327A5">
      <w:pPr>
        <w:tabs>
          <w:tab w:val="left" w:pos="3880"/>
        </w:tabs>
        <w:autoSpaceDE w:val="0"/>
        <w:autoSpaceDN w:val="0"/>
        <w:adjustRightInd w:val="0"/>
        <w:snapToGrid w:val="0"/>
        <w:spacing w:line="360" w:lineRule="auto"/>
        <w:ind w:left="100" w:right="-20"/>
        <w:jc w:val="left"/>
        <w:rPr>
          <w:rFonts w:ascii="宋体" w:hAnsi="宋体" w:cs="宋体"/>
          <w:color w:val="auto"/>
          <w:kern w:val="0"/>
          <w:position w:val="-4"/>
          <w:szCs w:val="21"/>
          <w:highlight w:val="none"/>
        </w:rPr>
      </w:pPr>
    </w:p>
    <w:p w14:paraId="016783A9">
      <w:pPr>
        <w:tabs>
          <w:tab w:val="left" w:pos="3880"/>
        </w:tabs>
        <w:autoSpaceDE w:val="0"/>
        <w:autoSpaceDN w:val="0"/>
        <w:adjustRightInd w:val="0"/>
        <w:snapToGrid w:val="0"/>
        <w:spacing w:line="360" w:lineRule="auto"/>
        <w:ind w:left="100" w:right="-20"/>
        <w:jc w:val="left"/>
        <w:rPr>
          <w:rFonts w:ascii="宋体" w:hAnsi="宋体" w:cs="宋体"/>
          <w:color w:val="auto"/>
          <w:kern w:val="0"/>
          <w:szCs w:val="21"/>
          <w:highlight w:val="none"/>
          <w:u w:val="single"/>
        </w:rPr>
      </w:pPr>
      <w:r>
        <w:rPr>
          <w:rFonts w:hint="eastAsia" w:ascii="宋体" w:hAnsi="宋体" w:cs="宋体"/>
          <w:color w:val="auto"/>
          <w:kern w:val="0"/>
          <w:position w:val="-4"/>
          <w:szCs w:val="21"/>
          <w:highlight w:val="none"/>
        </w:rPr>
        <w:t>投标人名</w:t>
      </w:r>
      <w:r>
        <w:rPr>
          <w:rFonts w:hint="eastAsia" w:ascii="宋体" w:hAnsi="宋体" w:cs="宋体"/>
          <w:color w:val="auto"/>
          <w:spacing w:val="-2"/>
          <w:kern w:val="0"/>
          <w:position w:val="-4"/>
          <w:szCs w:val="21"/>
          <w:highlight w:val="none"/>
        </w:rPr>
        <w:t>称</w:t>
      </w:r>
      <w:r>
        <w:rPr>
          <w:rFonts w:hint="eastAsia" w:ascii="宋体" w:hAnsi="宋体" w:cs="宋体"/>
          <w:color w:val="auto"/>
          <w:kern w:val="0"/>
          <w:position w:val="-4"/>
          <w:szCs w:val="21"/>
          <w:highlight w:val="none"/>
        </w:rPr>
        <w:t>：</w:t>
      </w:r>
      <w:r>
        <w:rPr>
          <w:rFonts w:hint="eastAsia" w:ascii="宋体" w:hAnsi="宋体" w:cs="宋体"/>
          <w:color w:val="auto"/>
          <w:kern w:val="0"/>
          <w:position w:val="-4"/>
          <w:szCs w:val="21"/>
          <w:highlight w:val="none"/>
          <w:u w:val="single"/>
        </w:rPr>
        <w:t xml:space="preserve">               </w:t>
      </w:r>
    </w:p>
    <w:p w14:paraId="578C9B54">
      <w:pPr>
        <w:tabs>
          <w:tab w:val="left" w:pos="3880"/>
        </w:tabs>
        <w:autoSpaceDE w:val="0"/>
        <w:autoSpaceDN w:val="0"/>
        <w:adjustRightInd w:val="0"/>
        <w:snapToGrid w:val="0"/>
        <w:spacing w:line="360" w:lineRule="auto"/>
        <w:ind w:left="100" w:right="-20"/>
        <w:jc w:val="left"/>
        <w:rPr>
          <w:rFonts w:ascii="宋体" w:hAnsi="宋体" w:cs="宋体"/>
          <w:color w:val="auto"/>
          <w:kern w:val="0"/>
          <w:szCs w:val="21"/>
          <w:highlight w:val="none"/>
          <w:u w:val="single"/>
        </w:rPr>
      </w:pPr>
      <w:r>
        <w:rPr>
          <w:rFonts w:hint="eastAsia" w:ascii="宋体" w:hAnsi="宋体" w:cs="宋体"/>
          <w:color w:val="auto"/>
          <w:kern w:val="0"/>
          <w:position w:val="-2"/>
          <w:szCs w:val="21"/>
          <w:highlight w:val="none"/>
        </w:rPr>
        <w:t>统一社会信用代码：</w:t>
      </w:r>
      <w:r>
        <w:rPr>
          <w:rFonts w:hint="eastAsia" w:ascii="宋体" w:hAnsi="宋体" w:cs="宋体"/>
          <w:color w:val="auto"/>
          <w:kern w:val="0"/>
          <w:position w:val="-4"/>
          <w:szCs w:val="21"/>
          <w:highlight w:val="none"/>
          <w:u w:val="single"/>
        </w:rPr>
        <w:t xml:space="preserve">               </w:t>
      </w:r>
    </w:p>
    <w:p w14:paraId="3BB02EC8">
      <w:pPr>
        <w:tabs>
          <w:tab w:val="left" w:pos="3880"/>
        </w:tabs>
        <w:autoSpaceDE w:val="0"/>
        <w:autoSpaceDN w:val="0"/>
        <w:adjustRightInd w:val="0"/>
        <w:snapToGrid w:val="0"/>
        <w:spacing w:line="360" w:lineRule="auto"/>
        <w:ind w:left="100" w:right="-20"/>
        <w:jc w:val="left"/>
        <w:rPr>
          <w:rFonts w:ascii="宋体" w:hAnsi="宋体" w:cs="宋体"/>
          <w:color w:val="auto"/>
          <w:kern w:val="0"/>
          <w:szCs w:val="21"/>
          <w:highlight w:val="none"/>
          <w:u w:val="single"/>
        </w:rPr>
      </w:pPr>
      <w:r>
        <w:rPr>
          <w:rFonts w:hint="eastAsia" w:ascii="宋体" w:hAnsi="宋体" w:cs="宋体"/>
          <w:color w:val="auto"/>
          <w:kern w:val="0"/>
          <w:position w:val="-2"/>
          <w:szCs w:val="21"/>
          <w:highlight w:val="none"/>
        </w:rPr>
        <w:t>注册地址：</w:t>
      </w:r>
      <w:r>
        <w:rPr>
          <w:rFonts w:hint="eastAsia" w:ascii="宋体" w:hAnsi="宋体" w:cs="宋体"/>
          <w:color w:val="auto"/>
          <w:kern w:val="0"/>
          <w:position w:val="-4"/>
          <w:szCs w:val="21"/>
          <w:highlight w:val="none"/>
          <w:u w:val="single"/>
        </w:rPr>
        <w:t xml:space="preserve">               </w:t>
      </w:r>
    </w:p>
    <w:p w14:paraId="020C1B5F">
      <w:pPr>
        <w:tabs>
          <w:tab w:val="left" w:pos="2400"/>
          <w:tab w:val="left" w:pos="3880"/>
          <w:tab w:val="left" w:pos="5340"/>
          <w:tab w:val="left" w:pos="6820"/>
        </w:tabs>
        <w:autoSpaceDE w:val="0"/>
        <w:autoSpaceDN w:val="0"/>
        <w:adjustRightInd w:val="0"/>
        <w:snapToGrid w:val="0"/>
        <w:spacing w:line="360" w:lineRule="auto"/>
        <w:ind w:left="102" w:right="-23"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position w:val="-2"/>
          <w:szCs w:val="21"/>
          <w:highlight w:val="none"/>
        </w:rPr>
        <w:t>姓名</w:t>
      </w:r>
      <w:r>
        <w:rPr>
          <w:rFonts w:hint="eastAsia" w:ascii="宋体" w:hAnsi="宋体" w:cs="宋体"/>
          <w:color w:val="auto"/>
          <w:spacing w:val="-2"/>
          <w:kern w:val="0"/>
          <w:position w:val="-2"/>
          <w:szCs w:val="21"/>
          <w:highlight w:val="none"/>
        </w:rPr>
        <w:t>：</w:t>
      </w:r>
      <w:r>
        <w:rPr>
          <w:rFonts w:hint="eastAsia" w:ascii="宋体" w:hAnsi="宋体" w:cs="宋体"/>
          <w:color w:val="auto"/>
          <w:kern w:val="0"/>
          <w:position w:val="-4"/>
          <w:szCs w:val="21"/>
          <w:highlight w:val="none"/>
          <w:u w:val="single"/>
        </w:rPr>
        <w:t xml:space="preserve">       </w:t>
      </w:r>
      <w:r>
        <w:rPr>
          <w:rFonts w:hint="eastAsia" w:ascii="宋体" w:hAnsi="宋体" w:cs="宋体"/>
          <w:color w:val="auto"/>
          <w:kern w:val="0"/>
          <w:position w:val="-2"/>
          <w:szCs w:val="21"/>
          <w:highlight w:val="none"/>
        </w:rPr>
        <w:t>性别</w:t>
      </w:r>
      <w:r>
        <w:rPr>
          <w:rFonts w:hint="eastAsia" w:ascii="宋体" w:hAnsi="宋体" w:cs="宋体"/>
          <w:color w:val="auto"/>
          <w:spacing w:val="-2"/>
          <w:kern w:val="0"/>
          <w:position w:val="-2"/>
          <w:szCs w:val="21"/>
          <w:highlight w:val="none"/>
        </w:rPr>
        <w:t>：</w:t>
      </w:r>
      <w:r>
        <w:rPr>
          <w:rFonts w:hint="eastAsia" w:ascii="宋体" w:hAnsi="宋体" w:cs="宋体"/>
          <w:color w:val="auto"/>
          <w:kern w:val="0"/>
          <w:position w:val="-4"/>
          <w:szCs w:val="21"/>
          <w:highlight w:val="none"/>
          <w:u w:val="single"/>
        </w:rPr>
        <w:t xml:space="preserve">       </w:t>
      </w:r>
      <w:r>
        <w:rPr>
          <w:rFonts w:hint="eastAsia" w:ascii="宋体" w:hAnsi="宋体" w:cs="宋体"/>
          <w:color w:val="auto"/>
          <w:kern w:val="0"/>
          <w:position w:val="-2"/>
          <w:szCs w:val="21"/>
          <w:highlight w:val="none"/>
        </w:rPr>
        <w:t>年</w:t>
      </w:r>
      <w:r>
        <w:rPr>
          <w:rFonts w:hint="eastAsia" w:ascii="宋体" w:hAnsi="宋体" w:cs="宋体"/>
          <w:color w:val="auto"/>
          <w:spacing w:val="-2"/>
          <w:kern w:val="0"/>
          <w:position w:val="-2"/>
          <w:szCs w:val="21"/>
          <w:highlight w:val="none"/>
        </w:rPr>
        <w:t>龄</w:t>
      </w:r>
      <w:r>
        <w:rPr>
          <w:rFonts w:hint="eastAsia" w:ascii="宋体" w:hAnsi="宋体" w:cs="宋体"/>
          <w:color w:val="auto"/>
          <w:kern w:val="0"/>
          <w:position w:val="-2"/>
          <w:szCs w:val="21"/>
          <w:highlight w:val="none"/>
        </w:rPr>
        <w:t>：</w:t>
      </w:r>
      <w:r>
        <w:rPr>
          <w:rFonts w:hint="eastAsia" w:ascii="宋体" w:hAnsi="宋体" w:cs="宋体"/>
          <w:color w:val="auto"/>
          <w:kern w:val="0"/>
          <w:position w:val="-4"/>
          <w:szCs w:val="21"/>
          <w:highlight w:val="none"/>
          <w:u w:val="single"/>
        </w:rPr>
        <w:t xml:space="preserve">       </w:t>
      </w:r>
      <w:r>
        <w:rPr>
          <w:rFonts w:hint="eastAsia" w:ascii="宋体" w:hAnsi="宋体" w:cs="宋体"/>
          <w:color w:val="auto"/>
          <w:kern w:val="0"/>
          <w:position w:val="-2"/>
          <w:szCs w:val="21"/>
          <w:highlight w:val="none"/>
        </w:rPr>
        <w:t>职</w:t>
      </w:r>
      <w:r>
        <w:rPr>
          <w:rFonts w:hint="eastAsia" w:ascii="宋体" w:hAnsi="宋体" w:cs="宋体"/>
          <w:color w:val="auto"/>
          <w:spacing w:val="-2"/>
          <w:kern w:val="0"/>
          <w:position w:val="-2"/>
          <w:szCs w:val="21"/>
          <w:highlight w:val="none"/>
        </w:rPr>
        <w:t>务</w:t>
      </w:r>
      <w:r>
        <w:rPr>
          <w:rFonts w:hint="eastAsia" w:ascii="宋体" w:hAnsi="宋体" w:cs="宋体"/>
          <w:color w:val="auto"/>
          <w:kern w:val="0"/>
          <w:position w:val="-2"/>
          <w:szCs w:val="21"/>
          <w:highlight w:val="none"/>
        </w:rPr>
        <w:t>：</w:t>
      </w:r>
      <w:r>
        <w:rPr>
          <w:rFonts w:hint="eastAsia" w:ascii="宋体" w:hAnsi="宋体" w:cs="宋体"/>
          <w:color w:val="auto"/>
          <w:kern w:val="0"/>
          <w:position w:val="-4"/>
          <w:szCs w:val="21"/>
          <w:highlight w:val="none"/>
          <w:u w:val="single"/>
        </w:rPr>
        <w:t xml:space="preserve">       </w:t>
      </w:r>
      <w:r>
        <w:rPr>
          <w:rFonts w:hint="eastAsia" w:ascii="宋体" w:hAnsi="宋体" w:cs="宋体"/>
          <w:color w:val="auto"/>
          <w:kern w:val="0"/>
          <w:position w:val="-2"/>
          <w:szCs w:val="21"/>
          <w:highlight w:val="none"/>
        </w:rPr>
        <w:t>系</w:t>
      </w:r>
      <w:r>
        <w:rPr>
          <w:rFonts w:hint="eastAsia" w:ascii="宋体" w:hAnsi="宋体" w:cs="宋体"/>
          <w:color w:val="auto"/>
          <w:spacing w:val="-2"/>
          <w:kern w:val="0"/>
          <w:position w:val="-2"/>
          <w:szCs w:val="21"/>
          <w:highlight w:val="none"/>
        </w:rPr>
        <w:t>（</w:t>
      </w:r>
      <w:r>
        <w:rPr>
          <w:rFonts w:hint="eastAsia" w:ascii="宋体" w:hAnsi="宋体" w:eastAsia="宋体" w:cs="宋体"/>
          <w:color w:val="auto"/>
          <w:kern w:val="0"/>
          <w:position w:val="-4"/>
          <w:szCs w:val="21"/>
          <w:highlight w:val="none"/>
          <w:u w:val="single"/>
        </w:rPr>
        <w:t xml:space="preserve">       投标人名称  </w:t>
      </w:r>
      <w:r>
        <w:rPr>
          <w:rFonts w:hint="eastAsia" w:ascii="宋体" w:hAnsi="宋体" w:cs="宋体"/>
          <w:color w:val="auto"/>
          <w:spacing w:val="-2"/>
          <w:kern w:val="0"/>
          <w:position w:val="-2"/>
          <w:szCs w:val="21"/>
          <w:highlight w:val="none"/>
        </w:rPr>
        <w:t>）</w:t>
      </w:r>
      <w:r>
        <w:rPr>
          <w:rFonts w:hint="eastAsia" w:ascii="宋体" w:hAnsi="宋体" w:cs="宋体"/>
          <w:color w:val="auto"/>
          <w:kern w:val="0"/>
          <w:position w:val="-2"/>
          <w:szCs w:val="21"/>
          <w:highlight w:val="none"/>
        </w:rPr>
        <w:t>的</w:t>
      </w:r>
      <w:r>
        <w:rPr>
          <w:rFonts w:hint="eastAsia" w:ascii="宋体" w:hAnsi="宋体" w:cs="宋体"/>
          <w:color w:val="auto"/>
          <w:spacing w:val="-2"/>
          <w:kern w:val="0"/>
          <w:position w:val="-2"/>
          <w:szCs w:val="21"/>
          <w:highlight w:val="none"/>
        </w:rPr>
        <w:t>法定</w:t>
      </w:r>
      <w:r>
        <w:rPr>
          <w:rFonts w:hint="eastAsia" w:ascii="宋体" w:hAnsi="宋体" w:eastAsia="宋体" w:cs="宋体"/>
          <w:color w:val="auto"/>
          <w:kern w:val="0"/>
          <w:szCs w:val="21"/>
          <w:highlight w:val="none"/>
        </w:rPr>
        <w:t>代表人（单位负责人）</w:t>
      </w:r>
      <w:r>
        <w:rPr>
          <w:rFonts w:hint="eastAsia" w:ascii="宋体" w:hAnsi="宋体" w:eastAsia="宋体" w:cs="宋体"/>
          <w:color w:val="auto"/>
          <w:kern w:val="0"/>
          <w:szCs w:val="21"/>
          <w:highlight w:val="none"/>
          <w:lang w:eastAsia="zh-CN"/>
        </w:rPr>
        <w:t>。</w:t>
      </w:r>
    </w:p>
    <w:p w14:paraId="702C3D02">
      <w:pPr>
        <w:autoSpaceDE w:val="0"/>
        <w:autoSpaceDN w:val="0"/>
        <w:adjustRightInd w:val="0"/>
        <w:snapToGrid w:val="0"/>
        <w:spacing w:line="360" w:lineRule="auto"/>
        <w:ind w:left="520" w:right="-20"/>
        <w:jc w:val="left"/>
        <w:rPr>
          <w:rFonts w:ascii="宋体" w:hAnsi="宋体" w:cs="宋体"/>
          <w:color w:val="auto"/>
          <w:kern w:val="0"/>
          <w:szCs w:val="21"/>
          <w:highlight w:val="none"/>
        </w:rPr>
      </w:pPr>
      <w:r>
        <w:rPr>
          <w:rFonts w:hint="eastAsia" w:ascii="宋体" w:hAnsi="宋体" w:cs="宋体"/>
          <w:color w:val="auto"/>
          <w:kern w:val="0"/>
          <w:szCs w:val="21"/>
          <w:highlight w:val="none"/>
        </w:rPr>
        <w:t>特此</w:t>
      </w:r>
      <w:r>
        <w:rPr>
          <w:rFonts w:hint="eastAsia" w:ascii="宋体" w:hAnsi="宋体" w:cs="宋体"/>
          <w:color w:val="auto"/>
          <w:spacing w:val="-2"/>
          <w:kern w:val="0"/>
          <w:szCs w:val="21"/>
          <w:highlight w:val="none"/>
        </w:rPr>
        <w:t>证</w:t>
      </w:r>
      <w:r>
        <w:rPr>
          <w:rFonts w:hint="eastAsia" w:ascii="宋体" w:hAnsi="宋体" w:cs="宋体"/>
          <w:color w:val="auto"/>
          <w:kern w:val="0"/>
          <w:szCs w:val="21"/>
          <w:highlight w:val="none"/>
        </w:rPr>
        <w:t>明。</w:t>
      </w:r>
    </w:p>
    <w:p w14:paraId="54BC25F0">
      <w:pPr>
        <w:autoSpaceDE w:val="0"/>
        <w:autoSpaceDN w:val="0"/>
        <w:adjustRightInd w:val="0"/>
        <w:snapToGrid w:val="0"/>
        <w:spacing w:line="360" w:lineRule="auto"/>
        <w:ind w:left="100" w:right="4231"/>
        <w:jc w:val="left"/>
        <w:rPr>
          <w:rFonts w:ascii="宋体" w:hAnsi="宋体" w:cs="宋体"/>
          <w:color w:val="auto"/>
          <w:kern w:val="0"/>
          <w:szCs w:val="21"/>
          <w:highlight w:val="none"/>
        </w:rPr>
      </w:pPr>
      <w:r>
        <w:rPr>
          <w:rFonts w:hint="eastAsia" w:ascii="宋体" w:hAnsi="宋体" w:cs="宋体"/>
          <w:color w:val="auto"/>
          <w:kern w:val="0"/>
          <w:szCs w:val="21"/>
          <w:highlight w:val="none"/>
        </w:rPr>
        <w:t>附：</w:t>
      </w:r>
      <w:r>
        <w:rPr>
          <w:rFonts w:hint="eastAsia" w:ascii="宋体" w:hAnsi="宋体" w:cs="宋体"/>
          <w:color w:val="auto"/>
          <w:spacing w:val="-2"/>
          <w:kern w:val="0"/>
          <w:szCs w:val="21"/>
          <w:highlight w:val="none"/>
        </w:rPr>
        <w:t>法</w:t>
      </w:r>
      <w:r>
        <w:rPr>
          <w:rFonts w:hint="eastAsia" w:ascii="宋体" w:hAnsi="宋体" w:cs="宋体"/>
          <w:color w:val="auto"/>
          <w:kern w:val="0"/>
          <w:szCs w:val="21"/>
          <w:highlight w:val="none"/>
        </w:rPr>
        <w:t>定</w:t>
      </w:r>
      <w:r>
        <w:rPr>
          <w:rFonts w:hint="eastAsia" w:ascii="宋体" w:hAnsi="宋体" w:cs="宋体"/>
          <w:color w:val="auto"/>
          <w:spacing w:val="-2"/>
          <w:kern w:val="0"/>
          <w:szCs w:val="21"/>
          <w:highlight w:val="none"/>
        </w:rPr>
        <w:t>代</w:t>
      </w:r>
      <w:r>
        <w:rPr>
          <w:rFonts w:hint="eastAsia" w:ascii="宋体" w:hAnsi="宋体" w:cs="宋体"/>
          <w:color w:val="auto"/>
          <w:kern w:val="0"/>
          <w:szCs w:val="21"/>
          <w:highlight w:val="none"/>
        </w:rPr>
        <w:t>表</w:t>
      </w:r>
      <w:r>
        <w:rPr>
          <w:rFonts w:hint="eastAsia" w:ascii="宋体" w:hAnsi="宋体" w:cs="宋体"/>
          <w:color w:val="auto"/>
          <w:spacing w:val="-2"/>
          <w:kern w:val="0"/>
          <w:szCs w:val="21"/>
          <w:highlight w:val="none"/>
        </w:rPr>
        <w:t>人</w:t>
      </w:r>
      <w:r>
        <w:rPr>
          <w:rFonts w:hint="eastAsia" w:ascii="宋体" w:hAnsi="宋体" w:cs="宋体"/>
          <w:color w:val="auto"/>
          <w:kern w:val="0"/>
          <w:szCs w:val="21"/>
          <w:highlight w:val="none"/>
        </w:rPr>
        <w:t>（</w:t>
      </w:r>
      <w:r>
        <w:rPr>
          <w:rFonts w:hint="eastAsia" w:ascii="宋体" w:hAnsi="宋体" w:cs="宋体"/>
          <w:color w:val="auto"/>
          <w:spacing w:val="-2"/>
          <w:kern w:val="0"/>
          <w:szCs w:val="21"/>
          <w:highlight w:val="none"/>
        </w:rPr>
        <w:t>单</w:t>
      </w:r>
      <w:r>
        <w:rPr>
          <w:rFonts w:hint="eastAsia" w:ascii="宋体" w:hAnsi="宋体" w:cs="宋体"/>
          <w:color w:val="auto"/>
          <w:kern w:val="0"/>
          <w:szCs w:val="21"/>
          <w:highlight w:val="none"/>
        </w:rPr>
        <w:t>位</w:t>
      </w:r>
      <w:r>
        <w:rPr>
          <w:rFonts w:hint="eastAsia" w:ascii="宋体" w:hAnsi="宋体" w:cs="宋体"/>
          <w:color w:val="auto"/>
          <w:spacing w:val="-2"/>
          <w:kern w:val="0"/>
          <w:szCs w:val="21"/>
          <w:highlight w:val="none"/>
        </w:rPr>
        <w:t>负</w:t>
      </w:r>
      <w:r>
        <w:rPr>
          <w:rFonts w:hint="eastAsia" w:ascii="宋体" w:hAnsi="宋体" w:cs="宋体"/>
          <w:color w:val="auto"/>
          <w:kern w:val="0"/>
          <w:szCs w:val="21"/>
          <w:highlight w:val="none"/>
        </w:rPr>
        <w:t>责人</w:t>
      </w:r>
      <w:r>
        <w:rPr>
          <w:rFonts w:hint="eastAsia" w:ascii="宋体" w:hAnsi="宋体" w:cs="宋体"/>
          <w:color w:val="auto"/>
          <w:spacing w:val="-2"/>
          <w:kern w:val="0"/>
          <w:szCs w:val="21"/>
          <w:highlight w:val="none"/>
        </w:rPr>
        <w:t>）</w:t>
      </w:r>
      <w:r>
        <w:rPr>
          <w:rFonts w:hint="eastAsia" w:ascii="宋体" w:hAnsi="宋体" w:cs="宋体"/>
          <w:color w:val="auto"/>
          <w:kern w:val="0"/>
          <w:szCs w:val="21"/>
          <w:highlight w:val="none"/>
        </w:rPr>
        <w:t>身</w:t>
      </w:r>
      <w:r>
        <w:rPr>
          <w:rFonts w:hint="eastAsia" w:ascii="宋体" w:hAnsi="宋体" w:cs="宋体"/>
          <w:color w:val="auto"/>
          <w:spacing w:val="-2"/>
          <w:kern w:val="0"/>
          <w:szCs w:val="21"/>
          <w:highlight w:val="none"/>
        </w:rPr>
        <w:t>份</w:t>
      </w:r>
      <w:r>
        <w:rPr>
          <w:rFonts w:hint="eastAsia" w:ascii="宋体" w:hAnsi="宋体" w:cs="宋体"/>
          <w:color w:val="auto"/>
          <w:kern w:val="0"/>
          <w:szCs w:val="21"/>
          <w:highlight w:val="none"/>
        </w:rPr>
        <w:t>证</w:t>
      </w:r>
      <w:r>
        <w:rPr>
          <w:rFonts w:hint="eastAsia" w:ascii="宋体" w:hAnsi="宋体" w:cs="宋体"/>
          <w:color w:val="auto"/>
          <w:spacing w:val="-2"/>
          <w:kern w:val="0"/>
          <w:szCs w:val="21"/>
          <w:highlight w:val="none"/>
        </w:rPr>
        <w:t>复</w:t>
      </w:r>
      <w:r>
        <w:rPr>
          <w:rFonts w:hint="eastAsia" w:ascii="宋体" w:hAnsi="宋体" w:cs="宋体"/>
          <w:color w:val="auto"/>
          <w:kern w:val="0"/>
          <w:szCs w:val="21"/>
          <w:highlight w:val="none"/>
        </w:rPr>
        <w:t>印</w:t>
      </w:r>
      <w:r>
        <w:rPr>
          <w:rFonts w:hint="eastAsia" w:ascii="宋体" w:hAnsi="宋体" w:cs="宋体"/>
          <w:color w:val="auto"/>
          <w:spacing w:val="-2"/>
          <w:kern w:val="0"/>
          <w:szCs w:val="21"/>
          <w:highlight w:val="none"/>
        </w:rPr>
        <w:t>件</w:t>
      </w:r>
      <w:r>
        <w:rPr>
          <w:rFonts w:hint="eastAsia" w:ascii="宋体" w:hAnsi="宋体" w:cs="宋体"/>
          <w:color w:val="auto"/>
          <w:kern w:val="0"/>
          <w:szCs w:val="21"/>
          <w:highlight w:val="none"/>
        </w:rPr>
        <w:t>。</w:t>
      </w:r>
    </w:p>
    <w:tbl>
      <w:tblPr>
        <w:tblStyle w:val="46"/>
        <w:tblW w:w="0" w:type="auto"/>
        <w:tblInd w:w="6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19"/>
      </w:tblGrid>
      <w:tr w14:paraId="5E0765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8119" w:type="dxa"/>
            <w:tcBorders>
              <w:tl2br w:val="nil"/>
              <w:tr2bl w:val="nil"/>
            </w:tcBorders>
            <w:noWrap/>
            <w:vAlign w:val="center"/>
          </w:tcPr>
          <w:p w14:paraId="77D20694">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身份证（正反面）</w:t>
            </w:r>
            <w:r>
              <w:rPr>
                <w:rFonts w:hint="eastAsia" w:ascii="宋体" w:hAnsi="宋体" w:cs="宋体"/>
                <w:color w:val="auto"/>
                <w:spacing w:val="-2"/>
                <w:kern w:val="0"/>
                <w:szCs w:val="21"/>
                <w:highlight w:val="none"/>
              </w:rPr>
              <w:t>复</w:t>
            </w:r>
            <w:r>
              <w:rPr>
                <w:rFonts w:hint="eastAsia" w:ascii="宋体" w:hAnsi="宋体" w:cs="宋体"/>
                <w:color w:val="auto"/>
                <w:kern w:val="0"/>
                <w:szCs w:val="21"/>
                <w:highlight w:val="none"/>
              </w:rPr>
              <w:t>印</w:t>
            </w:r>
            <w:r>
              <w:rPr>
                <w:rFonts w:hint="eastAsia" w:ascii="宋体" w:hAnsi="宋体" w:cs="宋体"/>
                <w:color w:val="auto"/>
                <w:spacing w:val="-2"/>
                <w:kern w:val="0"/>
                <w:szCs w:val="21"/>
                <w:highlight w:val="none"/>
              </w:rPr>
              <w:t>件</w:t>
            </w:r>
          </w:p>
        </w:tc>
      </w:tr>
    </w:tbl>
    <w:p w14:paraId="0AC69747">
      <w:pPr>
        <w:adjustRightInd w:val="0"/>
        <w:snapToGrid w:val="0"/>
        <w:spacing w:line="360" w:lineRule="auto"/>
        <w:rPr>
          <w:rFonts w:ascii="宋体" w:hAnsi="宋体" w:cs="宋体"/>
          <w:color w:val="auto"/>
          <w:szCs w:val="21"/>
          <w:highlight w:val="none"/>
        </w:rPr>
      </w:pPr>
    </w:p>
    <w:p w14:paraId="060C2892">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注：投标人代表为法定代表人（单位负责人）的提供。自然人投标的无需提供。</w:t>
      </w:r>
    </w:p>
    <w:p w14:paraId="52597BCA">
      <w:pPr>
        <w:adjustRightInd w:val="0"/>
        <w:snapToGrid w:val="0"/>
        <w:spacing w:line="360" w:lineRule="auto"/>
        <w:rPr>
          <w:rFonts w:ascii="宋体" w:hAnsi="宋体" w:cs="宋体"/>
          <w:color w:val="auto"/>
          <w:szCs w:val="21"/>
          <w:highlight w:val="none"/>
        </w:rPr>
      </w:pPr>
    </w:p>
    <w:p w14:paraId="16AF1C2B">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投标人名称（盖单位章）：</w:t>
      </w:r>
    </w:p>
    <w:p w14:paraId="1DDBAD0D">
      <w:pPr>
        <w:adjustRightInd w:val="0"/>
        <w:snapToGrid w:val="0"/>
        <w:spacing w:line="360" w:lineRule="auto"/>
        <w:ind w:right="420"/>
        <w:rPr>
          <w:rFonts w:ascii="宋体" w:hAnsi="宋体" w:cs="宋体"/>
          <w:color w:val="auto"/>
          <w:szCs w:val="21"/>
          <w:highlight w:val="none"/>
        </w:rPr>
      </w:pPr>
    </w:p>
    <w:p w14:paraId="53FA3E9D">
      <w:pPr>
        <w:adjustRightInd w:val="0"/>
        <w:snapToGrid w:val="0"/>
        <w:spacing w:line="360" w:lineRule="auto"/>
        <w:ind w:right="420"/>
        <w:rPr>
          <w:rFonts w:ascii="宋体" w:hAnsi="宋体" w:cs="宋体"/>
          <w:color w:val="auto"/>
          <w:szCs w:val="21"/>
          <w:highlight w:val="none"/>
        </w:rPr>
      </w:pPr>
      <w:r>
        <w:rPr>
          <w:rFonts w:hint="eastAsia" w:ascii="宋体" w:hAnsi="宋体" w:cs="宋体"/>
          <w:color w:val="auto"/>
          <w:szCs w:val="21"/>
          <w:highlight w:val="none"/>
        </w:rPr>
        <w:t>日期：  年   月  日</w:t>
      </w:r>
    </w:p>
    <w:p w14:paraId="1D33C095">
      <w:pPr>
        <w:adjustRightInd w:val="0"/>
        <w:snapToGrid w:val="0"/>
        <w:spacing w:line="360" w:lineRule="auto"/>
        <w:rPr>
          <w:rFonts w:ascii="宋体" w:hAnsi="宋体" w:cs="宋体"/>
          <w:color w:val="auto"/>
          <w:highlight w:val="none"/>
        </w:rPr>
      </w:pPr>
    </w:p>
    <w:p w14:paraId="1CEFDDC5">
      <w:pPr>
        <w:widowControl/>
        <w:jc w:val="left"/>
        <w:rPr>
          <w:rFonts w:ascii="宋体" w:hAnsi="宋体" w:cs="宋体"/>
          <w:color w:val="auto"/>
          <w:highlight w:val="none"/>
        </w:rPr>
      </w:pPr>
      <w:r>
        <w:rPr>
          <w:rFonts w:hint="eastAsia" w:ascii="宋体" w:hAnsi="宋体" w:cs="宋体"/>
          <w:color w:val="auto"/>
          <w:highlight w:val="none"/>
        </w:rPr>
        <w:br w:type="page"/>
      </w:r>
    </w:p>
    <w:p w14:paraId="08543DBB">
      <w:pPr>
        <w:pStyle w:val="6"/>
        <w:adjustRightInd w:val="0"/>
        <w:snapToGrid w:val="0"/>
        <w:spacing w:before="0" w:after="0" w:line="360" w:lineRule="auto"/>
        <w:jc w:val="center"/>
        <w:rPr>
          <w:rFonts w:ascii="宋体" w:hAnsi="宋体" w:cs="宋体"/>
          <w:b w:val="0"/>
          <w:bCs w:val="0"/>
          <w:color w:val="auto"/>
          <w:kern w:val="0"/>
          <w:sz w:val="28"/>
          <w:szCs w:val="28"/>
          <w:highlight w:val="none"/>
          <w:lang w:val="zh-CN" w:bidi="zh-CN"/>
        </w:rPr>
      </w:pPr>
      <w:bookmarkStart w:id="96" w:name="_Toc25355"/>
      <w:bookmarkStart w:id="97" w:name="_Toc903"/>
      <w:r>
        <w:rPr>
          <w:rFonts w:hint="eastAsia" w:ascii="宋体" w:hAnsi="宋体" w:cs="宋体"/>
          <w:b w:val="0"/>
          <w:bCs w:val="0"/>
          <w:color w:val="auto"/>
          <w:kern w:val="0"/>
          <w:sz w:val="28"/>
          <w:szCs w:val="28"/>
          <w:highlight w:val="none"/>
          <w:lang w:val="zh-CN" w:bidi="zh-CN"/>
        </w:rPr>
        <w:t>授权委托书</w:t>
      </w:r>
      <w:bookmarkEnd w:id="96"/>
      <w:bookmarkEnd w:id="97"/>
    </w:p>
    <w:p w14:paraId="7638214D">
      <w:pPr>
        <w:autoSpaceDE w:val="0"/>
        <w:autoSpaceDN w:val="0"/>
        <w:adjustRightInd w:val="0"/>
        <w:snapToGrid w:val="0"/>
        <w:spacing w:line="360" w:lineRule="auto"/>
        <w:ind w:firstLine="446" w:firstLineChars="200"/>
        <w:jc w:val="left"/>
        <w:rPr>
          <w:rFonts w:ascii="宋体" w:hAnsi="宋体" w:cs="宋体"/>
          <w:b/>
          <w:color w:val="auto"/>
          <w:spacing w:val="6"/>
          <w:szCs w:val="21"/>
          <w:highlight w:val="none"/>
        </w:rPr>
      </w:pPr>
    </w:p>
    <w:p w14:paraId="7EDB3BEC">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position w:val="-4"/>
          <w:szCs w:val="21"/>
          <w:highlight w:val="none"/>
          <w:u w:val="single"/>
        </w:rPr>
        <w:t xml:space="preserve">       </w:t>
      </w:r>
      <w:r>
        <w:rPr>
          <w:rFonts w:hint="eastAsia" w:ascii="宋体" w:hAnsi="宋体" w:cs="宋体"/>
          <w:color w:val="auto"/>
          <w:kern w:val="0"/>
          <w:szCs w:val="21"/>
          <w:highlight w:val="none"/>
        </w:rPr>
        <w:t>（姓名、职务）系</w:t>
      </w:r>
      <w:r>
        <w:rPr>
          <w:rFonts w:hint="eastAsia" w:ascii="宋体" w:hAnsi="宋体" w:cs="宋体"/>
          <w:color w:val="auto"/>
          <w:kern w:val="0"/>
          <w:position w:val="-4"/>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zCs w:val="21"/>
          <w:highlight w:val="none"/>
        </w:rPr>
        <w:t>投标人</w:t>
      </w:r>
      <w:r>
        <w:rPr>
          <w:rFonts w:hint="eastAsia" w:ascii="宋体" w:hAnsi="宋体" w:cs="宋体"/>
          <w:color w:val="auto"/>
          <w:kern w:val="0"/>
          <w:szCs w:val="21"/>
          <w:highlight w:val="none"/>
        </w:rPr>
        <w:t>名称）的法定代表人（</w:t>
      </w:r>
      <w:r>
        <w:rPr>
          <w:rFonts w:hint="eastAsia" w:ascii="宋体" w:hAnsi="宋体" w:cs="宋体"/>
          <w:color w:val="auto"/>
          <w:spacing w:val="-2"/>
          <w:kern w:val="0"/>
          <w:szCs w:val="21"/>
          <w:highlight w:val="none"/>
        </w:rPr>
        <w:t>单</w:t>
      </w:r>
      <w:r>
        <w:rPr>
          <w:rFonts w:hint="eastAsia" w:ascii="宋体" w:hAnsi="宋体" w:cs="宋体"/>
          <w:color w:val="auto"/>
          <w:kern w:val="0"/>
          <w:szCs w:val="21"/>
          <w:highlight w:val="none"/>
        </w:rPr>
        <w:t>位</w:t>
      </w:r>
      <w:r>
        <w:rPr>
          <w:rFonts w:hint="eastAsia" w:ascii="宋体" w:hAnsi="宋体" w:cs="宋体"/>
          <w:color w:val="auto"/>
          <w:spacing w:val="-2"/>
          <w:kern w:val="0"/>
          <w:szCs w:val="21"/>
          <w:highlight w:val="none"/>
        </w:rPr>
        <w:t>负</w:t>
      </w:r>
      <w:r>
        <w:rPr>
          <w:rFonts w:hint="eastAsia" w:ascii="宋体" w:hAnsi="宋体" w:cs="宋体"/>
          <w:color w:val="auto"/>
          <w:kern w:val="0"/>
          <w:szCs w:val="21"/>
          <w:highlight w:val="none"/>
        </w:rPr>
        <w:t>责人</w:t>
      </w:r>
      <w:r>
        <w:rPr>
          <w:rFonts w:hint="eastAsia" w:ascii="宋体" w:hAnsi="宋体" w:cs="宋体"/>
          <w:color w:val="auto"/>
          <w:spacing w:val="-2"/>
          <w:kern w:val="0"/>
          <w:szCs w:val="21"/>
          <w:highlight w:val="none"/>
        </w:rPr>
        <w:t>）</w:t>
      </w:r>
      <w:r>
        <w:rPr>
          <w:rFonts w:hint="eastAsia" w:ascii="宋体" w:hAnsi="宋体" w:cs="宋体"/>
          <w:color w:val="auto"/>
          <w:kern w:val="0"/>
          <w:szCs w:val="21"/>
          <w:highlight w:val="none"/>
        </w:rPr>
        <w:t>，现授权</w:t>
      </w:r>
      <w:r>
        <w:rPr>
          <w:rFonts w:hint="eastAsia" w:ascii="宋体" w:hAnsi="宋体" w:cs="宋体"/>
          <w:color w:val="auto"/>
          <w:kern w:val="0"/>
          <w:position w:val="-4"/>
          <w:szCs w:val="21"/>
          <w:highlight w:val="none"/>
          <w:u w:val="single"/>
        </w:rPr>
        <w:t xml:space="preserve">       </w:t>
      </w:r>
      <w:r>
        <w:rPr>
          <w:rFonts w:hint="eastAsia" w:ascii="宋体" w:hAnsi="宋体" w:cs="宋体"/>
          <w:color w:val="auto"/>
          <w:kern w:val="0"/>
          <w:szCs w:val="21"/>
          <w:highlight w:val="none"/>
        </w:rPr>
        <w:t>（姓名、职务）为我方代理人。代理人根据授权，以我方名义签署、澄清、说明、补正、递交、撤回、修改</w:t>
      </w:r>
      <w:r>
        <w:rPr>
          <w:rFonts w:hint="eastAsia" w:ascii="宋体" w:hAnsi="宋体" w:cs="宋体"/>
          <w:color w:val="auto"/>
          <w:kern w:val="0"/>
          <w:position w:val="-4"/>
          <w:szCs w:val="21"/>
          <w:highlight w:val="none"/>
          <w:u w:val="single"/>
        </w:rPr>
        <w:t xml:space="preserve">       </w:t>
      </w:r>
      <w:r>
        <w:rPr>
          <w:rFonts w:hint="eastAsia" w:ascii="宋体" w:hAnsi="宋体" w:cs="宋体"/>
          <w:color w:val="auto"/>
          <w:kern w:val="0"/>
          <w:szCs w:val="21"/>
          <w:highlight w:val="none"/>
        </w:rPr>
        <w:t>（项目名称）（</w:t>
      </w:r>
      <w:r>
        <w:rPr>
          <w:rFonts w:hint="eastAsia" w:ascii="宋体" w:hAnsi="宋体" w:cs="宋体"/>
          <w:color w:val="auto"/>
          <w:highlight w:val="none"/>
        </w:rPr>
        <w:t>政府</w:t>
      </w:r>
      <w:r>
        <w:rPr>
          <w:rFonts w:hint="eastAsia" w:ascii="宋体" w:hAnsi="宋体" w:cs="宋体"/>
          <w:iCs/>
          <w:color w:val="auto"/>
          <w:highlight w:val="none"/>
        </w:rPr>
        <w:t>采购编号：</w:t>
      </w:r>
      <w:r>
        <w:rPr>
          <w:rFonts w:hint="eastAsia" w:ascii="宋体" w:hAnsi="宋体" w:cs="宋体"/>
          <w:color w:val="auto"/>
          <w:kern w:val="0"/>
          <w:position w:val="-4"/>
          <w:szCs w:val="21"/>
          <w:highlight w:val="none"/>
          <w:u w:val="single"/>
        </w:rPr>
        <w:t xml:space="preserve">       </w:t>
      </w:r>
      <w:r>
        <w:rPr>
          <w:rFonts w:hint="eastAsia" w:ascii="宋体" w:hAnsi="宋体" w:cs="宋体"/>
          <w:color w:val="auto"/>
          <w:kern w:val="0"/>
          <w:szCs w:val="21"/>
          <w:highlight w:val="none"/>
        </w:rPr>
        <w:t>采购代理编号：</w:t>
      </w:r>
      <w:r>
        <w:rPr>
          <w:rFonts w:hint="eastAsia" w:ascii="宋体" w:hAnsi="宋体" w:cs="宋体"/>
          <w:color w:val="auto"/>
          <w:kern w:val="0"/>
          <w:position w:val="-4"/>
          <w:szCs w:val="21"/>
          <w:highlight w:val="none"/>
          <w:u w:val="single"/>
        </w:rPr>
        <w:t xml:space="preserve">       </w:t>
      </w:r>
      <w:r>
        <w:rPr>
          <w:rFonts w:hint="eastAsia" w:ascii="宋体" w:hAnsi="宋体" w:cs="宋体"/>
          <w:color w:val="auto"/>
          <w:kern w:val="0"/>
          <w:szCs w:val="21"/>
          <w:highlight w:val="none"/>
        </w:rPr>
        <w:t>）投标文件、签订合同和处理有关事宜，其法律后果由我方承担。</w:t>
      </w:r>
    </w:p>
    <w:p w14:paraId="7D134C11">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委托期限：</w:t>
      </w:r>
      <w:r>
        <w:rPr>
          <w:rFonts w:hint="eastAsia" w:ascii="宋体" w:hAnsi="宋体" w:cs="宋体"/>
          <w:color w:val="auto"/>
          <w:kern w:val="0"/>
          <w:position w:val="-4"/>
          <w:szCs w:val="21"/>
          <w:highlight w:val="none"/>
          <w:u w:val="single"/>
        </w:rPr>
        <w:t xml:space="preserve">       </w:t>
      </w:r>
      <w:r>
        <w:rPr>
          <w:rFonts w:hint="eastAsia" w:ascii="宋体" w:hAnsi="宋体" w:cs="宋体"/>
          <w:color w:val="auto"/>
          <w:kern w:val="0"/>
          <w:szCs w:val="21"/>
          <w:highlight w:val="none"/>
        </w:rPr>
        <w:t>。</w:t>
      </w:r>
    </w:p>
    <w:p w14:paraId="66636C4A">
      <w:pPr>
        <w:adjustRightInd w:val="0"/>
        <w:snapToGrid w:val="0"/>
        <w:spacing w:line="360" w:lineRule="auto"/>
        <w:ind w:firstLine="435"/>
        <w:rPr>
          <w:rFonts w:ascii="宋体" w:hAnsi="宋体" w:cs="宋体"/>
          <w:color w:val="auto"/>
          <w:kern w:val="0"/>
          <w:szCs w:val="21"/>
          <w:highlight w:val="none"/>
        </w:rPr>
      </w:pPr>
      <w:r>
        <w:rPr>
          <w:rFonts w:hint="eastAsia" w:ascii="宋体" w:hAnsi="宋体" w:cs="宋体"/>
          <w:color w:val="auto"/>
          <w:kern w:val="0"/>
          <w:szCs w:val="21"/>
          <w:highlight w:val="none"/>
        </w:rPr>
        <w:t>代理人无转委托权。</w:t>
      </w:r>
    </w:p>
    <w:p w14:paraId="7B8BEA0A">
      <w:pPr>
        <w:adjustRightInd w:val="0"/>
        <w:snapToGrid w:val="0"/>
        <w:spacing w:line="360" w:lineRule="auto"/>
        <w:ind w:firstLine="435"/>
        <w:rPr>
          <w:rFonts w:ascii="宋体" w:hAnsi="宋体" w:cs="宋体"/>
          <w:color w:val="auto"/>
          <w:kern w:val="0"/>
          <w:szCs w:val="21"/>
          <w:highlight w:val="none"/>
        </w:rPr>
      </w:pPr>
      <w:r>
        <w:rPr>
          <w:rFonts w:hint="eastAsia" w:ascii="宋体" w:hAnsi="宋体" w:cs="宋体"/>
          <w:color w:val="auto"/>
          <w:szCs w:val="21"/>
          <w:highlight w:val="none"/>
        </w:rPr>
        <w:t>本授权书于</w:t>
      </w:r>
      <w:r>
        <w:rPr>
          <w:rFonts w:hint="eastAsia" w:ascii="宋体" w:hAnsi="宋体" w:cs="宋体"/>
          <w:color w:val="auto"/>
          <w:kern w:val="0"/>
          <w:position w:val="-4"/>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kern w:val="0"/>
          <w:position w:val="-4"/>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kern w:val="0"/>
          <w:position w:val="-4"/>
          <w:szCs w:val="21"/>
          <w:highlight w:val="none"/>
          <w:u w:val="single"/>
        </w:rPr>
        <w:t xml:space="preserve">   </w:t>
      </w:r>
      <w:r>
        <w:rPr>
          <w:rFonts w:hint="eastAsia" w:ascii="宋体" w:hAnsi="宋体" w:cs="宋体"/>
          <w:color w:val="auto"/>
          <w:szCs w:val="21"/>
          <w:highlight w:val="none"/>
        </w:rPr>
        <w:t>日签字生效，特此声明。</w:t>
      </w:r>
    </w:p>
    <w:tbl>
      <w:tblPr>
        <w:tblStyle w:val="46"/>
        <w:tblW w:w="0" w:type="auto"/>
        <w:tblInd w:w="6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39"/>
      </w:tblGrid>
      <w:tr w14:paraId="18DD14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7839" w:type="dxa"/>
            <w:tcBorders>
              <w:tl2br w:val="nil"/>
              <w:tr2bl w:val="nil"/>
            </w:tcBorders>
            <w:noWrap/>
            <w:vAlign w:val="center"/>
          </w:tcPr>
          <w:p w14:paraId="151E9078">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身份证（正反面）</w:t>
            </w:r>
            <w:r>
              <w:rPr>
                <w:rFonts w:hint="eastAsia" w:ascii="宋体" w:hAnsi="宋体" w:cs="宋体"/>
                <w:color w:val="auto"/>
                <w:spacing w:val="-2"/>
                <w:kern w:val="0"/>
                <w:szCs w:val="21"/>
                <w:highlight w:val="none"/>
              </w:rPr>
              <w:t>复</w:t>
            </w:r>
            <w:r>
              <w:rPr>
                <w:rFonts w:hint="eastAsia" w:ascii="宋体" w:hAnsi="宋体" w:cs="宋体"/>
                <w:color w:val="auto"/>
                <w:kern w:val="0"/>
                <w:szCs w:val="21"/>
                <w:highlight w:val="none"/>
              </w:rPr>
              <w:t>印</w:t>
            </w:r>
            <w:r>
              <w:rPr>
                <w:rFonts w:hint="eastAsia" w:ascii="宋体" w:hAnsi="宋体" w:cs="宋体"/>
                <w:color w:val="auto"/>
                <w:spacing w:val="-2"/>
                <w:kern w:val="0"/>
                <w:szCs w:val="21"/>
                <w:highlight w:val="none"/>
              </w:rPr>
              <w:t>件</w:t>
            </w:r>
          </w:p>
        </w:tc>
      </w:tr>
    </w:tbl>
    <w:p w14:paraId="54957A82">
      <w:pPr>
        <w:adjustRightInd w:val="0"/>
        <w:snapToGrid w:val="0"/>
        <w:spacing w:line="360" w:lineRule="auto"/>
        <w:ind w:firstLine="420" w:firstLineChars="200"/>
        <w:rPr>
          <w:rFonts w:ascii="宋体" w:hAnsi="宋体" w:cs="宋体"/>
          <w:color w:val="auto"/>
          <w:szCs w:val="21"/>
          <w:highlight w:val="none"/>
        </w:rPr>
      </w:pPr>
    </w:p>
    <w:p w14:paraId="2FC152B8">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注：投标人代表不是投标人的法定代表人（单位负责人）的提供。自然人投标的无需提供。</w:t>
      </w:r>
    </w:p>
    <w:p w14:paraId="470A1998">
      <w:pPr>
        <w:adjustRightInd w:val="0"/>
        <w:snapToGrid w:val="0"/>
        <w:spacing w:line="360" w:lineRule="auto"/>
        <w:ind w:firstLine="420" w:firstLineChars="200"/>
        <w:rPr>
          <w:rFonts w:ascii="宋体" w:hAnsi="宋体" w:cs="宋体"/>
          <w:color w:val="auto"/>
          <w:szCs w:val="21"/>
          <w:highlight w:val="none"/>
        </w:rPr>
      </w:pPr>
    </w:p>
    <w:p w14:paraId="115A92CD">
      <w:pPr>
        <w:adjustRightInd w:val="0"/>
        <w:snapToGrid w:val="0"/>
        <w:spacing w:line="360" w:lineRule="auto"/>
        <w:ind w:firstLine="420" w:firstLineChars="200"/>
        <w:rPr>
          <w:rFonts w:ascii="宋体" w:hAnsi="宋体" w:cs="宋体"/>
          <w:color w:val="auto"/>
          <w:szCs w:val="21"/>
          <w:highlight w:val="none"/>
        </w:rPr>
      </w:pPr>
    </w:p>
    <w:p w14:paraId="51A33640">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投标人名称（盖单位章）：</w:t>
      </w:r>
    </w:p>
    <w:p w14:paraId="444F2811">
      <w:pPr>
        <w:adjustRightInd w:val="0"/>
        <w:snapToGrid w:val="0"/>
        <w:spacing w:line="360" w:lineRule="auto"/>
        <w:ind w:right="420"/>
        <w:rPr>
          <w:rFonts w:ascii="宋体" w:hAnsi="宋体" w:cs="宋体"/>
          <w:color w:val="auto"/>
          <w:szCs w:val="21"/>
          <w:highlight w:val="none"/>
        </w:rPr>
      </w:pPr>
      <w:r>
        <w:rPr>
          <w:rFonts w:hint="eastAsia" w:ascii="宋体" w:hAnsi="宋体" w:cs="宋体"/>
          <w:color w:val="auto"/>
          <w:spacing w:val="-2"/>
          <w:kern w:val="0"/>
          <w:szCs w:val="21"/>
          <w:highlight w:val="none"/>
        </w:rPr>
        <w:t>法</w:t>
      </w:r>
      <w:r>
        <w:rPr>
          <w:rFonts w:hint="eastAsia" w:ascii="宋体" w:hAnsi="宋体" w:cs="宋体"/>
          <w:color w:val="auto"/>
          <w:kern w:val="0"/>
          <w:szCs w:val="21"/>
          <w:highlight w:val="none"/>
        </w:rPr>
        <w:t>定</w:t>
      </w:r>
      <w:r>
        <w:rPr>
          <w:rFonts w:hint="eastAsia" w:ascii="宋体" w:hAnsi="宋体" w:cs="宋体"/>
          <w:color w:val="auto"/>
          <w:spacing w:val="-2"/>
          <w:kern w:val="0"/>
          <w:szCs w:val="21"/>
          <w:highlight w:val="none"/>
        </w:rPr>
        <w:t>代</w:t>
      </w:r>
      <w:r>
        <w:rPr>
          <w:rFonts w:hint="eastAsia" w:ascii="宋体" w:hAnsi="宋体" w:cs="宋体"/>
          <w:color w:val="auto"/>
          <w:kern w:val="0"/>
          <w:szCs w:val="21"/>
          <w:highlight w:val="none"/>
        </w:rPr>
        <w:t>表</w:t>
      </w:r>
      <w:r>
        <w:rPr>
          <w:rFonts w:hint="eastAsia" w:ascii="宋体" w:hAnsi="宋体" w:cs="宋体"/>
          <w:color w:val="auto"/>
          <w:spacing w:val="-2"/>
          <w:kern w:val="0"/>
          <w:szCs w:val="21"/>
          <w:highlight w:val="none"/>
        </w:rPr>
        <w:t>人</w:t>
      </w:r>
      <w:r>
        <w:rPr>
          <w:rFonts w:hint="eastAsia" w:ascii="宋体" w:hAnsi="宋体" w:cs="宋体"/>
          <w:color w:val="auto"/>
          <w:kern w:val="0"/>
          <w:szCs w:val="21"/>
          <w:highlight w:val="none"/>
        </w:rPr>
        <w:t>（</w:t>
      </w:r>
      <w:r>
        <w:rPr>
          <w:rFonts w:hint="eastAsia" w:ascii="宋体" w:hAnsi="宋体" w:cs="宋体"/>
          <w:color w:val="auto"/>
          <w:spacing w:val="-2"/>
          <w:kern w:val="0"/>
          <w:szCs w:val="21"/>
          <w:highlight w:val="none"/>
        </w:rPr>
        <w:t>单</w:t>
      </w:r>
      <w:r>
        <w:rPr>
          <w:rFonts w:hint="eastAsia" w:ascii="宋体" w:hAnsi="宋体" w:cs="宋体"/>
          <w:color w:val="auto"/>
          <w:kern w:val="0"/>
          <w:szCs w:val="21"/>
          <w:highlight w:val="none"/>
        </w:rPr>
        <w:t>位</w:t>
      </w:r>
      <w:r>
        <w:rPr>
          <w:rFonts w:hint="eastAsia" w:ascii="宋体" w:hAnsi="宋体" w:cs="宋体"/>
          <w:color w:val="auto"/>
          <w:spacing w:val="-2"/>
          <w:kern w:val="0"/>
          <w:szCs w:val="21"/>
          <w:highlight w:val="none"/>
        </w:rPr>
        <w:t>负</w:t>
      </w:r>
      <w:r>
        <w:rPr>
          <w:rFonts w:hint="eastAsia" w:ascii="宋体" w:hAnsi="宋体" w:cs="宋体"/>
          <w:color w:val="auto"/>
          <w:kern w:val="0"/>
          <w:szCs w:val="21"/>
          <w:highlight w:val="none"/>
        </w:rPr>
        <w:t>责人</w:t>
      </w:r>
      <w:r>
        <w:rPr>
          <w:rFonts w:hint="eastAsia" w:ascii="宋体" w:hAnsi="宋体" w:cs="宋体"/>
          <w:color w:val="auto"/>
          <w:spacing w:val="-2"/>
          <w:kern w:val="0"/>
          <w:szCs w:val="21"/>
          <w:highlight w:val="none"/>
        </w:rPr>
        <w:t>）</w:t>
      </w:r>
      <w:r>
        <w:rPr>
          <w:rFonts w:hint="eastAsia" w:ascii="宋体" w:hAnsi="宋体" w:cs="宋体"/>
          <w:color w:val="auto"/>
          <w:szCs w:val="21"/>
          <w:highlight w:val="none"/>
        </w:rPr>
        <w:t>（签字或印章）：</w:t>
      </w:r>
    </w:p>
    <w:p w14:paraId="71C2F3C6">
      <w:pPr>
        <w:adjustRightInd w:val="0"/>
        <w:snapToGrid w:val="0"/>
        <w:spacing w:line="360" w:lineRule="auto"/>
        <w:ind w:right="420"/>
        <w:rPr>
          <w:rFonts w:ascii="宋体" w:hAnsi="宋体" w:cs="宋体"/>
          <w:color w:val="auto"/>
          <w:szCs w:val="21"/>
          <w:highlight w:val="none"/>
        </w:rPr>
      </w:pPr>
      <w:r>
        <w:rPr>
          <w:rFonts w:hint="eastAsia" w:ascii="宋体" w:hAnsi="宋体" w:cs="宋体"/>
          <w:color w:val="auto"/>
          <w:szCs w:val="21"/>
          <w:highlight w:val="none"/>
        </w:rPr>
        <w:t>委托代理人（签字或印章）：</w:t>
      </w:r>
    </w:p>
    <w:p w14:paraId="183D5D39">
      <w:pPr>
        <w:adjustRightInd w:val="0"/>
        <w:snapToGrid w:val="0"/>
        <w:spacing w:line="360" w:lineRule="auto"/>
        <w:ind w:right="420"/>
        <w:rPr>
          <w:rFonts w:ascii="宋体" w:hAnsi="宋体" w:cs="宋体"/>
          <w:color w:val="auto"/>
          <w:szCs w:val="21"/>
          <w:highlight w:val="none"/>
        </w:rPr>
      </w:pPr>
      <w:r>
        <w:rPr>
          <w:rFonts w:hint="eastAsia" w:ascii="宋体" w:hAnsi="宋体" w:cs="宋体"/>
          <w:color w:val="auto"/>
          <w:szCs w:val="21"/>
          <w:highlight w:val="none"/>
        </w:rPr>
        <w:t>日期：   年   月   日</w:t>
      </w:r>
    </w:p>
    <w:p w14:paraId="32DF90FC">
      <w:pPr>
        <w:adjustRightInd w:val="0"/>
        <w:snapToGrid w:val="0"/>
        <w:spacing w:line="360" w:lineRule="auto"/>
        <w:jc w:val="left"/>
        <w:rPr>
          <w:rFonts w:ascii="宋体" w:hAnsi="宋体" w:cs="宋体"/>
          <w:bCs/>
          <w:color w:val="auto"/>
          <w:sz w:val="28"/>
          <w:szCs w:val="28"/>
          <w:highlight w:val="none"/>
        </w:rPr>
      </w:pPr>
      <w:r>
        <w:rPr>
          <w:rFonts w:hint="eastAsia" w:ascii="宋体" w:hAnsi="宋体" w:cs="宋体"/>
          <w:bCs/>
          <w:color w:val="auto"/>
          <w:sz w:val="28"/>
          <w:szCs w:val="28"/>
          <w:highlight w:val="none"/>
        </w:rPr>
        <w:br w:type="page"/>
      </w:r>
    </w:p>
    <w:p w14:paraId="26C52AF6">
      <w:pPr>
        <w:pStyle w:val="6"/>
        <w:adjustRightInd w:val="0"/>
        <w:snapToGrid w:val="0"/>
        <w:spacing w:before="0" w:after="0" w:line="360" w:lineRule="auto"/>
        <w:jc w:val="center"/>
        <w:rPr>
          <w:rFonts w:ascii="宋体" w:hAnsi="宋体" w:cs="宋体"/>
          <w:color w:val="auto"/>
          <w:sz w:val="28"/>
          <w:szCs w:val="28"/>
          <w:highlight w:val="none"/>
        </w:rPr>
      </w:pPr>
      <w:bookmarkStart w:id="98" w:name="_Toc5119"/>
      <w:bookmarkStart w:id="99" w:name="_Toc6747"/>
      <w:bookmarkStart w:id="100" w:name="_Toc11560"/>
      <w:bookmarkStart w:id="101" w:name="_Toc16087"/>
      <w:bookmarkStart w:id="102" w:name="_Toc1934"/>
      <w:r>
        <w:rPr>
          <w:rFonts w:hint="eastAsia" w:ascii="宋体" w:hAnsi="宋体" w:cs="宋体"/>
          <w:color w:val="auto"/>
          <w:sz w:val="28"/>
          <w:szCs w:val="28"/>
          <w:highlight w:val="none"/>
        </w:rPr>
        <w:t>（四）投标人提供的资格证明文件</w:t>
      </w:r>
      <w:bookmarkEnd w:id="98"/>
      <w:bookmarkEnd w:id="99"/>
      <w:bookmarkEnd w:id="100"/>
      <w:bookmarkEnd w:id="101"/>
      <w:bookmarkEnd w:id="102"/>
    </w:p>
    <w:p w14:paraId="1B1E5514">
      <w:pPr>
        <w:pStyle w:val="26"/>
        <w:adjustRightInd w:val="0"/>
        <w:snapToGrid w:val="0"/>
        <w:spacing w:line="360" w:lineRule="auto"/>
        <w:jc w:val="center"/>
        <w:rPr>
          <w:rFonts w:hAnsi="宋体" w:cs="宋体"/>
          <w:b/>
          <w:bCs/>
          <w:color w:val="auto"/>
          <w:sz w:val="24"/>
          <w:szCs w:val="24"/>
          <w:highlight w:val="none"/>
        </w:rPr>
      </w:pPr>
    </w:p>
    <w:p w14:paraId="44A89575">
      <w:pPr>
        <w:pStyle w:val="26"/>
        <w:adjustRightInd w:val="0"/>
        <w:snapToGrid w:val="0"/>
        <w:spacing w:line="360" w:lineRule="auto"/>
        <w:jc w:val="center"/>
        <w:rPr>
          <w:rFonts w:hAnsi="宋体" w:cs="宋体"/>
          <w:b/>
          <w:bCs/>
          <w:color w:val="auto"/>
          <w:sz w:val="28"/>
          <w:szCs w:val="28"/>
          <w:highlight w:val="none"/>
        </w:rPr>
      </w:pPr>
      <w:r>
        <w:rPr>
          <w:rFonts w:hint="eastAsia" w:hAnsi="宋体" w:cs="宋体"/>
          <w:b/>
          <w:bCs/>
          <w:color w:val="auto"/>
          <w:sz w:val="28"/>
          <w:szCs w:val="28"/>
          <w:highlight w:val="none"/>
        </w:rPr>
        <w:t>须  知</w:t>
      </w:r>
    </w:p>
    <w:p w14:paraId="26A24A7B">
      <w:pPr>
        <w:tabs>
          <w:tab w:val="left" w:pos="4725"/>
        </w:tabs>
        <w:adjustRightInd w:val="0"/>
        <w:snapToGrid w:val="0"/>
        <w:spacing w:beforeLines="50" w:line="360" w:lineRule="auto"/>
        <w:ind w:firstLine="422" w:firstLineChars="200"/>
        <w:rPr>
          <w:rFonts w:ascii="宋体" w:hAnsi="宋体" w:cs="宋体"/>
          <w:b/>
          <w:bCs/>
          <w:color w:val="auto"/>
          <w:szCs w:val="21"/>
          <w:highlight w:val="none"/>
        </w:rPr>
      </w:pPr>
      <w:r>
        <w:rPr>
          <w:rFonts w:hint="eastAsia" w:ascii="宋体" w:hAnsi="宋体" w:cs="宋体"/>
          <w:b/>
          <w:color w:val="auto"/>
          <w:szCs w:val="21"/>
          <w:highlight w:val="none"/>
        </w:rPr>
        <w:t>1、投标人</w:t>
      </w:r>
      <w:r>
        <w:rPr>
          <w:rFonts w:hint="eastAsia" w:ascii="宋体" w:hAnsi="宋体" w:cs="宋体"/>
          <w:b/>
          <w:bCs/>
          <w:color w:val="auto"/>
          <w:szCs w:val="21"/>
          <w:highlight w:val="none"/>
        </w:rPr>
        <w:t>应按第二章第14.1款要求提供下列的证明材料</w:t>
      </w:r>
    </w:p>
    <w:p w14:paraId="1E5F1445">
      <w:pPr>
        <w:tabs>
          <w:tab w:val="left" w:pos="4725"/>
        </w:tabs>
        <w:adjustRightInd w:val="0"/>
        <w:snapToGrid w:val="0"/>
        <w:spacing w:beforeLines="50"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附件1 法人或者其他组织的营业执照等主体资格证明文件，自然人的身份证明</w:t>
      </w:r>
    </w:p>
    <w:p w14:paraId="1B1056F1">
      <w:pPr>
        <w:tabs>
          <w:tab w:val="left" w:pos="4725"/>
        </w:tabs>
        <w:adjustRightInd w:val="0"/>
        <w:snapToGrid w:val="0"/>
        <w:spacing w:beforeLines="50" w:line="360" w:lineRule="auto"/>
        <w:ind w:firstLine="735" w:firstLineChars="350"/>
        <w:rPr>
          <w:rFonts w:hint="eastAsia" w:ascii="宋体" w:hAnsi="宋体" w:cs="宋体"/>
          <w:color w:val="auto"/>
          <w:szCs w:val="21"/>
          <w:highlight w:val="none"/>
          <w:lang w:eastAsia="zh-CN"/>
        </w:rPr>
      </w:pPr>
      <w:r>
        <w:rPr>
          <w:rFonts w:hint="eastAsia" w:ascii="宋体" w:hAnsi="宋体" w:cs="宋体"/>
          <w:color w:val="auto"/>
          <w:szCs w:val="21"/>
          <w:highlight w:val="none"/>
        </w:rPr>
        <w:t>附件</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湖南省政府采购供应商资格承诺函</w:t>
      </w:r>
    </w:p>
    <w:p w14:paraId="343542A2">
      <w:pPr>
        <w:tabs>
          <w:tab w:val="left" w:pos="4725"/>
        </w:tabs>
        <w:adjustRightInd w:val="0"/>
        <w:snapToGrid w:val="0"/>
        <w:spacing w:beforeLines="50"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附件</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 符合特定资格条件证明材料复印件或者情况说明</w:t>
      </w:r>
    </w:p>
    <w:p w14:paraId="166E7C96">
      <w:pPr>
        <w:pStyle w:val="63"/>
        <w:rPr>
          <w:rFonts w:hint="eastAsia"/>
          <w:color w:val="auto"/>
          <w:highlight w:val="none"/>
          <w:lang w:eastAsia="zh-CN"/>
        </w:rPr>
      </w:pPr>
    </w:p>
    <w:p w14:paraId="66790F03">
      <w:pPr>
        <w:tabs>
          <w:tab w:val="left" w:pos="4725"/>
        </w:tabs>
        <w:adjustRightInd w:val="0"/>
        <w:snapToGrid w:val="0"/>
        <w:spacing w:line="360" w:lineRule="auto"/>
        <w:rPr>
          <w:rFonts w:ascii="宋体" w:hAnsi="宋体" w:cs="宋体"/>
          <w:color w:val="auto"/>
          <w:szCs w:val="21"/>
          <w:highlight w:val="none"/>
        </w:rPr>
      </w:pPr>
    </w:p>
    <w:p w14:paraId="6CE0881E">
      <w:pPr>
        <w:widowControl/>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br w:type="page"/>
      </w:r>
    </w:p>
    <w:p w14:paraId="1F9D9F15">
      <w:pPr>
        <w:pStyle w:val="7"/>
        <w:rPr>
          <w:rFonts w:ascii="宋体" w:hAnsi="宋体" w:eastAsia="宋体" w:cs="宋体"/>
          <w:b w:val="0"/>
          <w:color w:val="auto"/>
          <w:sz w:val="21"/>
          <w:szCs w:val="21"/>
          <w:highlight w:val="none"/>
        </w:rPr>
      </w:pPr>
      <w:bookmarkStart w:id="103" w:name="_Toc11922"/>
      <w:bookmarkStart w:id="104" w:name="_Toc862"/>
      <w:r>
        <w:rPr>
          <w:rFonts w:hint="eastAsia" w:ascii="宋体" w:hAnsi="宋体" w:eastAsia="宋体" w:cs="宋体"/>
          <w:b w:val="0"/>
          <w:color w:val="auto"/>
          <w:sz w:val="21"/>
          <w:szCs w:val="21"/>
          <w:highlight w:val="none"/>
        </w:rPr>
        <w:t>附件1 法人或者其他组织的营业执照等主体资格证明文件，自然人的身份证明</w:t>
      </w:r>
      <w:bookmarkEnd w:id="103"/>
      <w:bookmarkEnd w:id="104"/>
    </w:p>
    <w:p w14:paraId="5303E248">
      <w:pPr>
        <w:widowControl/>
        <w:adjustRightInd w:val="0"/>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法人或者其他组织的营业执照等主体资格证明文件，自然人的身份证明</w:t>
      </w:r>
    </w:p>
    <w:p w14:paraId="0CB39B1F">
      <w:pPr>
        <w:widowControl/>
        <w:adjustRightInd w:val="0"/>
        <w:snapToGrid w:val="0"/>
        <w:spacing w:beforeLines="50" w:line="360" w:lineRule="auto"/>
        <w:ind w:firstLine="420" w:firstLineChars="200"/>
        <w:jc w:val="left"/>
        <w:rPr>
          <w:rFonts w:ascii="宋体" w:hAnsi="宋体" w:cs="宋体"/>
          <w:color w:val="auto"/>
          <w:szCs w:val="21"/>
          <w:highlight w:val="none"/>
        </w:rPr>
      </w:pPr>
    </w:p>
    <w:p w14:paraId="0D2D67A9">
      <w:pPr>
        <w:adjustRightInd w:val="0"/>
        <w:snapToGrid w:val="0"/>
        <w:spacing w:beforeLines="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注：按第二章第14.1（2）项要求提供。</w:t>
      </w:r>
    </w:p>
    <w:p w14:paraId="4FD7DA95">
      <w:pPr>
        <w:adjustRightInd w:val="0"/>
        <w:snapToGrid w:val="0"/>
        <w:spacing w:before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rPr>
        <w:t>（1）</w:t>
      </w:r>
      <w:r>
        <w:rPr>
          <w:rFonts w:hint="eastAsia" w:ascii="宋体" w:hAnsi="宋体" w:cs="宋体"/>
          <w:color w:val="auto"/>
          <w:highlight w:val="none"/>
        </w:rPr>
        <w:t>投标人为法人的，应提交营业执照或法人登记证书的复印件；</w:t>
      </w:r>
    </w:p>
    <w:p w14:paraId="417715D0">
      <w:pPr>
        <w:adjustRightInd w:val="0"/>
        <w:snapToGrid w:val="0"/>
        <w:spacing w:before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rPr>
        <w:t>（2）</w:t>
      </w:r>
      <w:r>
        <w:rPr>
          <w:rFonts w:hint="eastAsia" w:ascii="宋体" w:hAnsi="宋体" w:cs="宋体"/>
          <w:color w:val="auto"/>
          <w:highlight w:val="none"/>
        </w:rPr>
        <w:t>投标人为非法人组织的，应提交依法登记证书复印件；</w:t>
      </w:r>
    </w:p>
    <w:p w14:paraId="3D682FBA">
      <w:pPr>
        <w:adjustRightInd w:val="0"/>
        <w:snapToGrid w:val="0"/>
        <w:spacing w:before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w:t>
      </w:r>
      <w:r>
        <w:rPr>
          <w:rFonts w:hint="eastAsia" w:ascii="宋体" w:hAnsi="宋体" w:cs="宋体"/>
          <w:color w:val="auto"/>
          <w:highlight w:val="none"/>
        </w:rPr>
        <w:t>投标人为个体工商户的，应提交个体工商户营业执照复印件；</w:t>
      </w:r>
    </w:p>
    <w:p w14:paraId="6D8FCB6E">
      <w:pPr>
        <w:adjustRightInd w:val="0"/>
        <w:snapToGrid w:val="0"/>
        <w:spacing w:before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rPr>
        <w:t>（4）</w:t>
      </w:r>
      <w:r>
        <w:rPr>
          <w:rFonts w:hint="eastAsia" w:ascii="宋体" w:hAnsi="宋体" w:cs="宋体"/>
          <w:color w:val="auto"/>
          <w:highlight w:val="none"/>
        </w:rPr>
        <w:t>投标人为自然人的，应提交自然人的身份证明复印件。</w:t>
      </w:r>
    </w:p>
    <w:p w14:paraId="5A6521FC">
      <w:pPr>
        <w:adjustRightInd w:val="0"/>
        <w:snapToGrid w:val="0"/>
        <w:spacing w:beforeLines="50" w:line="360" w:lineRule="auto"/>
        <w:ind w:firstLine="420" w:firstLineChars="200"/>
        <w:rPr>
          <w:rFonts w:ascii="宋体" w:hAnsi="宋体" w:cs="宋体"/>
          <w:color w:val="auto"/>
          <w:highlight w:val="none"/>
        </w:rPr>
      </w:pPr>
    </w:p>
    <w:p w14:paraId="47918784">
      <w:pPr>
        <w:widowControl/>
        <w:jc w:val="left"/>
        <w:rPr>
          <w:rFonts w:ascii="宋体" w:hAnsi="宋体" w:cs="宋体"/>
          <w:bCs/>
          <w:color w:val="auto"/>
          <w:szCs w:val="21"/>
          <w:highlight w:val="none"/>
        </w:rPr>
      </w:pPr>
      <w:r>
        <w:rPr>
          <w:rFonts w:hint="eastAsia" w:ascii="宋体" w:hAnsi="宋体" w:cs="宋体"/>
          <w:b/>
          <w:color w:val="auto"/>
          <w:szCs w:val="21"/>
          <w:highlight w:val="none"/>
        </w:rPr>
        <w:br w:type="page"/>
      </w:r>
    </w:p>
    <w:p w14:paraId="635BDC87">
      <w:pPr>
        <w:adjustRightInd w:val="0"/>
        <w:snapToGrid w:val="0"/>
        <w:spacing w:line="360" w:lineRule="auto"/>
        <w:outlineLvl w:val="3"/>
        <w:rPr>
          <w:rFonts w:hint="eastAsia" w:ascii="宋体" w:hAnsi="宋体" w:eastAsia="宋体" w:cs="宋体"/>
          <w:color w:val="auto"/>
          <w:spacing w:val="6"/>
          <w:szCs w:val="21"/>
          <w:highlight w:val="none"/>
          <w:lang w:eastAsia="zh-CN"/>
        </w:rPr>
      </w:pPr>
      <w:bookmarkStart w:id="105" w:name="_Toc5819"/>
      <w:r>
        <w:rPr>
          <w:rFonts w:hint="eastAsia" w:ascii="宋体" w:hAnsi="宋体" w:cs="宋体"/>
          <w:color w:val="auto"/>
          <w:spacing w:val="6"/>
          <w:szCs w:val="21"/>
          <w:highlight w:val="none"/>
        </w:rPr>
        <w:t>附件</w:t>
      </w:r>
      <w:r>
        <w:rPr>
          <w:rFonts w:hint="eastAsia" w:ascii="宋体" w:hAnsi="宋体" w:cs="宋体"/>
          <w:color w:val="auto"/>
          <w:spacing w:val="6"/>
          <w:szCs w:val="21"/>
          <w:highlight w:val="none"/>
          <w:lang w:val="en-US" w:eastAsia="zh-CN"/>
        </w:rPr>
        <w:t>2</w:t>
      </w:r>
      <w:r>
        <w:rPr>
          <w:rFonts w:hint="eastAsia" w:ascii="宋体" w:hAnsi="宋体" w:cs="宋体"/>
          <w:color w:val="auto"/>
          <w:spacing w:val="6"/>
          <w:szCs w:val="21"/>
          <w:highlight w:val="none"/>
        </w:rPr>
        <w:t xml:space="preserve"> </w:t>
      </w:r>
      <w:bookmarkEnd w:id="105"/>
      <w:r>
        <w:rPr>
          <w:rFonts w:hint="eastAsia" w:ascii="宋体" w:hAnsi="宋体" w:cs="宋体"/>
          <w:color w:val="auto"/>
          <w:spacing w:val="6"/>
          <w:szCs w:val="21"/>
          <w:highlight w:val="none"/>
          <w:lang w:eastAsia="zh-CN"/>
        </w:rPr>
        <w:t>湖南省政府采购供应商资格承诺函</w:t>
      </w:r>
    </w:p>
    <w:p w14:paraId="0F34372D">
      <w:pPr>
        <w:spacing w:before="221" w:line="221" w:lineRule="auto"/>
        <w:jc w:val="center"/>
        <w:rPr>
          <w:rFonts w:ascii="仿宋" w:hAnsi="仿宋" w:eastAsia="仿宋" w:cs="仿宋"/>
          <w:b/>
          <w:bCs/>
          <w:color w:val="auto"/>
          <w:sz w:val="28"/>
          <w:szCs w:val="28"/>
          <w:highlight w:val="none"/>
        </w:rPr>
      </w:pPr>
      <w:r>
        <w:rPr>
          <w:rFonts w:hint="eastAsia" w:ascii="宋体" w:hAnsi="宋体" w:cs="宋体"/>
          <w:b/>
          <w:color w:val="auto"/>
          <w:kern w:val="0"/>
          <w:sz w:val="36"/>
          <w:szCs w:val="36"/>
          <w:highlight w:val="none"/>
        </w:rPr>
        <w:t>湖南省政府采购</w:t>
      </w:r>
      <w:r>
        <w:rPr>
          <w:rFonts w:hint="eastAsia" w:ascii="宋体" w:hAnsi="宋体" w:cs="宋体"/>
          <w:b/>
          <w:color w:val="auto"/>
          <w:kern w:val="0"/>
          <w:sz w:val="36"/>
          <w:szCs w:val="36"/>
          <w:highlight w:val="none"/>
          <w:lang w:eastAsia="zh-CN"/>
        </w:rPr>
        <w:t>供应商</w:t>
      </w:r>
      <w:r>
        <w:rPr>
          <w:rFonts w:hint="eastAsia" w:ascii="宋体" w:hAnsi="宋体" w:cs="宋体"/>
          <w:b/>
          <w:color w:val="auto"/>
          <w:kern w:val="0"/>
          <w:sz w:val="36"/>
          <w:szCs w:val="36"/>
          <w:highlight w:val="none"/>
        </w:rPr>
        <w:t>资格承诺函</w:t>
      </w:r>
    </w:p>
    <w:p w14:paraId="5553B89F">
      <w:pPr>
        <w:spacing w:line="257" w:lineRule="auto"/>
        <w:rPr>
          <w:rFonts w:ascii="仿宋" w:hAnsi="仿宋" w:eastAsia="仿宋" w:cs="仿宋"/>
          <w:color w:val="auto"/>
          <w:szCs w:val="21"/>
          <w:highlight w:val="none"/>
        </w:rPr>
      </w:pPr>
    </w:p>
    <w:p w14:paraId="26B6A492">
      <w:pPr>
        <w:adjustRightInd w:val="0"/>
        <w:snapToGrid w:val="0"/>
        <w:spacing w:line="360" w:lineRule="auto"/>
        <w:ind w:firstLine="420" w:firstLineChars="200"/>
        <w:rPr>
          <w:rFonts w:ascii="宋体" w:hAnsi="宋体" w:cs="宋体"/>
          <w:color w:val="auto"/>
          <w:szCs w:val="21"/>
          <w:highlight w:val="none"/>
        </w:rPr>
      </w:pPr>
    </w:p>
    <w:p w14:paraId="7B4437A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本公司独立承担民事责任、具有良好的商业信誉和健全的财务会计制度、依法缴纳税收和社会保障资金，在前三年的经营活动中无重大违法记录，未列入严重失信行为名单，符合政府采购投标人的基本资格要求。</w:t>
      </w:r>
    </w:p>
    <w:p w14:paraId="00E13E9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按照《政府采购促进中小企业发展管理办法》(财库〔2020〕46号)，本公司企业规模为:</w:t>
      </w:r>
    </w:p>
    <w:p w14:paraId="72A2DF0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大型□      中型□     小型□     微型□；</w:t>
      </w:r>
    </w:p>
    <w:p w14:paraId="40827DF1">
      <w:pPr>
        <w:adjustRightInd w:val="0"/>
        <w:snapToGrid w:val="0"/>
        <w:spacing w:line="360" w:lineRule="auto"/>
        <w:ind w:firstLine="420" w:firstLineChars="200"/>
        <w:rPr>
          <w:rFonts w:ascii="宋体" w:hAnsi="宋体" w:cs="宋体"/>
          <w:color w:val="auto"/>
          <w:szCs w:val="21"/>
          <w:highlight w:val="none"/>
        </w:rPr>
      </w:pPr>
    </w:p>
    <w:p w14:paraId="39DA646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□本公司自愿入驻湖南省政府采购电子卖场，遵守《湖南省政府采购电子卖场管理办法》(湘财购〔2019〕27号)，如违反承诺，同意金融机构将增信保证划缴国库</w:t>
      </w:r>
      <w:r>
        <w:rPr>
          <w:rFonts w:hint="eastAsia" w:ascii="宋体" w:hAnsi="宋体" w:cs="宋体"/>
          <w:b/>
          <w:bCs/>
          <w:color w:val="auto"/>
          <w:szCs w:val="21"/>
          <w:highlight w:val="none"/>
        </w:rPr>
        <w:t>(非电子卖场采购活动项目不需勾选)</w:t>
      </w:r>
      <w:r>
        <w:rPr>
          <w:rFonts w:hint="eastAsia" w:ascii="宋体" w:hAnsi="宋体" w:cs="宋体"/>
          <w:color w:val="auto"/>
          <w:szCs w:val="21"/>
          <w:highlight w:val="none"/>
        </w:rPr>
        <w:t>。</w:t>
      </w:r>
    </w:p>
    <w:p w14:paraId="29B54C11">
      <w:pPr>
        <w:spacing w:line="339" w:lineRule="auto"/>
        <w:rPr>
          <w:rFonts w:ascii="宋体" w:hAnsi="宋体" w:cs="宋体"/>
          <w:color w:val="auto"/>
          <w:szCs w:val="21"/>
          <w:highlight w:val="none"/>
        </w:rPr>
      </w:pPr>
    </w:p>
    <w:p w14:paraId="027AD5F3">
      <w:pPr>
        <w:spacing w:line="340" w:lineRule="auto"/>
        <w:rPr>
          <w:rFonts w:ascii="宋体" w:hAnsi="宋体" w:cs="宋体"/>
          <w:color w:val="auto"/>
          <w:szCs w:val="21"/>
          <w:highlight w:val="none"/>
        </w:rPr>
      </w:pPr>
    </w:p>
    <w:p w14:paraId="7315ECA3">
      <w:pPr>
        <w:spacing w:before="221" w:line="223" w:lineRule="auto"/>
        <w:jc w:val="right"/>
        <w:rPr>
          <w:rFonts w:ascii="宋体" w:hAnsi="宋体" w:cs="宋体"/>
          <w:color w:val="auto"/>
          <w:szCs w:val="21"/>
          <w:highlight w:val="none"/>
        </w:rPr>
      </w:pPr>
      <w:r>
        <w:rPr>
          <w:rFonts w:hint="eastAsia" w:ascii="宋体" w:hAnsi="宋体" w:cs="宋体"/>
          <w:color w:val="auto"/>
          <w:spacing w:val="17"/>
          <w:szCs w:val="21"/>
          <w:highlight w:val="none"/>
        </w:rPr>
        <w:t>公司(单位)名称(盖章)</w:t>
      </w:r>
    </w:p>
    <w:p w14:paraId="40403450">
      <w:pPr>
        <w:spacing w:line="284" w:lineRule="auto"/>
        <w:rPr>
          <w:rFonts w:ascii="宋体" w:hAnsi="宋体" w:cs="宋体"/>
          <w:color w:val="auto"/>
          <w:szCs w:val="21"/>
          <w:highlight w:val="none"/>
        </w:rPr>
      </w:pPr>
    </w:p>
    <w:p w14:paraId="19A9034C">
      <w:pPr>
        <w:spacing w:line="285" w:lineRule="auto"/>
        <w:jc w:val="righ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DB3A75E">
      <w:pPr>
        <w:spacing w:line="285" w:lineRule="auto"/>
        <w:rPr>
          <w:rFonts w:ascii="宋体" w:hAnsi="宋体" w:cs="宋体"/>
          <w:color w:val="auto"/>
          <w:szCs w:val="21"/>
          <w:highlight w:val="none"/>
        </w:rPr>
      </w:pPr>
    </w:p>
    <w:p w14:paraId="44B272F1">
      <w:pPr>
        <w:adjustRightInd w:val="0"/>
        <w:snapToGrid w:val="0"/>
        <w:spacing w:line="360" w:lineRule="auto"/>
        <w:ind w:firstLine="420" w:firstLineChars="200"/>
        <w:rPr>
          <w:rFonts w:ascii="宋体" w:hAnsi="宋体" w:cs="宋体"/>
          <w:color w:val="auto"/>
          <w:szCs w:val="21"/>
          <w:highlight w:val="none"/>
        </w:rPr>
      </w:pPr>
    </w:p>
    <w:p w14:paraId="66C87F92">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机构代码：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注册登记机构：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有效期：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38D60F7">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注册资本：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经济行业：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经济性质：</w:t>
      </w:r>
      <w:r>
        <w:rPr>
          <w:rFonts w:hint="eastAsia" w:ascii="宋体" w:hAnsi="宋体" w:cs="宋体"/>
          <w:color w:val="auto"/>
          <w:szCs w:val="21"/>
          <w:highlight w:val="none"/>
          <w:u w:val="single"/>
        </w:rPr>
        <w:t xml:space="preserve">        </w:t>
      </w:r>
    </w:p>
    <w:p w14:paraId="38B6E129">
      <w:pPr>
        <w:adjustRightInd w:val="0"/>
        <w:snapToGrid w:val="0"/>
        <w:spacing w:line="360" w:lineRule="auto"/>
        <w:ind w:firstLine="420" w:firstLineChars="200"/>
        <w:rPr>
          <w:rFonts w:ascii="宋体" w:hAnsi="宋体" w:cs="宋体"/>
          <w:color w:val="auto"/>
          <w:szCs w:val="21"/>
          <w:highlight w:val="none"/>
        </w:rPr>
      </w:pPr>
    </w:p>
    <w:p w14:paraId="07E469A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法定代表人(负责人)姓名(签字)：</w:t>
      </w:r>
    </w:p>
    <w:p w14:paraId="5C15EF6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p>
    <w:p w14:paraId="4CC7156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手机号:</w:t>
      </w:r>
    </w:p>
    <w:p w14:paraId="5C1A16FA">
      <w:pPr>
        <w:adjustRightInd w:val="0"/>
        <w:snapToGrid w:val="0"/>
        <w:spacing w:line="360" w:lineRule="auto"/>
        <w:ind w:firstLine="420" w:firstLineChars="200"/>
        <w:rPr>
          <w:rFonts w:ascii="宋体" w:hAnsi="宋体" w:cs="宋体"/>
          <w:color w:val="auto"/>
          <w:szCs w:val="21"/>
          <w:highlight w:val="none"/>
        </w:rPr>
      </w:pPr>
    </w:p>
    <w:p w14:paraId="3F46823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授权代表人姓名(签字)：</w:t>
      </w:r>
    </w:p>
    <w:p w14:paraId="162C64B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p>
    <w:p w14:paraId="3E777E66">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手机号:</w:t>
      </w:r>
    </w:p>
    <w:p w14:paraId="684902E4">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4C21FAD8">
      <w:pPr>
        <w:pStyle w:val="7"/>
        <w:rPr>
          <w:rFonts w:ascii="宋体" w:hAnsi="宋体" w:eastAsia="宋体" w:cs="宋体"/>
          <w:b w:val="0"/>
          <w:color w:val="auto"/>
          <w:sz w:val="21"/>
          <w:szCs w:val="21"/>
          <w:highlight w:val="none"/>
        </w:rPr>
      </w:pPr>
      <w:bookmarkStart w:id="106" w:name="_Toc31661"/>
      <w:bookmarkStart w:id="107" w:name="_Toc8383"/>
      <w:r>
        <w:rPr>
          <w:rFonts w:hint="eastAsia" w:ascii="宋体" w:hAnsi="宋体" w:eastAsia="宋体" w:cs="宋体"/>
          <w:b w:val="0"/>
          <w:color w:val="auto"/>
          <w:sz w:val="21"/>
          <w:szCs w:val="21"/>
          <w:highlight w:val="none"/>
        </w:rPr>
        <w:t>附件</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rPr>
        <w:t xml:space="preserve"> 符合特定资格条件证明材料复印件或者情况说明</w:t>
      </w:r>
      <w:bookmarkEnd w:id="106"/>
      <w:bookmarkEnd w:id="107"/>
    </w:p>
    <w:p w14:paraId="0DF4D8C7">
      <w:pPr>
        <w:widowControl/>
        <w:adjustRightInd w:val="0"/>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符合特定资格条件证明材料复印件或者情况说明</w:t>
      </w:r>
    </w:p>
    <w:p w14:paraId="040F1AF9">
      <w:pPr>
        <w:rPr>
          <w:rFonts w:ascii="宋体" w:hAnsi="宋体" w:cs="宋体"/>
          <w:color w:val="auto"/>
          <w:szCs w:val="21"/>
          <w:highlight w:val="none"/>
        </w:rPr>
      </w:pPr>
    </w:p>
    <w:p w14:paraId="25119002">
      <w:pPr>
        <w:rPr>
          <w:rFonts w:ascii="宋体" w:hAnsi="宋体" w:cs="宋体"/>
          <w:color w:val="auto"/>
          <w:szCs w:val="21"/>
          <w:highlight w:val="none"/>
        </w:rPr>
      </w:pPr>
      <w:r>
        <w:rPr>
          <w:rFonts w:hint="eastAsia" w:ascii="宋体" w:hAnsi="宋体" w:cs="宋体"/>
          <w:color w:val="auto"/>
          <w:szCs w:val="21"/>
          <w:highlight w:val="none"/>
        </w:rPr>
        <w:t>注：按第二章第14.1（3）项要求提供。</w:t>
      </w:r>
    </w:p>
    <w:p w14:paraId="47A76EF7">
      <w:pPr>
        <w:rPr>
          <w:color w:val="auto"/>
          <w:highlight w:val="none"/>
        </w:rPr>
      </w:pPr>
      <w:r>
        <w:rPr>
          <w:color w:val="auto"/>
          <w:highlight w:val="none"/>
        </w:rPr>
        <w:br w:type="page"/>
      </w:r>
    </w:p>
    <w:p w14:paraId="768111FF">
      <w:pPr>
        <w:pStyle w:val="63"/>
        <w:rPr>
          <w:color w:val="auto"/>
          <w:highlight w:val="none"/>
        </w:rPr>
      </w:pPr>
    </w:p>
    <w:p w14:paraId="20959796">
      <w:pPr>
        <w:pStyle w:val="14"/>
        <w:ind w:firstLine="0"/>
        <w:rPr>
          <w:color w:val="auto"/>
          <w:highlight w:val="none"/>
        </w:rPr>
      </w:pPr>
    </w:p>
    <w:p w14:paraId="755BAA58">
      <w:pPr>
        <w:rPr>
          <w:rFonts w:ascii="宋体" w:hAnsi="宋体" w:cs="宋体"/>
          <w:color w:val="auto"/>
          <w:szCs w:val="21"/>
          <w:highlight w:val="none"/>
        </w:rPr>
      </w:pPr>
    </w:p>
    <w:p w14:paraId="0F9405E2">
      <w:pPr>
        <w:pStyle w:val="44"/>
        <w:rPr>
          <w:color w:val="auto"/>
          <w:highlight w:val="none"/>
        </w:rPr>
      </w:pPr>
    </w:p>
    <w:p w14:paraId="1492E640">
      <w:pPr>
        <w:adjustRightInd w:val="0"/>
        <w:snapToGrid w:val="0"/>
        <w:spacing w:line="360" w:lineRule="auto"/>
        <w:jc w:val="center"/>
        <w:rPr>
          <w:rFonts w:ascii="宋体" w:hAnsi="宋体" w:cs="宋体"/>
          <w:color w:val="auto"/>
          <w:sz w:val="32"/>
          <w:szCs w:val="32"/>
          <w:highlight w:val="none"/>
        </w:rPr>
      </w:pPr>
    </w:p>
    <w:p w14:paraId="1EF56939">
      <w:pPr>
        <w:adjustRightInd w:val="0"/>
        <w:snapToGrid w:val="0"/>
        <w:spacing w:line="360" w:lineRule="auto"/>
        <w:jc w:val="center"/>
        <w:rPr>
          <w:rFonts w:ascii="宋体" w:hAnsi="宋体" w:cs="宋体"/>
          <w:color w:val="auto"/>
          <w:sz w:val="32"/>
          <w:szCs w:val="32"/>
          <w:highlight w:val="none"/>
        </w:rPr>
      </w:pPr>
    </w:p>
    <w:p w14:paraId="7447F93A">
      <w:pPr>
        <w:pStyle w:val="26"/>
        <w:adjustRightInd w:val="0"/>
        <w:snapToGrid w:val="0"/>
        <w:spacing w:line="360" w:lineRule="auto"/>
        <w:jc w:val="center"/>
        <w:rPr>
          <w:rFonts w:hAnsi="宋体" w:cs="宋体"/>
          <w:bCs/>
          <w:color w:val="auto"/>
          <w:sz w:val="72"/>
          <w:szCs w:val="72"/>
          <w:highlight w:val="none"/>
        </w:rPr>
      </w:pPr>
      <w:r>
        <w:rPr>
          <w:rFonts w:hint="eastAsia" w:hAnsi="宋体" w:cs="宋体"/>
          <w:bCs/>
          <w:color w:val="auto"/>
          <w:sz w:val="72"/>
          <w:szCs w:val="72"/>
          <w:highlight w:val="none"/>
        </w:rPr>
        <w:t>政府采购</w:t>
      </w:r>
    </w:p>
    <w:p w14:paraId="0E633915">
      <w:pPr>
        <w:adjustRightInd w:val="0"/>
        <w:snapToGrid w:val="0"/>
        <w:spacing w:line="360" w:lineRule="auto"/>
        <w:jc w:val="center"/>
        <w:rPr>
          <w:rFonts w:ascii="宋体" w:hAnsi="宋体" w:cs="宋体"/>
          <w:b/>
          <w:bCs/>
          <w:color w:val="auto"/>
          <w:sz w:val="84"/>
          <w:szCs w:val="84"/>
          <w:highlight w:val="none"/>
        </w:rPr>
      </w:pPr>
      <w:r>
        <w:rPr>
          <w:rFonts w:hint="eastAsia" w:ascii="宋体" w:hAnsi="宋体" w:cs="宋体"/>
          <w:b/>
          <w:bCs/>
          <w:color w:val="auto"/>
          <w:sz w:val="84"/>
          <w:szCs w:val="84"/>
          <w:highlight w:val="none"/>
        </w:rPr>
        <w:t>投 标 文 件</w:t>
      </w:r>
    </w:p>
    <w:p w14:paraId="6E7916F7">
      <w:pPr>
        <w:pStyle w:val="5"/>
        <w:adjustRightInd w:val="0"/>
        <w:snapToGrid w:val="0"/>
        <w:jc w:val="center"/>
        <w:rPr>
          <w:rFonts w:ascii="宋体" w:hAnsi="宋体" w:cs="宋体"/>
          <w:color w:val="auto"/>
          <w:sz w:val="44"/>
          <w:szCs w:val="44"/>
          <w:highlight w:val="none"/>
        </w:rPr>
      </w:pPr>
      <w:bookmarkStart w:id="108" w:name="_Toc13026"/>
      <w:r>
        <w:rPr>
          <w:rFonts w:hint="eastAsia" w:ascii="宋体" w:hAnsi="宋体" w:cs="宋体"/>
          <w:color w:val="auto"/>
          <w:sz w:val="44"/>
          <w:szCs w:val="44"/>
          <w:highlight w:val="none"/>
        </w:rPr>
        <w:t>第二部分 商务文件</w:t>
      </w:r>
      <w:bookmarkEnd w:id="108"/>
    </w:p>
    <w:p w14:paraId="34301C5E">
      <w:pPr>
        <w:adjustRightInd w:val="0"/>
        <w:snapToGrid w:val="0"/>
        <w:spacing w:line="360" w:lineRule="auto"/>
        <w:rPr>
          <w:rFonts w:ascii="宋体" w:hAnsi="宋体" w:cs="宋体"/>
          <w:color w:val="auto"/>
          <w:sz w:val="32"/>
          <w:szCs w:val="32"/>
          <w:highlight w:val="none"/>
        </w:rPr>
      </w:pPr>
    </w:p>
    <w:p w14:paraId="31A37BFE">
      <w:pPr>
        <w:pStyle w:val="26"/>
        <w:adjustRightInd w:val="0"/>
        <w:snapToGrid w:val="0"/>
        <w:spacing w:line="360" w:lineRule="auto"/>
        <w:ind w:firstLine="1988" w:firstLineChars="660"/>
        <w:rPr>
          <w:rFonts w:hAnsi="宋体" w:cs="宋体"/>
          <w:b/>
          <w:bCs/>
          <w:color w:val="auto"/>
          <w:sz w:val="30"/>
          <w:szCs w:val="30"/>
          <w:highlight w:val="none"/>
        </w:rPr>
      </w:pPr>
    </w:p>
    <w:p w14:paraId="28A21924">
      <w:pPr>
        <w:ind w:firstLine="1767" w:firstLineChars="550"/>
        <w:rPr>
          <w:color w:val="auto"/>
          <w:highlight w:val="none"/>
        </w:rPr>
      </w:pPr>
      <w:r>
        <w:rPr>
          <w:rFonts w:ascii="宋体" w:hAnsi="宋体" w:cs="宋体"/>
          <w:b/>
          <w:bCs/>
          <w:color w:val="auto"/>
          <w:sz w:val="32"/>
          <w:szCs w:val="32"/>
          <w:highlight w:val="none"/>
        </w:rPr>
        <w:t>采购项目名称：________________</w:t>
      </w:r>
      <w:r>
        <w:rPr>
          <w:rFonts w:ascii="宋体" w:hAnsi="宋体" w:cs="宋体"/>
          <w:color w:val="auto"/>
          <w:szCs w:val="21"/>
          <w:highlight w:val="none"/>
        </w:rPr>
        <w:t xml:space="preserve"> </w:t>
      </w:r>
    </w:p>
    <w:p w14:paraId="3D975722">
      <w:pPr>
        <w:ind w:firstLine="1767" w:firstLineChars="550"/>
        <w:rPr>
          <w:color w:val="auto"/>
          <w:highlight w:val="none"/>
        </w:rPr>
      </w:pPr>
      <w:r>
        <w:rPr>
          <w:rFonts w:ascii="宋体" w:hAnsi="宋体" w:cs="宋体"/>
          <w:b/>
          <w:bCs/>
          <w:color w:val="auto"/>
          <w:sz w:val="32"/>
          <w:szCs w:val="32"/>
          <w:highlight w:val="none"/>
        </w:rPr>
        <w:t>政府采购编号：________________</w:t>
      </w:r>
      <w:r>
        <w:rPr>
          <w:rFonts w:ascii="宋体" w:hAnsi="宋体" w:cs="宋体"/>
          <w:color w:val="auto"/>
          <w:szCs w:val="21"/>
          <w:highlight w:val="none"/>
        </w:rPr>
        <w:t xml:space="preserve"> </w:t>
      </w:r>
    </w:p>
    <w:p w14:paraId="74A1A441">
      <w:pPr>
        <w:ind w:firstLine="1767" w:firstLineChars="550"/>
        <w:rPr>
          <w:color w:val="auto"/>
          <w:highlight w:val="none"/>
        </w:rPr>
      </w:pPr>
      <w:r>
        <w:rPr>
          <w:rFonts w:hint="eastAsia" w:ascii="宋体" w:hAnsi="宋体" w:cs="宋体"/>
          <w:b/>
          <w:bCs/>
          <w:color w:val="auto"/>
          <w:sz w:val="32"/>
          <w:szCs w:val="32"/>
          <w:highlight w:val="none"/>
          <w:lang w:eastAsia="zh-CN"/>
        </w:rPr>
        <w:t>采购代理编号</w:t>
      </w:r>
      <w:r>
        <w:rPr>
          <w:rFonts w:ascii="宋体" w:hAnsi="宋体" w:cs="宋体"/>
          <w:b/>
          <w:bCs/>
          <w:color w:val="auto"/>
          <w:sz w:val="32"/>
          <w:szCs w:val="32"/>
          <w:highlight w:val="none"/>
        </w:rPr>
        <w:t>：________________</w:t>
      </w:r>
      <w:r>
        <w:rPr>
          <w:color w:val="auto"/>
          <w:szCs w:val="21"/>
          <w:highlight w:val="none"/>
        </w:rPr>
        <w:t xml:space="preserve"> </w:t>
      </w:r>
    </w:p>
    <w:p w14:paraId="66A9849F">
      <w:pPr>
        <w:adjustRightInd w:val="0"/>
        <w:snapToGrid w:val="0"/>
        <w:spacing w:line="360" w:lineRule="auto"/>
        <w:rPr>
          <w:rFonts w:ascii="宋体" w:hAnsi="宋体" w:cs="宋体"/>
          <w:color w:val="auto"/>
          <w:sz w:val="30"/>
          <w:szCs w:val="30"/>
          <w:highlight w:val="none"/>
        </w:rPr>
      </w:pPr>
    </w:p>
    <w:p w14:paraId="123D77D6">
      <w:pPr>
        <w:adjustRightInd w:val="0"/>
        <w:snapToGrid w:val="0"/>
        <w:spacing w:line="360" w:lineRule="auto"/>
        <w:rPr>
          <w:rFonts w:ascii="宋体" w:hAnsi="宋体" w:cs="宋体"/>
          <w:color w:val="auto"/>
          <w:sz w:val="30"/>
          <w:szCs w:val="30"/>
          <w:highlight w:val="none"/>
        </w:rPr>
      </w:pPr>
    </w:p>
    <w:p w14:paraId="159A562B">
      <w:pPr>
        <w:adjustRightInd w:val="0"/>
        <w:snapToGrid w:val="0"/>
        <w:spacing w:line="360" w:lineRule="auto"/>
        <w:rPr>
          <w:rFonts w:ascii="宋体" w:hAnsi="宋体" w:cs="宋体"/>
          <w:color w:val="auto"/>
          <w:sz w:val="30"/>
          <w:szCs w:val="30"/>
          <w:highlight w:val="none"/>
        </w:rPr>
      </w:pPr>
    </w:p>
    <w:p w14:paraId="5D876D1C">
      <w:pPr>
        <w:adjustRightInd w:val="0"/>
        <w:snapToGrid w:val="0"/>
        <w:spacing w:line="360" w:lineRule="auto"/>
        <w:rPr>
          <w:rFonts w:ascii="宋体" w:hAnsi="宋体" w:cs="宋体"/>
          <w:color w:val="auto"/>
          <w:sz w:val="30"/>
          <w:szCs w:val="30"/>
          <w:highlight w:val="none"/>
        </w:rPr>
      </w:pPr>
    </w:p>
    <w:p w14:paraId="67D9D56F">
      <w:pPr>
        <w:adjustRightInd w:val="0"/>
        <w:snapToGrid w:val="0"/>
        <w:spacing w:line="360" w:lineRule="auto"/>
        <w:ind w:left="1273" w:leftChars="606" w:firstLine="2"/>
        <w:rPr>
          <w:rFonts w:ascii="宋体" w:hAnsi="宋体" w:cs="宋体"/>
          <w:color w:val="auto"/>
          <w:sz w:val="32"/>
          <w:szCs w:val="32"/>
          <w:highlight w:val="none"/>
          <w:u w:val="single"/>
        </w:rPr>
      </w:pPr>
      <w:r>
        <w:rPr>
          <w:rFonts w:hint="eastAsia" w:ascii="宋体" w:hAnsi="宋体" w:cs="宋体"/>
          <w:color w:val="auto"/>
          <w:sz w:val="32"/>
          <w:szCs w:val="32"/>
          <w:highlight w:val="none"/>
        </w:rPr>
        <w:t>投标人</w:t>
      </w:r>
      <w:r>
        <w:rPr>
          <w:rFonts w:hint="eastAsia" w:ascii="宋体" w:hAnsi="宋体" w:cs="宋体"/>
          <w:color w:val="auto"/>
          <w:sz w:val="32"/>
          <w:szCs w:val="32"/>
          <w:highlight w:val="none"/>
          <w:u w:val="single"/>
        </w:rPr>
        <w:t xml:space="preserve">                         </w:t>
      </w:r>
    </w:p>
    <w:p w14:paraId="3E2EADEE">
      <w:pPr>
        <w:adjustRightInd w:val="0"/>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13048160">
      <w:pPr>
        <w:widowControl/>
        <w:jc w:val="left"/>
        <w:rPr>
          <w:rFonts w:ascii="宋体" w:hAnsi="宋体" w:cs="宋体"/>
          <w:b/>
          <w:bCs/>
          <w:color w:val="auto"/>
          <w:sz w:val="28"/>
          <w:szCs w:val="28"/>
          <w:highlight w:val="none"/>
        </w:rPr>
      </w:pPr>
      <w:r>
        <w:rPr>
          <w:rFonts w:hint="eastAsia" w:ascii="宋体" w:hAnsi="宋体" w:cs="宋体"/>
          <w:color w:val="auto"/>
          <w:highlight w:val="none"/>
          <w:u w:val="single"/>
        </w:rPr>
        <w:br w:type="page"/>
      </w:r>
    </w:p>
    <w:p w14:paraId="7611B9FB">
      <w:pPr>
        <w:pStyle w:val="6"/>
        <w:adjustRightInd w:val="0"/>
        <w:snapToGrid w:val="0"/>
        <w:spacing w:before="0" w:after="0" w:line="360" w:lineRule="auto"/>
        <w:jc w:val="center"/>
        <w:rPr>
          <w:rFonts w:ascii="宋体" w:hAnsi="宋体" w:cs="宋体"/>
          <w:color w:val="auto"/>
          <w:sz w:val="28"/>
          <w:szCs w:val="28"/>
          <w:highlight w:val="none"/>
        </w:rPr>
      </w:pPr>
      <w:bookmarkStart w:id="109" w:name="_Toc27499"/>
      <w:r>
        <w:rPr>
          <w:rFonts w:hint="eastAsia" w:ascii="宋体" w:hAnsi="宋体" w:cs="宋体"/>
          <w:color w:val="auto"/>
          <w:sz w:val="28"/>
          <w:szCs w:val="28"/>
          <w:highlight w:val="none"/>
        </w:rPr>
        <w:t>二、投标函</w:t>
      </w:r>
      <w:bookmarkEnd w:id="109"/>
    </w:p>
    <w:p w14:paraId="1B5517D0">
      <w:pPr>
        <w:adjustRightInd w:val="0"/>
        <w:snapToGrid w:val="0"/>
        <w:spacing w:beforeLines="50"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（采购人、采购代理机构）：</w:t>
      </w:r>
    </w:p>
    <w:p w14:paraId="5B6CFE41">
      <w:pPr>
        <w:adjustRightInd w:val="0"/>
        <w:snapToGrid w:val="0"/>
        <w:spacing w:beforeLines="50" w:line="360" w:lineRule="auto"/>
        <w:ind w:firstLine="435"/>
        <w:rPr>
          <w:rFonts w:ascii="宋体" w:hAnsi="宋体" w:cs="宋体"/>
          <w:color w:val="auto"/>
          <w:szCs w:val="21"/>
          <w:highlight w:val="none"/>
        </w:rPr>
      </w:pPr>
      <w:r>
        <w:rPr>
          <w:rFonts w:hint="eastAsia" w:ascii="宋体" w:hAnsi="宋体" w:cs="宋体"/>
          <w:color w:val="auto"/>
          <w:szCs w:val="21"/>
          <w:highlight w:val="none"/>
        </w:rPr>
        <w:t>根据贵方为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（项目名称）的投标邀请（</w:t>
      </w:r>
      <w:r>
        <w:rPr>
          <w:rFonts w:hint="eastAsia" w:ascii="宋体" w:hAnsi="宋体" w:cs="宋体"/>
          <w:color w:val="auto"/>
          <w:highlight w:val="none"/>
        </w:rPr>
        <w:t>政府</w:t>
      </w:r>
      <w:r>
        <w:rPr>
          <w:rFonts w:hint="eastAsia" w:ascii="宋体" w:hAnsi="宋体" w:cs="宋体"/>
          <w:iCs/>
          <w:color w:val="auto"/>
          <w:highlight w:val="none"/>
        </w:rPr>
        <w:t>采购编号：</w:t>
      </w:r>
      <w:r>
        <w:rPr>
          <w:rFonts w:hint="eastAsia" w:ascii="宋体" w:hAnsi="宋体" w:cs="宋体"/>
          <w:iCs/>
          <w:color w:val="auto"/>
          <w:highlight w:val="none"/>
          <w:u w:val="single"/>
        </w:rPr>
        <w:t xml:space="preserve">      </w:t>
      </w:r>
      <w:r>
        <w:rPr>
          <w:rFonts w:hint="eastAsia" w:ascii="宋体" w:hAnsi="宋体" w:cs="宋体"/>
          <w:iCs/>
          <w:color w:val="auto"/>
          <w:highlight w:val="none"/>
        </w:rPr>
        <w:t xml:space="preserve"> ，</w:t>
      </w:r>
      <w:r>
        <w:rPr>
          <w:rFonts w:hint="eastAsia" w:ascii="宋体" w:hAnsi="宋体" w:cs="宋体"/>
          <w:color w:val="auto"/>
          <w:szCs w:val="21"/>
          <w:highlight w:val="none"/>
        </w:rPr>
        <w:t>采购代理编号：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），签字代表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（姓名、职务）经正式授权并代表投标人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（投标人名称）提交下述投标文件电子文档一份，并在此声明，所递交的投标文件内容完整、真实。</w:t>
      </w:r>
    </w:p>
    <w:p w14:paraId="12D6968A">
      <w:pPr>
        <w:spacing w:line="400" w:lineRule="exact"/>
        <w:ind w:firstLine="420"/>
        <w:rPr>
          <w:rFonts w:ascii="宋体" w:hAnsi="宋体" w:cs="宋体"/>
          <w:color w:val="auto"/>
          <w:highlight w:val="none"/>
        </w:rPr>
      </w:pPr>
      <w:r>
        <w:rPr>
          <w:rFonts w:hint="eastAsia" w:ascii="宋体" w:hAnsi="宋体" w:cs="宋体"/>
          <w:color w:val="auto"/>
          <w:szCs w:val="21"/>
          <w:highlight w:val="none"/>
        </w:rPr>
        <w:t xml:space="preserve">在此，签字代表宣布同意如下： </w:t>
      </w:r>
    </w:p>
    <w:p w14:paraId="1CAAB5B7">
      <w:pPr>
        <w:spacing w:line="400" w:lineRule="exact"/>
        <w:ind w:firstLine="420"/>
        <w:rPr>
          <w:rFonts w:ascii="宋体" w:hAnsi="宋体" w:cs="宋体"/>
          <w:color w:val="auto"/>
          <w:highlight w:val="none"/>
        </w:rPr>
      </w:pPr>
      <w:r>
        <w:rPr>
          <w:rFonts w:hint="eastAsia" w:ascii="宋体" w:hAnsi="宋体" w:cs="宋体"/>
          <w:color w:val="auto"/>
          <w:szCs w:val="21"/>
          <w:highlight w:val="none"/>
        </w:rPr>
        <w:t>1、所附投标价格表中规定的服务投标总价为：</w:t>
      </w:r>
      <w:r>
        <w:rPr>
          <w:rFonts w:hint="eastAsia" w:ascii="宋体" w:hAnsi="宋体" w:cs="宋体"/>
          <w:color w:val="auto"/>
          <w:szCs w:val="21"/>
          <w:highlight w:val="none"/>
          <w:u w:val="single"/>
        </w:rPr>
        <w:t>    </w:t>
      </w:r>
      <w:r>
        <w:rPr>
          <w:rFonts w:hint="eastAsia" w:ascii="宋体" w:hAnsi="宋体" w:cs="宋体"/>
          <w:color w:val="auto"/>
          <w:szCs w:val="21"/>
          <w:highlight w:val="none"/>
        </w:rPr>
        <w:t xml:space="preserve">(人民币大写) 。 </w:t>
      </w:r>
    </w:p>
    <w:p w14:paraId="555DB1D3">
      <w:pPr>
        <w:spacing w:line="400" w:lineRule="exact"/>
        <w:ind w:firstLine="420"/>
        <w:rPr>
          <w:rFonts w:ascii="宋体" w:hAnsi="宋体" w:cs="宋体"/>
          <w:color w:val="auto"/>
          <w:highlight w:val="none"/>
        </w:rPr>
      </w:pPr>
      <w:r>
        <w:rPr>
          <w:rFonts w:hint="eastAsia" w:ascii="宋体" w:hAnsi="宋体" w:cs="宋体"/>
          <w:color w:val="auto"/>
          <w:szCs w:val="21"/>
          <w:highlight w:val="none"/>
        </w:rPr>
        <w:t xml:space="preserve">2、投标人将按招标文件的规定履行合同责任和义务。 </w:t>
      </w:r>
    </w:p>
    <w:p w14:paraId="3CCC9A22">
      <w:pPr>
        <w:spacing w:line="400" w:lineRule="exact"/>
        <w:ind w:firstLine="420"/>
        <w:rPr>
          <w:rFonts w:ascii="宋体" w:hAnsi="宋体" w:cs="宋体"/>
          <w:color w:val="auto"/>
          <w:highlight w:val="none"/>
        </w:rPr>
      </w:pPr>
      <w:r>
        <w:rPr>
          <w:rFonts w:hint="eastAsia" w:ascii="宋体" w:hAnsi="宋体" w:cs="宋体"/>
          <w:color w:val="auto"/>
          <w:szCs w:val="21"/>
          <w:highlight w:val="none"/>
        </w:rPr>
        <w:t xml:space="preserve">3、投标人已详细审查全部招标文件。我们完全理解并同意放弃对这方面有不明及误解的权利。 </w:t>
      </w:r>
    </w:p>
    <w:p w14:paraId="56E45D12">
      <w:pPr>
        <w:spacing w:line="400" w:lineRule="exact"/>
        <w:ind w:firstLine="420"/>
        <w:rPr>
          <w:rFonts w:ascii="宋体" w:hAnsi="宋体" w:cs="宋体"/>
          <w:color w:val="auto"/>
          <w:highlight w:val="none"/>
        </w:rPr>
      </w:pPr>
      <w:r>
        <w:rPr>
          <w:rFonts w:hint="eastAsia" w:ascii="宋体" w:hAnsi="宋体" w:cs="宋体"/>
          <w:color w:val="auto"/>
          <w:szCs w:val="21"/>
          <w:highlight w:val="none"/>
        </w:rPr>
        <w:t>4、本投标有效期为自招标文件规定的提交投标文件截止之日起</w:t>
      </w:r>
      <w:r>
        <w:rPr>
          <w:rFonts w:hint="eastAsia" w:ascii="宋体" w:hAnsi="宋体" w:cs="宋体"/>
          <w:color w:val="auto"/>
          <w:szCs w:val="21"/>
          <w:highlight w:val="none"/>
          <w:u w:val="single"/>
        </w:rPr>
        <w:t>    </w:t>
      </w:r>
      <w:r>
        <w:rPr>
          <w:rFonts w:hint="eastAsia" w:ascii="宋体" w:hAnsi="宋体" w:cs="宋体"/>
          <w:color w:val="auto"/>
          <w:szCs w:val="21"/>
          <w:highlight w:val="none"/>
        </w:rPr>
        <w:t xml:space="preserve"> 个日历日。在投标有效期内我方同意遵守本投标文件中的承诺且在此期限期满之前投标文件对我方具有法律约束力。 </w:t>
      </w:r>
    </w:p>
    <w:p w14:paraId="55FBEE7F">
      <w:pPr>
        <w:spacing w:line="400" w:lineRule="exact"/>
        <w:ind w:firstLine="420"/>
        <w:rPr>
          <w:rFonts w:ascii="宋体" w:hAnsi="宋体" w:cs="宋体"/>
          <w:color w:val="auto"/>
          <w:highlight w:val="none"/>
        </w:rPr>
      </w:pPr>
      <w:r>
        <w:rPr>
          <w:rFonts w:hint="eastAsia" w:ascii="宋体" w:hAnsi="宋体" w:cs="宋体"/>
          <w:color w:val="auto"/>
          <w:szCs w:val="21"/>
          <w:highlight w:val="none"/>
        </w:rPr>
        <w:t xml:space="preserve">5、根据第一章“投标须知”第3条规定，我方承诺： </w:t>
      </w:r>
    </w:p>
    <w:p w14:paraId="62397939">
      <w:pPr>
        <w:spacing w:line="400" w:lineRule="exact"/>
        <w:ind w:firstLine="420"/>
        <w:rPr>
          <w:rFonts w:ascii="宋体" w:hAnsi="宋体" w:cs="宋体"/>
          <w:color w:val="auto"/>
          <w:highlight w:val="none"/>
        </w:rPr>
      </w:pPr>
      <w:r>
        <w:rPr>
          <w:rFonts w:hint="eastAsia" w:ascii="宋体" w:hAnsi="宋体" w:cs="宋体"/>
          <w:color w:val="auto"/>
          <w:szCs w:val="21"/>
          <w:highlight w:val="none"/>
        </w:rPr>
        <w:t xml:space="preserve">(1) 我们在参加本项目政府采购活动前三年内，在经营活动中没有违背法律的行为，并提供“参加政府采购活动前三年内在经营活动中没有重大违法记录的书面声明”； </w:t>
      </w:r>
    </w:p>
    <w:p w14:paraId="448E9688">
      <w:pPr>
        <w:spacing w:line="400" w:lineRule="exact"/>
        <w:ind w:firstLine="420"/>
        <w:rPr>
          <w:rFonts w:ascii="宋体" w:hAnsi="宋体" w:cs="宋体"/>
          <w:color w:val="auto"/>
          <w:highlight w:val="none"/>
        </w:rPr>
      </w:pPr>
      <w:r>
        <w:rPr>
          <w:rFonts w:hint="eastAsia" w:ascii="宋体" w:hAnsi="宋体" w:cs="宋体"/>
          <w:color w:val="auto"/>
          <w:szCs w:val="21"/>
          <w:highlight w:val="none"/>
        </w:rPr>
        <w:t xml:space="preserve">(2) 我们依照有关法律的规定，没有偷税、漏税的行为，没有逃避缴纳社会保险资金的行为； </w:t>
      </w:r>
    </w:p>
    <w:p w14:paraId="2D2534C6">
      <w:pPr>
        <w:spacing w:line="400" w:lineRule="exact"/>
        <w:ind w:firstLine="420"/>
        <w:rPr>
          <w:rFonts w:ascii="宋体" w:hAnsi="宋体" w:cs="宋体"/>
          <w:color w:val="auto"/>
          <w:highlight w:val="none"/>
        </w:rPr>
      </w:pPr>
      <w:r>
        <w:rPr>
          <w:rFonts w:hint="eastAsia" w:ascii="宋体" w:hAnsi="宋体" w:cs="宋体"/>
          <w:color w:val="auto"/>
          <w:szCs w:val="21"/>
          <w:highlight w:val="none"/>
        </w:rPr>
        <w:t xml:space="preserve">(3) 与招标人和采购代理机构无任何的隶属关系或者其他利害关系。 </w:t>
      </w:r>
    </w:p>
    <w:p w14:paraId="0DF75B7A">
      <w:pPr>
        <w:spacing w:line="400" w:lineRule="exact"/>
        <w:ind w:firstLine="420"/>
        <w:rPr>
          <w:rFonts w:ascii="宋体" w:hAnsi="宋体" w:cs="宋体"/>
          <w:color w:val="auto"/>
          <w:highlight w:val="none"/>
        </w:rPr>
      </w:pPr>
      <w:r>
        <w:rPr>
          <w:rFonts w:hint="eastAsia" w:ascii="宋体" w:hAnsi="宋体" w:cs="宋体"/>
          <w:color w:val="auto"/>
          <w:szCs w:val="21"/>
          <w:highlight w:val="none"/>
        </w:rPr>
        <w:t xml:space="preserve">6、同意提供贵方可能要求的与其投标有关的一切数据或资料。 </w:t>
      </w:r>
    </w:p>
    <w:p w14:paraId="78D15DFD">
      <w:pPr>
        <w:spacing w:line="400" w:lineRule="exact"/>
        <w:ind w:firstLine="420"/>
        <w:rPr>
          <w:rFonts w:ascii="宋体" w:hAnsi="宋体" w:cs="宋体"/>
          <w:color w:val="auto"/>
          <w:highlight w:val="none"/>
        </w:rPr>
      </w:pPr>
      <w:r>
        <w:rPr>
          <w:rFonts w:hint="eastAsia" w:ascii="宋体" w:hAnsi="宋体" w:cs="宋体"/>
          <w:color w:val="auto"/>
          <w:szCs w:val="21"/>
          <w:highlight w:val="none"/>
        </w:rPr>
        <w:t xml:space="preserve">7、废标后，在收到贵方的通知后，我方本投标函及所有投标文件中声明、授权、承诺、盖章签字等，对于贵方采用竞争性谈判采购仍然有效。我方遵守贵方招标文件关于特殊情形采用竞争性谈判采购的有关规定，并无异议。 </w:t>
      </w:r>
    </w:p>
    <w:p w14:paraId="6976D891">
      <w:pPr>
        <w:spacing w:line="400" w:lineRule="exact"/>
        <w:ind w:firstLine="420"/>
        <w:rPr>
          <w:rFonts w:ascii="宋体" w:hAnsi="宋体" w:cs="宋体"/>
          <w:color w:val="auto"/>
          <w:highlight w:val="none"/>
        </w:rPr>
      </w:pPr>
      <w:r>
        <w:rPr>
          <w:rFonts w:hint="eastAsia" w:ascii="宋体" w:hAnsi="宋体" w:cs="宋体"/>
          <w:color w:val="auto"/>
          <w:szCs w:val="21"/>
          <w:highlight w:val="none"/>
        </w:rPr>
        <w:t xml:space="preserve">8、与本投标有关的一切正式往来信函请寄： </w:t>
      </w:r>
    </w:p>
    <w:p w14:paraId="585B06A2">
      <w:pPr>
        <w:adjustRightInd w:val="0"/>
        <w:snapToGrid w:val="0"/>
        <w:spacing w:beforeLines="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；电子邮箱：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40DC5A3">
      <w:pPr>
        <w:adjustRightInd w:val="0"/>
        <w:snapToGrid w:val="0"/>
        <w:spacing w:beforeLines="50" w:line="360" w:lineRule="auto"/>
        <w:ind w:firstLine="420" w:firstLineChars="200"/>
        <w:rPr>
          <w:rFonts w:ascii="宋体" w:hAnsi="宋体" w:cs="宋体"/>
          <w:color w:val="auto"/>
          <w:szCs w:val="21"/>
          <w:highlight w:val="none"/>
        </w:rPr>
      </w:pPr>
    </w:p>
    <w:p w14:paraId="3853C7DF">
      <w:pPr>
        <w:pStyle w:val="26"/>
        <w:adjustRightInd w:val="0"/>
        <w:snapToGrid w:val="0"/>
        <w:spacing w:beforeLines="50" w:line="360" w:lineRule="auto"/>
        <w:rPr>
          <w:rFonts w:hAnsi="宋体" w:cs="宋体"/>
          <w:color w:val="auto"/>
          <w:highlight w:val="none"/>
        </w:rPr>
      </w:pPr>
      <w:r>
        <w:rPr>
          <w:rFonts w:hint="eastAsia" w:hAnsi="宋体" w:cs="宋体"/>
          <w:color w:val="auto"/>
          <w:highlight w:val="none"/>
        </w:rPr>
        <w:t xml:space="preserve">投标人名称（盖单位章）：                       </w:t>
      </w:r>
    </w:p>
    <w:p w14:paraId="1BB57AB7">
      <w:pPr>
        <w:adjustRightInd w:val="0"/>
        <w:snapToGrid w:val="0"/>
        <w:spacing w:beforeLines="50" w:line="360" w:lineRule="auto"/>
        <w:rPr>
          <w:rFonts w:ascii="宋体" w:hAnsi="宋体" w:cs="宋体"/>
          <w:color w:val="auto"/>
          <w:szCs w:val="21"/>
          <w:highlight w:val="none"/>
          <w:u w:val="single"/>
        </w:rPr>
      </w:pPr>
      <w:r>
        <w:rPr>
          <w:rFonts w:hint="eastAsia" w:ascii="宋体" w:hAnsi="宋体" w:cs="宋体"/>
          <w:color w:val="auto"/>
          <w:spacing w:val="-2"/>
          <w:kern w:val="0"/>
          <w:szCs w:val="21"/>
          <w:highlight w:val="none"/>
        </w:rPr>
        <w:t>法</w:t>
      </w:r>
      <w:r>
        <w:rPr>
          <w:rFonts w:hint="eastAsia" w:ascii="宋体" w:hAnsi="宋体" w:cs="宋体"/>
          <w:color w:val="auto"/>
          <w:kern w:val="0"/>
          <w:szCs w:val="21"/>
          <w:highlight w:val="none"/>
        </w:rPr>
        <w:t>定</w:t>
      </w:r>
      <w:r>
        <w:rPr>
          <w:rFonts w:hint="eastAsia" w:ascii="宋体" w:hAnsi="宋体" w:cs="宋体"/>
          <w:color w:val="auto"/>
          <w:spacing w:val="-2"/>
          <w:kern w:val="0"/>
          <w:szCs w:val="21"/>
          <w:highlight w:val="none"/>
        </w:rPr>
        <w:t>代</w:t>
      </w:r>
      <w:r>
        <w:rPr>
          <w:rFonts w:hint="eastAsia" w:ascii="宋体" w:hAnsi="宋体" w:cs="宋体"/>
          <w:color w:val="auto"/>
          <w:kern w:val="0"/>
          <w:szCs w:val="21"/>
          <w:highlight w:val="none"/>
        </w:rPr>
        <w:t>表</w:t>
      </w:r>
      <w:r>
        <w:rPr>
          <w:rFonts w:hint="eastAsia" w:ascii="宋体" w:hAnsi="宋体" w:cs="宋体"/>
          <w:color w:val="auto"/>
          <w:spacing w:val="-2"/>
          <w:kern w:val="0"/>
          <w:szCs w:val="21"/>
          <w:highlight w:val="none"/>
        </w:rPr>
        <w:t>人</w:t>
      </w:r>
      <w:r>
        <w:rPr>
          <w:rFonts w:hint="eastAsia" w:ascii="宋体" w:hAnsi="宋体" w:cs="宋体"/>
          <w:color w:val="auto"/>
          <w:kern w:val="0"/>
          <w:szCs w:val="21"/>
          <w:highlight w:val="none"/>
        </w:rPr>
        <w:t>（</w:t>
      </w:r>
      <w:r>
        <w:rPr>
          <w:rFonts w:hint="eastAsia" w:ascii="宋体" w:hAnsi="宋体" w:cs="宋体"/>
          <w:color w:val="auto"/>
          <w:spacing w:val="-2"/>
          <w:kern w:val="0"/>
          <w:szCs w:val="21"/>
          <w:highlight w:val="none"/>
        </w:rPr>
        <w:t>单</w:t>
      </w:r>
      <w:r>
        <w:rPr>
          <w:rFonts w:hint="eastAsia" w:ascii="宋体" w:hAnsi="宋体" w:cs="宋体"/>
          <w:color w:val="auto"/>
          <w:kern w:val="0"/>
          <w:szCs w:val="21"/>
          <w:highlight w:val="none"/>
        </w:rPr>
        <w:t>位</w:t>
      </w:r>
      <w:r>
        <w:rPr>
          <w:rFonts w:hint="eastAsia" w:ascii="宋体" w:hAnsi="宋体" w:cs="宋体"/>
          <w:color w:val="auto"/>
          <w:spacing w:val="-2"/>
          <w:kern w:val="0"/>
          <w:szCs w:val="21"/>
          <w:highlight w:val="none"/>
        </w:rPr>
        <w:t>负</w:t>
      </w:r>
      <w:r>
        <w:rPr>
          <w:rFonts w:hint="eastAsia" w:ascii="宋体" w:hAnsi="宋体" w:cs="宋体"/>
          <w:color w:val="auto"/>
          <w:kern w:val="0"/>
          <w:szCs w:val="21"/>
          <w:highlight w:val="none"/>
        </w:rPr>
        <w:t>责人</w:t>
      </w:r>
      <w:r>
        <w:rPr>
          <w:rFonts w:hint="eastAsia" w:ascii="宋体" w:hAnsi="宋体" w:cs="宋体"/>
          <w:color w:val="auto"/>
          <w:spacing w:val="-2"/>
          <w:kern w:val="0"/>
          <w:szCs w:val="21"/>
          <w:highlight w:val="none"/>
        </w:rPr>
        <w:t>）</w:t>
      </w:r>
      <w:r>
        <w:rPr>
          <w:rFonts w:hint="eastAsia" w:ascii="宋体" w:hAnsi="宋体" w:cs="宋体"/>
          <w:color w:val="auto"/>
          <w:szCs w:val="21"/>
          <w:highlight w:val="none"/>
        </w:rPr>
        <w:t>或其授权的代理人（签字或印章）：</w:t>
      </w:r>
      <w:r>
        <w:rPr>
          <w:rFonts w:hint="eastAsia" w:ascii="宋体" w:hAnsi="宋体" w:cs="宋体"/>
          <w:color w:val="auto"/>
          <w:szCs w:val="21"/>
          <w:highlight w:val="none"/>
          <w:u w:val="single"/>
        </w:rPr>
        <w:t xml:space="preserve">               </w:t>
      </w:r>
    </w:p>
    <w:p w14:paraId="790E8C5D">
      <w:pPr>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6FA005A">
      <w:pPr>
        <w:rPr>
          <w:rFonts w:ascii="宋体" w:hAnsi="宋体" w:cs="宋体"/>
          <w:color w:val="auto"/>
          <w:szCs w:val="21"/>
          <w:highlight w:val="none"/>
        </w:rPr>
      </w:pPr>
    </w:p>
    <w:p w14:paraId="39B1EE6D">
      <w:pPr>
        <w:spacing w:line="400" w:lineRule="exact"/>
        <w:rPr>
          <w:rFonts w:ascii="宋体" w:hAnsi="宋体" w:cs="宋体"/>
          <w:color w:val="auto"/>
          <w:szCs w:val="21"/>
          <w:highlight w:val="none"/>
        </w:rPr>
      </w:pPr>
      <w:r>
        <w:rPr>
          <w:rFonts w:ascii="宋体" w:hAnsi="宋体" w:cs="宋体"/>
          <w:color w:val="auto"/>
          <w:szCs w:val="21"/>
          <w:highlight w:val="none"/>
        </w:rPr>
        <w:t>备注：</w:t>
      </w:r>
    </w:p>
    <w:p w14:paraId="40F51082">
      <w:pPr>
        <w:spacing w:line="400" w:lineRule="exact"/>
        <w:rPr>
          <w:rFonts w:ascii="宋体" w:hAnsi="宋体"/>
          <w:color w:val="auto"/>
          <w:highlight w:val="none"/>
        </w:rPr>
      </w:pPr>
      <w:r>
        <w:rPr>
          <w:rFonts w:ascii="宋体" w:hAnsi="宋体"/>
          <w:color w:val="auto"/>
          <w:szCs w:val="21"/>
          <w:highlight w:val="none"/>
        </w:rPr>
        <w:t>1</w:t>
      </w:r>
      <w:r>
        <w:rPr>
          <w:rFonts w:ascii="宋体" w:hAnsi="宋体" w:cs="宋体"/>
          <w:color w:val="auto"/>
          <w:szCs w:val="21"/>
          <w:highlight w:val="none"/>
        </w:rPr>
        <w:t>、除可填报项目外，对本投标函的任何修改将被视为非实质性响应投标，在评标时将其视为无效投标。</w:t>
      </w:r>
      <w:r>
        <w:rPr>
          <w:rFonts w:ascii="宋体" w:hAnsi="宋体"/>
          <w:color w:val="auto"/>
          <w:szCs w:val="21"/>
          <w:highlight w:val="none"/>
        </w:rPr>
        <w:t xml:space="preserve"> </w:t>
      </w:r>
    </w:p>
    <w:p w14:paraId="272FC040">
      <w:pPr>
        <w:rPr>
          <w:color w:val="auto"/>
          <w:highlight w:val="none"/>
        </w:rPr>
      </w:pPr>
      <w:r>
        <w:rPr>
          <w:rFonts w:ascii="宋体" w:hAnsi="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投标人</w:t>
      </w:r>
      <w:r>
        <w:rPr>
          <w:rFonts w:ascii="宋体" w:hAnsi="宋体" w:cs="宋体"/>
          <w:color w:val="auto"/>
          <w:szCs w:val="21"/>
          <w:highlight w:val="none"/>
        </w:rPr>
        <w:t>注册成立不足三年的，承诺与声明从单位成立始至参加本项目政府采购活动止</w:t>
      </w:r>
      <w:r>
        <w:rPr>
          <w:rFonts w:hint="eastAsia" w:ascii="宋体" w:hAnsi="宋体" w:cs="宋体"/>
          <w:color w:val="auto"/>
          <w:szCs w:val="21"/>
          <w:highlight w:val="none"/>
        </w:rPr>
        <w:t>。</w:t>
      </w:r>
    </w:p>
    <w:p w14:paraId="7CBC9E7C">
      <w:pPr>
        <w:rPr>
          <w:rFonts w:ascii="宋体" w:hAnsi="宋体" w:cs="宋体"/>
          <w:color w:val="auto"/>
          <w:highlight w:val="none"/>
        </w:rPr>
      </w:pPr>
      <w:r>
        <w:rPr>
          <w:rFonts w:hint="eastAsia" w:ascii="宋体" w:hAnsi="宋体" w:cs="宋体"/>
          <w:b/>
          <w:bCs/>
          <w:color w:val="auto"/>
          <w:sz w:val="28"/>
          <w:szCs w:val="28"/>
          <w:highlight w:val="none"/>
        </w:rPr>
        <w:br w:type="page"/>
      </w:r>
    </w:p>
    <w:p w14:paraId="7B7366F2">
      <w:pPr>
        <w:pStyle w:val="6"/>
        <w:adjustRightInd w:val="0"/>
        <w:snapToGrid w:val="0"/>
        <w:spacing w:before="0" w:after="0" w:line="360" w:lineRule="auto"/>
        <w:jc w:val="center"/>
        <w:rPr>
          <w:rFonts w:ascii="宋体" w:hAnsi="宋体" w:cs="宋体"/>
          <w:color w:val="auto"/>
          <w:sz w:val="28"/>
          <w:szCs w:val="28"/>
          <w:highlight w:val="none"/>
        </w:rPr>
      </w:pPr>
      <w:bookmarkStart w:id="110" w:name="_Toc23556"/>
      <w:r>
        <w:rPr>
          <w:rFonts w:hint="eastAsia" w:ascii="宋体" w:hAnsi="宋体" w:cs="宋体"/>
          <w:color w:val="auto"/>
          <w:sz w:val="28"/>
          <w:szCs w:val="28"/>
          <w:highlight w:val="none"/>
        </w:rPr>
        <w:t>三、开标一览表</w:t>
      </w:r>
      <w:bookmarkEnd w:id="110"/>
    </w:p>
    <w:p w14:paraId="3F1917E2">
      <w:pPr>
        <w:adjustRightInd w:val="0"/>
        <w:snapToGrid w:val="0"/>
        <w:spacing w:line="360" w:lineRule="auto"/>
        <w:ind w:left="-88" w:leftChars="-42"/>
        <w:jc w:val="center"/>
        <w:rPr>
          <w:rFonts w:ascii="宋体" w:hAnsi="宋体" w:cs="宋体"/>
          <w:color w:val="auto"/>
          <w:sz w:val="24"/>
          <w:highlight w:val="none"/>
        </w:rPr>
      </w:pPr>
    </w:p>
    <w:p w14:paraId="095D365B">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57BB1D3F">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包号：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包名称：</w:t>
      </w:r>
      <w:r>
        <w:rPr>
          <w:rFonts w:hint="eastAsia" w:ascii="宋体" w:hAnsi="宋体" w:cs="宋体"/>
          <w:color w:val="auto"/>
          <w:szCs w:val="21"/>
          <w:highlight w:val="none"/>
          <w:u w:val="single"/>
        </w:rPr>
        <w:t xml:space="preserve">             </w:t>
      </w:r>
    </w:p>
    <w:tbl>
      <w:tblPr>
        <w:tblStyle w:val="46"/>
        <w:tblW w:w="878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119"/>
      </w:tblGrid>
      <w:tr w14:paraId="4FE55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670" w:type="dxa"/>
            <w:tcBorders>
              <w:tl2br w:val="nil"/>
              <w:tr2bl w:val="nil"/>
            </w:tcBorders>
            <w:vAlign w:val="center"/>
          </w:tcPr>
          <w:p w14:paraId="64E90862">
            <w:pPr>
              <w:adjustRightInd w:val="0"/>
              <w:snapToGrid w:val="0"/>
              <w:spacing w:line="360" w:lineRule="auto"/>
              <w:jc w:val="center"/>
              <w:rPr>
                <w:rFonts w:ascii="宋体" w:hAnsi="宋体" w:cs="宋体"/>
                <w:b/>
                <w:color w:val="auto"/>
                <w:kern w:val="0"/>
                <w:sz w:val="20"/>
                <w:szCs w:val="21"/>
                <w:highlight w:val="none"/>
              </w:rPr>
            </w:pPr>
            <w:r>
              <w:rPr>
                <w:rFonts w:hint="eastAsia" w:ascii="宋体" w:hAnsi="宋体" w:cs="宋体"/>
                <w:b/>
                <w:color w:val="auto"/>
                <w:kern w:val="0"/>
                <w:szCs w:val="21"/>
                <w:highlight w:val="none"/>
              </w:rPr>
              <w:t>投标报价</w:t>
            </w:r>
          </w:p>
        </w:tc>
        <w:tc>
          <w:tcPr>
            <w:tcW w:w="3119" w:type="dxa"/>
            <w:tcBorders>
              <w:tl2br w:val="nil"/>
              <w:tr2bl w:val="nil"/>
            </w:tcBorders>
            <w:vAlign w:val="center"/>
          </w:tcPr>
          <w:p w14:paraId="30E0A50F">
            <w:pPr>
              <w:adjustRightInd w:val="0"/>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其他内容</w:t>
            </w:r>
          </w:p>
        </w:tc>
      </w:tr>
      <w:tr w14:paraId="5AE556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670" w:type="dxa"/>
            <w:tcBorders>
              <w:tl2br w:val="nil"/>
              <w:tr2bl w:val="nil"/>
            </w:tcBorders>
            <w:vAlign w:val="center"/>
          </w:tcPr>
          <w:p w14:paraId="42EE376A">
            <w:pPr>
              <w:adjustRightInd w:val="0"/>
              <w:snapToGrid w:val="0"/>
              <w:spacing w:line="360" w:lineRule="auto"/>
              <w:jc w:val="center"/>
              <w:rPr>
                <w:rFonts w:ascii="宋体" w:hAnsi="宋体" w:cs="宋体"/>
                <w:color w:val="auto"/>
                <w:kern w:val="0"/>
                <w:sz w:val="20"/>
                <w:szCs w:val="21"/>
                <w:highlight w:val="none"/>
              </w:rPr>
            </w:pPr>
          </w:p>
        </w:tc>
        <w:tc>
          <w:tcPr>
            <w:tcW w:w="3119" w:type="dxa"/>
            <w:tcBorders>
              <w:tl2br w:val="nil"/>
              <w:tr2bl w:val="nil"/>
            </w:tcBorders>
            <w:vAlign w:val="center"/>
          </w:tcPr>
          <w:p w14:paraId="0EB30EFB">
            <w:pPr>
              <w:adjustRightInd w:val="0"/>
              <w:snapToGrid w:val="0"/>
              <w:spacing w:line="360" w:lineRule="auto"/>
              <w:jc w:val="center"/>
              <w:rPr>
                <w:rFonts w:ascii="宋体" w:hAnsi="宋体" w:cs="宋体"/>
                <w:color w:val="auto"/>
                <w:kern w:val="0"/>
                <w:szCs w:val="21"/>
                <w:highlight w:val="none"/>
              </w:rPr>
            </w:pPr>
          </w:p>
        </w:tc>
      </w:tr>
    </w:tbl>
    <w:p w14:paraId="59861EA0">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备注：</w:t>
      </w:r>
      <w:r>
        <w:rPr>
          <w:rFonts w:hint="eastAsia" w:ascii="宋体" w:hAnsi="宋体" w:cs="宋体"/>
          <w:color w:val="auto"/>
          <w:szCs w:val="21"/>
          <w:highlight w:val="none"/>
        </w:rPr>
        <w:t>（1）本表须按包填写，一个“包号”一份。</w:t>
      </w:r>
    </w:p>
    <w:p w14:paraId="742CF39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（2）投标人提交两份及以上投标报价不同的“开标一览表”，且未书面说明哪个有效或以哪个为准的，其</w:t>
      </w:r>
      <w:r>
        <w:rPr>
          <w:rFonts w:hint="eastAsia" w:ascii="宋体" w:hAnsi="宋体" w:cs="宋体"/>
          <w:b/>
          <w:color w:val="auto"/>
          <w:szCs w:val="21"/>
          <w:highlight w:val="none"/>
        </w:rPr>
        <w:t>投标无效</w:t>
      </w:r>
      <w:r>
        <w:rPr>
          <w:rFonts w:hint="eastAsia" w:ascii="宋体" w:hAnsi="宋体" w:cs="宋体"/>
          <w:color w:val="auto"/>
          <w:szCs w:val="21"/>
          <w:highlight w:val="none"/>
        </w:rPr>
        <w:t>。</w:t>
      </w:r>
    </w:p>
    <w:p w14:paraId="1CA3C338">
      <w:pPr>
        <w:adjustRightInd w:val="0"/>
        <w:snapToGrid w:val="0"/>
        <w:spacing w:line="360" w:lineRule="auto"/>
        <w:ind w:firstLine="420" w:firstLineChars="200"/>
        <w:rPr>
          <w:rFonts w:ascii="宋体" w:hAnsi="宋体" w:cs="宋体"/>
          <w:color w:val="auto"/>
          <w:szCs w:val="21"/>
          <w:highlight w:val="none"/>
        </w:rPr>
      </w:pPr>
    </w:p>
    <w:p w14:paraId="0705C686">
      <w:pPr>
        <w:adjustRightInd w:val="0"/>
        <w:snapToGrid w:val="0"/>
        <w:spacing w:line="360" w:lineRule="auto"/>
        <w:ind w:firstLine="420" w:firstLineChars="200"/>
        <w:rPr>
          <w:rFonts w:ascii="宋体" w:hAnsi="宋体" w:cs="宋体"/>
          <w:color w:val="auto"/>
          <w:szCs w:val="21"/>
          <w:highlight w:val="none"/>
        </w:rPr>
      </w:pPr>
    </w:p>
    <w:p w14:paraId="336BDEE9">
      <w:pPr>
        <w:adjustRightInd w:val="0"/>
        <w:snapToGrid w:val="0"/>
        <w:spacing w:line="360" w:lineRule="auto"/>
        <w:rPr>
          <w:rFonts w:ascii="宋体" w:hAnsi="宋体" w:cs="宋体"/>
          <w:color w:val="auto"/>
          <w:szCs w:val="21"/>
          <w:highlight w:val="none"/>
        </w:rPr>
      </w:pPr>
    </w:p>
    <w:p w14:paraId="63E24A74">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投标人名称（盖单位章）：</w:t>
      </w:r>
    </w:p>
    <w:p w14:paraId="4F0C2D7C">
      <w:pPr>
        <w:adjustRightInd w:val="0"/>
        <w:snapToGrid w:val="0"/>
        <w:spacing w:line="360" w:lineRule="auto"/>
        <w:rPr>
          <w:rFonts w:ascii="宋体" w:hAnsi="宋体" w:cs="宋体"/>
          <w:color w:val="auto"/>
          <w:szCs w:val="21"/>
          <w:highlight w:val="none"/>
        </w:rPr>
      </w:pPr>
      <w:r>
        <w:rPr>
          <w:rFonts w:hint="eastAsia" w:ascii="宋体" w:hAnsi="宋体" w:cs="宋体"/>
          <w:color w:val="auto"/>
          <w:spacing w:val="-2"/>
          <w:kern w:val="0"/>
          <w:szCs w:val="21"/>
          <w:highlight w:val="none"/>
        </w:rPr>
        <w:t>法</w:t>
      </w:r>
      <w:r>
        <w:rPr>
          <w:rFonts w:hint="eastAsia" w:ascii="宋体" w:hAnsi="宋体" w:cs="宋体"/>
          <w:color w:val="auto"/>
          <w:kern w:val="0"/>
          <w:szCs w:val="21"/>
          <w:highlight w:val="none"/>
        </w:rPr>
        <w:t>定</w:t>
      </w:r>
      <w:r>
        <w:rPr>
          <w:rFonts w:hint="eastAsia" w:ascii="宋体" w:hAnsi="宋体" w:cs="宋体"/>
          <w:color w:val="auto"/>
          <w:spacing w:val="-2"/>
          <w:kern w:val="0"/>
          <w:szCs w:val="21"/>
          <w:highlight w:val="none"/>
        </w:rPr>
        <w:t>代</w:t>
      </w:r>
      <w:r>
        <w:rPr>
          <w:rFonts w:hint="eastAsia" w:ascii="宋体" w:hAnsi="宋体" w:cs="宋体"/>
          <w:color w:val="auto"/>
          <w:kern w:val="0"/>
          <w:szCs w:val="21"/>
          <w:highlight w:val="none"/>
        </w:rPr>
        <w:t>表</w:t>
      </w:r>
      <w:r>
        <w:rPr>
          <w:rFonts w:hint="eastAsia" w:ascii="宋体" w:hAnsi="宋体" w:cs="宋体"/>
          <w:color w:val="auto"/>
          <w:spacing w:val="-2"/>
          <w:kern w:val="0"/>
          <w:szCs w:val="21"/>
          <w:highlight w:val="none"/>
        </w:rPr>
        <w:t>人</w:t>
      </w:r>
      <w:r>
        <w:rPr>
          <w:rFonts w:hint="eastAsia" w:ascii="宋体" w:hAnsi="宋体" w:cs="宋体"/>
          <w:color w:val="auto"/>
          <w:kern w:val="0"/>
          <w:szCs w:val="21"/>
          <w:highlight w:val="none"/>
        </w:rPr>
        <w:t>（</w:t>
      </w:r>
      <w:r>
        <w:rPr>
          <w:rFonts w:hint="eastAsia" w:ascii="宋体" w:hAnsi="宋体" w:cs="宋体"/>
          <w:color w:val="auto"/>
          <w:spacing w:val="-2"/>
          <w:kern w:val="0"/>
          <w:szCs w:val="21"/>
          <w:highlight w:val="none"/>
        </w:rPr>
        <w:t>单</w:t>
      </w:r>
      <w:r>
        <w:rPr>
          <w:rFonts w:hint="eastAsia" w:ascii="宋体" w:hAnsi="宋体" w:cs="宋体"/>
          <w:color w:val="auto"/>
          <w:kern w:val="0"/>
          <w:szCs w:val="21"/>
          <w:highlight w:val="none"/>
        </w:rPr>
        <w:t>位</w:t>
      </w:r>
      <w:r>
        <w:rPr>
          <w:rFonts w:hint="eastAsia" w:ascii="宋体" w:hAnsi="宋体" w:cs="宋体"/>
          <w:color w:val="auto"/>
          <w:spacing w:val="-2"/>
          <w:kern w:val="0"/>
          <w:szCs w:val="21"/>
          <w:highlight w:val="none"/>
        </w:rPr>
        <w:t>负</w:t>
      </w:r>
      <w:r>
        <w:rPr>
          <w:rFonts w:hint="eastAsia" w:ascii="宋体" w:hAnsi="宋体" w:cs="宋体"/>
          <w:color w:val="auto"/>
          <w:kern w:val="0"/>
          <w:szCs w:val="21"/>
          <w:highlight w:val="none"/>
        </w:rPr>
        <w:t>责人</w:t>
      </w:r>
      <w:r>
        <w:rPr>
          <w:rFonts w:hint="eastAsia" w:ascii="宋体" w:hAnsi="宋体" w:cs="宋体"/>
          <w:color w:val="auto"/>
          <w:spacing w:val="-2"/>
          <w:kern w:val="0"/>
          <w:szCs w:val="21"/>
          <w:highlight w:val="none"/>
        </w:rPr>
        <w:t>）</w:t>
      </w:r>
      <w:r>
        <w:rPr>
          <w:rFonts w:hint="eastAsia" w:ascii="宋体" w:hAnsi="宋体" w:cs="宋体"/>
          <w:color w:val="auto"/>
          <w:szCs w:val="21"/>
          <w:highlight w:val="none"/>
        </w:rPr>
        <w:t>或其授权的代理人（签字或印章）：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_</w:t>
      </w:r>
    </w:p>
    <w:p w14:paraId="35994310">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15513F2">
      <w:pPr>
        <w:rPr>
          <w:rFonts w:ascii="宋体" w:hAnsi="宋体" w:cs="宋体"/>
          <w:color w:val="auto"/>
          <w:sz w:val="28"/>
          <w:szCs w:val="28"/>
          <w:highlight w:val="none"/>
        </w:rPr>
      </w:pPr>
      <w:r>
        <w:rPr>
          <w:rFonts w:hint="eastAsia" w:ascii="宋体" w:hAnsi="宋体" w:cs="宋体"/>
          <w:color w:val="auto"/>
          <w:sz w:val="28"/>
          <w:szCs w:val="28"/>
          <w:highlight w:val="none"/>
        </w:rPr>
        <w:br w:type="page"/>
      </w:r>
    </w:p>
    <w:p w14:paraId="3A1EDBC2">
      <w:pPr>
        <w:adjustRightInd w:val="0"/>
        <w:snapToGrid w:val="0"/>
        <w:spacing w:beforeLines="50"/>
        <w:jc w:val="center"/>
        <w:rPr>
          <w:rFonts w:ascii="宋体" w:hAnsi="宋体" w:cs="宋体"/>
          <w:b/>
          <w:bCs/>
          <w:color w:val="auto"/>
          <w:sz w:val="28"/>
          <w:szCs w:val="28"/>
          <w:highlight w:val="none"/>
        </w:rPr>
      </w:pPr>
      <w:bookmarkStart w:id="111" w:name="_Toc14347"/>
      <w:r>
        <w:rPr>
          <w:rFonts w:hint="eastAsia" w:ascii="宋体" w:hAnsi="宋体" w:cs="宋体"/>
          <w:b/>
          <w:bCs/>
          <w:color w:val="auto"/>
          <w:sz w:val="28"/>
          <w:szCs w:val="28"/>
          <w:highlight w:val="none"/>
        </w:rPr>
        <w:t>四、分项价格表</w:t>
      </w:r>
    </w:p>
    <w:p w14:paraId="5EBCE50D">
      <w:pPr>
        <w:rPr>
          <w:rFonts w:ascii="宋体" w:hAnsi="宋体" w:cs="宋体"/>
          <w:color w:val="auto"/>
          <w:highlight w:val="none"/>
        </w:rPr>
      </w:pPr>
    </w:p>
    <w:p w14:paraId="4A3A5F66">
      <w:pPr>
        <w:adjustRightInd w:val="0"/>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金额单位：人民币元 </w:t>
      </w:r>
    </w:p>
    <w:tbl>
      <w:tblPr>
        <w:tblStyle w:val="45"/>
        <w:tblW w:w="87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047"/>
        <w:gridCol w:w="2377"/>
        <w:gridCol w:w="1766"/>
        <w:gridCol w:w="1765"/>
      </w:tblGrid>
      <w:tr w14:paraId="40D324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65" w:type="dxa"/>
            <w:tcBorders>
              <w:tl2br w:val="nil"/>
              <w:tr2bl w:val="nil"/>
            </w:tcBorders>
            <w:noWrap w:val="0"/>
            <w:vAlign w:val="center"/>
          </w:tcPr>
          <w:p w14:paraId="4FA4341D">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2047" w:type="dxa"/>
            <w:tcBorders>
              <w:tl2br w:val="nil"/>
              <w:tr2bl w:val="nil"/>
            </w:tcBorders>
            <w:noWrap w:val="0"/>
            <w:vAlign w:val="center"/>
          </w:tcPr>
          <w:p w14:paraId="319D51E7">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项目名称</w:t>
            </w:r>
          </w:p>
        </w:tc>
        <w:tc>
          <w:tcPr>
            <w:tcW w:w="2377" w:type="dxa"/>
            <w:tcBorders>
              <w:tl2br w:val="nil"/>
              <w:tr2bl w:val="nil"/>
            </w:tcBorders>
            <w:noWrap w:val="0"/>
            <w:vAlign w:val="center"/>
          </w:tcPr>
          <w:p w14:paraId="5DFB9F80">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单价（元/月）</w:t>
            </w:r>
          </w:p>
        </w:tc>
        <w:tc>
          <w:tcPr>
            <w:tcW w:w="1766" w:type="dxa"/>
            <w:tcBorders>
              <w:tl2br w:val="nil"/>
              <w:tr2bl w:val="nil"/>
            </w:tcBorders>
            <w:noWrap w:val="0"/>
            <w:vAlign w:val="center"/>
          </w:tcPr>
          <w:p w14:paraId="057169DE">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小计（元/年）</w:t>
            </w:r>
          </w:p>
        </w:tc>
        <w:tc>
          <w:tcPr>
            <w:tcW w:w="1765" w:type="dxa"/>
            <w:tcBorders>
              <w:tl2br w:val="nil"/>
              <w:tr2bl w:val="nil"/>
            </w:tcBorders>
            <w:noWrap w:val="0"/>
            <w:vAlign w:val="center"/>
          </w:tcPr>
          <w:p w14:paraId="1110419D">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 注</w:t>
            </w:r>
          </w:p>
        </w:tc>
      </w:tr>
      <w:tr w14:paraId="7888E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tcBorders>
              <w:tl2br w:val="nil"/>
              <w:tr2bl w:val="nil"/>
            </w:tcBorders>
            <w:noWrap w:val="0"/>
            <w:vAlign w:val="center"/>
          </w:tcPr>
          <w:p w14:paraId="4822B39F">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w:t>
            </w:r>
          </w:p>
        </w:tc>
        <w:tc>
          <w:tcPr>
            <w:tcW w:w="2047" w:type="dxa"/>
            <w:tcBorders>
              <w:tl2br w:val="nil"/>
              <w:tr2bl w:val="nil"/>
            </w:tcBorders>
            <w:shd w:val="clear" w:color="auto" w:fill="auto"/>
            <w:noWrap w:val="0"/>
            <w:vAlign w:val="center"/>
          </w:tcPr>
          <w:p w14:paraId="5A182B7D">
            <w:pPr>
              <w:rPr>
                <w:rFonts w:hint="eastAsia" w:ascii="宋体" w:hAnsi="宋体" w:eastAsia="宋体" w:cs="宋体"/>
                <w:bCs/>
                <w:color w:val="auto"/>
                <w:kern w:val="2"/>
                <w:sz w:val="21"/>
                <w:szCs w:val="21"/>
                <w:highlight w:val="none"/>
                <w:lang w:val="ru-RU" w:eastAsia="ru-RU" w:bidi="ar-SA"/>
              </w:rPr>
            </w:pPr>
            <w:r>
              <w:rPr>
                <w:rFonts w:hint="eastAsia" w:ascii="宋体" w:hAnsi="宋体" w:eastAsia="宋体" w:cs="宋体"/>
                <w:bCs/>
                <w:color w:val="auto"/>
                <w:sz w:val="21"/>
                <w:szCs w:val="21"/>
                <w:highlight w:val="none"/>
              </w:rPr>
              <w:t>电梯日常维护保养</w:t>
            </w:r>
          </w:p>
        </w:tc>
        <w:tc>
          <w:tcPr>
            <w:tcW w:w="2377" w:type="dxa"/>
            <w:tcBorders>
              <w:tl2br w:val="nil"/>
              <w:tr2bl w:val="nil"/>
            </w:tcBorders>
            <w:noWrap w:val="0"/>
            <w:vAlign w:val="center"/>
          </w:tcPr>
          <w:p w14:paraId="1A05FA7D">
            <w:pPr>
              <w:jc w:val="center"/>
              <w:rPr>
                <w:rFonts w:hint="eastAsia" w:ascii="宋体" w:hAnsi="宋体" w:eastAsia="宋体" w:cs="宋体"/>
                <w:bCs/>
                <w:color w:val="auto"/>
                <w:sz w:val="21"/>
                <w:szCs w:val="21"/>
                <w:highlight w:val="none"/>
              </w:rPr>
            </w:pPr>
          </w:p>
        </w:tc>
        <w:tc>
          <w:tcPr>
            <w:tcW w:w="1766" w:type="dxa"/>
            <w:tcBorders>
              <w:tl2br w:val="nil"/>
              <w:tr2bl w:val="nil"/>
            </w:tcBorders>
            <w:noWrap w:val="0"/>
            <w:vAlign w:val="center"/>
          </w:tcPr>
          <w:p w14:paraId="52A11B3F">
            <w:pPr>
              <w:jc w:val="center"/>
              <w:rPr>
                <w:rFonts w:hint="eastAsia" w:ascii="宋体" w:hAnsi="宋体" w:eastAsia="宋体" w:cs="宋体"/>
                <w:bCs/>
                <w:color w:val="auto"/>
                <w:sz w:val="21"/>
                <w:szCs w:val="21"/>
                <w:highlight w:val="none"/>
              </w:rPr>
            </w:pPr>
          </w:p>
        </w:tc>
        <w:tc>
          <w:tcPr>
            <w:tcW w:w="1765" w:type="dxa"/>
            <w:tcBorders>
              <w:tl2br w:val="nil"/>
              <w:tr2bl w:val="nil"/>
            </w:tcBorders>
            <w:noWrap w:val="0"/>
            <w:vAlign w:val="center"/>
          </w:tcPr>
          <w:p w14:paraId="26A51BAC">
            <w:pPr>
              <w:jc w:val="center"/>
              <w:rPr>
                <w:rFonts w:hint="eastAsia" w:ascii="宋体" w:hAnsi="宋体" w:eastAsia="宋体" w:cs="宋体"/>
                <w:bCs/>
                <w:color w:val="auto"/>
                <w:sz w:val="21"/>
                <w:szCs w:val="21"/>
                <w:highlight w:val="none"/>
              </w:rPr>
            </w:pPr>
          </w:p>
        </w:tc>
      </w:tr>
      <w:tr w14:paraId="38032B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tcBorders>
              <w:tl2br w:val="nil"/>
              <w:tr2bl w:val="nil"/>
            </w:tcBorders>
            <w:noWrap w:val="0"/>
            <w:vAlign w:val="center"/>
          </w:tcPr>
          <w:p w14:paraId="0016D07B">
            <w:pPr>
              <w:jc w:val="center"/>
              <w:rPr>
                <w:rFonts w:hint="eastAsia" w:ascii="宋体" w:hAnsi="宋体" w:eastAsia="宋体" w:cs="宋体"/>
                <w:bCs/>
                <w:color w:val="auto"/>
                <w:sz w:val="21"/>
                <w:szCs w:val="21"/>
                <w:highlight w:val="none"/>
              </w:rPr>
            </w:pPr>
          </w:p>
        </w:tc>
        <w:tc>
          <w:tcPr>
            <w:tcW w:w="2047" w:type="dxa"/>
            <w:tcBorders>
              <w:tl2br w:val="nil"/>
              <w:tr2bl w:val="nil"/>
            </w:tcBorders>
            <w:shd w:val="clear" w:color="auto" w:fill="auto"/>
            <w:noWrap w:val="0"/>
            <w:vAlign w:val="center"/>
          </w:tcPr>
          <w:p w14:paraId="106C8FB3">
            <w:pPr>
              <w:rPr>
                <w:rFonts w:hint="eastAsia" w:ascii="宋体" w:hAnsi="宋体" w:eastAsia="宋体" w:cs="宋体"/>
                <w:bCs/>
                <w:color w:val="auto"/>
                <w:kern w:val="2"/>
                <w:sz w:val="21"/>
                <w:szCs w:val="21"/>
                <w:highlight w:val="none"/>
                <w:lang w:val="en-US" w:eastAsia="zh-CN" w:bidi="ar-SA"/>
              </w:rPr>
            </w:pPr>
          </w:p>
        </w:tc>
        <w:tc>
          <w:tcPr>
            <w:tcW w:w="2377" w:type="dxa"/>
            <w:tcBorders>
              <w:tl2br w:val="nil"/>
              <w:tr2bl w:val="nil"/>
            </w:tcBorders>
            <w:noWrap w:val="0"/>
            <w:vAlign w:val="center"/>
          </w:tcPr>
          <w:p w14:paraId="25EA0AAA">
            <w:pPr>
              <w:jc w:val="center"/>
              <w:rPr>
                <w:rFonts w:hint="eastAsia" w:ascii="宋体" w:hAnsi="宋体" w:eastAsia="宋体" w:cs="宋体"/>
                <w:bCs/>
                <w:color w:val="auto"/>
                <w:sz w:val="21"/>
                <w:szCs w:val="21"/>
                <w:highlight w:val="none"/>
              </w:rPr>
            </w:pPr>
          </w:p>
        </w:tc>
        <w:tc>
          <w:tcPr>
            <w:tcW w:w="1766" w:type="dxa"/>
            <w:tcBorders>
              <w:tl2br w:val="nil"/>
              <w:tr2bl w:val="nil"/>
            </w:tcBorders>
            <w:noWrap w:val="0"/>
            <w:vAlign w:val="center"/>
          </w:tcPr>
          <w:p w14:paraId="777D0DF3">
            <w:pPr>
              <w:jc w:val="center"/>
              <w:rPr>
                <w:rFonts w:hint="eastAsia" w:ascii="宋体" w:hAnsi="宋体" w:eastAsia="宋体" w:cs="宋体"/>
                <w:bCs/>
                <w:color w:val="auto"/>
                <w:sz w:val="21"/>
                <w:szCs w:val="21"/>
                <w:highlight w:val="none"/>
              </w:rPr>
            </w:pPr>
          </w:p>
        </w:tc>
        <w:tc>
          <w:tcPr>
            <w:tcW w:w="1765" w:type="dxa"/>
            <w:tcBorders>
              <w:tl2br w:val="nil"/>
              <w:tr2bl w:val="nil"/>
            </w:tcBorders>
            <w:noWrap w:val="0"/>
            <w:vAlign w:val="center"/>
          </w:tcPr>
          <w:p w14:paraId="0BCEBA02">
            <w:pPr>
              <w:jc w:val="center"/>
              <w:rPr>
                <w:rFonts w:hint="eastAsia" w:ascii="宋体" w:hAnsi="宋体" w:eastAsia="宋体" w:cs="宋体"/>
                <w:bCs/>
                <w:color w:val="auto"/>
                <w:sz w:val="21"/>
                <w:szCs w:val="21"/>
                <w:highlight w:val="none"/>
              </w:rPr>
            </w:pPr>
          </w:p>
        </w:tc>
      </w:tr>
      <w:tr w14:paraId="03EB62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tcBorders>
              <w:tl2br w:val="nil"/>
              <w:tr2bl w:val="nil"/>
            </w:tcBorders>
            <w:noWrap w:val="0"/>
            <w:vAlign w:val="center"/>
          </w:tcPr>
          <w:p w14:paraId="3DC40AE5">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w:t>
            </w:r>
          </w:p>
        </w:tc>
        <w:tc>
          <w:tcPr>
            <w:tcW w:w="2047" w:type="dxa"/>
            <w:tcBorders>
              <w:tl2br w:val="nil"/>
              <w:tr2bl w:val="nil"/>
            </w:tcBorders>
            <w:shd w:val="clear" w:color="auto" w:fill="auto"/>
            <w:noWrap w:val="0"/>
            <w:vAlign w:val="center"/>
          </w:tcPr>
          <w:p w14:paraId="3512A649">
            <w:pP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中央空调维护保养</w:t>
            </w:r>
          </w:p>
        </w:tc>
        <w:tc>
          <w:tcPr>
            <w:tcW w:w="2377" w:type="dxa"/>
            <w:tcBorders>
              <w:tl2br w:val="nil"/>
              <w:tr2bl w:val="nil"/>
            </w:tcBorders>
            <w:noWrap w:val="0"/>
            <w:vAlign w:val="center"/>
          </w:tcPr>
          <w:p w14:paraId="2AF75872">
            <w:pPr>
              <w:jc w:val="center"/>
              <w:rPr>
                <w:rFonts w:hint="eastAsia" w:ascii="宋体" w:hAnsi="宋体" w:eastAsia="宋体" w:cs="宋体"/>
                <w:bCs/>
                <w:color w:val="auto"/>
                <w:sz w:val="21"/>
                <w:szCs w:val="21"/>
                <w:highlight w:val="none"/>
              </w:rPr>
            </w:pPr>
          </w:p>
        </w:tc>
        <w:tc>
          <w:tcPr>
            <w:tcW w:w="1766" w:type="dxa"/>
            <w:tcBorders>
              <w:tl2br w:val="nil"/>
              <w:tr2bl w:val="nil"/>
            </w:tcBorders>
            <w:noWrap w:val="0"/>
            <w:vAlign w:val="center"/>
          </w:tcPr>
          <w:p w14:paraId="365165A0">
            <w:pPr>
              <w:jc w:val="center"/>
              <w:rPr>
                <w:rFonts w:hint="eastAsia" w:ascii="宋体" w:hAnsi="宋体" w:eastAsia="宋体" w:cs="宋体"/>
                <w:bCs/>
                <w:color w:val="auto"/>
                <w:sz w:val="21"/>
                <w:szCs w:val="21"/>
                <w:highlight w:val="none"/>
              </w:rPr>
            </w:pPr>
          </w:p>
        </w:tc>
        <w:tc>
          <w:tcPr>
            <w:tcW w:w="1765" w:type="dxa"/>
            <w:tcBorders>
              <w:tl2br w:val="nil"/>
              <w:tr2bl w:val="nil"/>
            </w:tcBorders>
            <w:noWrap w:val="0"/>
            <w:vAlign w:val="center"/>
          </w:tcPr>
          <w:p w14:paraId="446C3B0B">
            <w:pPr>
              <w:jc w:val="center"/>
              <w:rPr>
                <w:rFonts w:hint="eastAsia" w:ascii="宋体" w:hAnsi="宋体" w:eastAsia="宋体" w:cs="宋体"/>
                <w:bCs/>
                <w:color w:val="auto"/>
                <w:sz w:val="21"/>
                <w:szCs w:val="21"/>
                <w:highlight w:val="none"/>
              </w:rPr>
            </w:pPr>
          </w:p>
        </w:tc>
      </w:tr>
      <w:tr w14:paraId="6E0D91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tcBorders>
              <w:tl2br w:val="nil"/>
              <w:tr2bl w:val="nil"/>
            </w:tcBorders>
            <w:noWrap w:val="0"/>
            <w:vAlign w:val="center"/>
          </w:tcPr>
          <w:p w14:paraId="661B41D1">
            <w:pPr>
              <w:jc w:val="center"/>
              <w:rPr>
                <w:rFonts w:hint="eastAsia" w:ascii="宋体" w:hAnsi="宋体" w:eastAsia="宋体" w:cs="宋体"/>
                <w:bCs/>
                <w:color w:val="auto"/>
                <w:sz w:val="21"/>
                <w:szCs w:val="21"/>
                <w:highlight w:val="none"/>
              </w:rPr>
            </w:pPr>
          </w:p>
        </w:tc>
        <w:tc>
          <w:tcPr>
            <w:tcW w:w="2047" w:type="dxa"/>
            <w:tcBorders>
              <w:tl2br w:val="nil"/>
              <w:tr2bl w:val="nil"/>
            </w:tcBorders>
            <w:shd w:val="clear" w:color="auto" w:fill="auto"/>
            <w:noWrap w:val="0"/>
            <w:vAlign w:val="center"/>
          </w:tcPr>
          <w:p w14:paraId="628A0989">
            <w:pPr>
              <w:rPr>
                <w:rFonts w:hint="eastAsia" w:ascii="宋体" w:hAnsi="宋体" w:eastAsia="宋体" w:cs="宋体"/>
                <w:bCs/>
                <w:color w:val="auto"/>
                <w:kern w:val="2"/>
                <w:sz w:val="21"/>
                <w:szCs w:val="21"/>
                <w:highlight w:val="none"/>
                <w:lang w:val="en-US" w:eastAsia="zh-CN" w:bidi="ar-SA"/>
              </w:rPr>
            </w:pPr>
          </w:p>
        </w:tc>
        <w:tc>
          <w:tcPr>
            <w:tcW w:w="2377" w:type="dxa"/>
            <w:tcBorders>
              <w:tl2br w:val="nil"/>
              <w:tr2bl w:val="nil"/>
            </w:tcBorders>
            <w:noWrap w:val="0"/>
            <w:vAlign w:val="center"/>
          </w:tcPr>
          <w:p w14:paraId="75541410">
            <w:pPr>
              <w:jc w:val="center"/>
              <w:rPr>
                <w:rFonts w:hint="eastAsia" w:ascii="宋体" w:hAnsi="宋体" w:eastAsia="宋体" w:cs="宋体"/>
                <w:bCs/>
                <w:color w:val="auto"/>
                <w:sz w:val="21"/>
                <w:szCs w:val="21"/>
                <w:highlight w:val="none"/>
              </w:rPr>
            </w:pPr>
          </w:p>
        </w:tc>
        <w:tc>
          <w:tcPr>
            <w:tcW w:w="1766" w:type="dxa"/>
            <w:tcBorders>
              <w:tl2br w:val="nil"/>
              <w:tr2bl w:val="nil"/>
            </w:tcBorders>
            <w:noWrap w:val="0"/>
            <w:vAlign w:val="center"/>
          </w:tcPr>
          <w:p w14:paraId="7B5B1172">
            <w:pPr>
              <w:jc w:val="center"/>
              <w:rPr>
                <w:rFonts w:hint="eastAsia" w:ascii="宋体" w:hAnsi="宋体" w:eastAsia="宋体" w:cs="宋体"/>
                <w:bCs/>
                <w:color w:val="auto"/>
                <w:sz w:val="21"/>
                <w:szCs w:val="21"/>
                <w:highlight w:val="none"/>
              </w:rPr>
            </w:pPr>
          </w:p>
        </w:tc>
        <w:tc>
          <w:tcPr>
            <w:tcW w:w="1765" w:type="dxa"/>
            <w:tcBorders>
              <w:tl2br w:val="nil"/>
              <w:tr2bl w:val="nil"/>
            </w:tcBorders>
            <w:noWrap w:val="0"/>
            <w:vAlign w:val="center"/>
          </w:tcPr>
          <w:p w14:paraId="782A0A82">
            <w:pPr>
              <w:jc w:val="center"/>
              <w:rPr>
                <w:rFonts w:hint="eastAsia" w:ascii="宋体" w:hAnsi="宋体" w:eastAsia="宋体" w:cs="宋体"/>
                <w:bCs/>
                <w:color w:val="auto"/>
                <w:sz w:val="21"/>
                <w:szCs w:val="21"/>
                <w:highlight w:val="none"/>
              </w:rPr>
            </w:pPr>
          </w:p>
        </w:tc>
      </w:tr>
      <w:tr w14:paraId="31DFA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tcBorders>
              <w:tl2br w:val="nil"/>
              <w:tr2bl w:val="nil"/>
            </w:tcBorders>
            <w:noWrap w:val="0"/>
            <w:vAlign w:val="center"/>
          </w:tcPr>
          <w:p w14:paraId="3A65C224">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w:t>
            </w:r>
          </w:p>
        </w:tc>
        <w:tc>
          <w:tcPr>
            <w:tcW w:w="2047" w:type="dxa"/>
            <w:tcBorders>
              <w:tl2br w:val="nil"/>
              <w:tr2bl w:val="nil"/>
            </w:tcBorders>
            <w:shd w:val="clear" w:color="auto" w:fill="auto"/>
            <w:noWrap w:val="0"/>
            <w:vAlign w:val="center"/>
          </w:tcPr>
          <w:p w14:paraId="56845F99">
            <w:pPr>
              <w:rPr>
                <w:rFonts w:hint="eastAsia" w:ascii="宋体" w:hAnsi="宋体" w:eastAsia="宋体" w:cs="宋体"/>
                <w:bCs/>
                <w:color w:val="auto"/>
                <w:kern w:val="2"/>
                <w:sz w:val="21"/>
                <w:szCs w:val="21"/>
                <w:highlight w:val="none"/>
                <w:lang w:val="en-US" w:eastAsia="zh-CN" w:bidi="ar-SA"/>
              </w:rPr>
            </w:pPr>
            <w:r>
              <w:rPr>
                <w:rFonts w:hint="eastAsia" w:ascii="宋体" w:hAnsi="宋体" w:cs="宋体"/>
                <w:color w:val="auto"/>
                <w:szCs w:val="21"/>
                <w:highlight w:val="none"/>
                <w:lang w:val="en-US" w:eastAsia="zh-CN"/>
              </w:rPr>
              <w:t>其他物业服务</w:t>
            </w:r>
          </w:p>
        </w:tc>
        <w:tc>
          <w:tcPr>
            <w:tcW w:w="2377" w:type="dxa"/>
            <w:tcBorders>
              <w:tl2br w:val="nil"/>
              <w:tr2bl w:val="nil"/>
            </w:tcBorders>
            <w:noWrap w:val="0"/>
            <w:vAlign w:val="center"/>
          </w:tcPr>
          <w:p w14:paraId="0BE2DF85">
            <w:pPr>
              <w:jc w:val="center"/>
              <w:rPr>
                <w:rFonts w:hint="eastAsia" w:ascii="宋体" w:hAnsi="宋体" w:eastAsia="宋体" w:cs="宋体"/>
                <w:bCs/>
                <w:color w:val="auto"/>
                <w:sz w:val="21"/>
                <w:szCs w:val="21"/>
                <w:highlight w:val="none"/>
              </w:rPr>
            </w:pPr>
          </w:p>
        </w:tc>
        <w:tc>
          <w:tcPr>
            <w:tcW w:w="1766" w:type="dxa"/>
            <w:tcBorders>
              <w:tl2br w:val="nil"/>
              <w:tr2bl w:val="nil"/>
            </w:tcBorders>
            <w:noWrap w:val="0"/>
            <w:vAlign w:val="center"/>
          </w:tcPr>
          <w:p w14:paraId="4B6A8BAF">
            <w:pPr>
              <w:jc w:val="center"/>
              <w:rPr>
                <w:rFonts w:hint="eastAsia" w:ascii="宋体" w:hAnsi="宋体" w:eastAsia="宋体" w:cs="宋体"/>
                <w:bCs/>
                <w:color w:val="auto"/>
                <w:sz w:val="21"/>
                <w:szCs w:val="21"/>
                <w:highlight w:val="none"/>
              </w:rPr>
            </w:pPr>
          </w:p>
        </w:tc>
        <w:tc>
          <w:tcPr>
            <w:tcW w:w="1765" w:type="dxa"/>
            <w:tcBorders>
              <w:tl2br w:val="nil"/>
              <w:tr2bl w:val="nil"/>
            </w:tcBorders>
            <w:noWrap w:val="0"/>
            <w:vAlign w:val="center"/>
          </w:tcPr>
          <w:p w14:paraId="2638C2BD">
            <w:pPr>
              <w:jc w:val="center"/>
              <w:rPr>
                <w:rFonts w:hint="eastAsia" w:ascii="宋体" w:hAnsi="宋体" w:eastAsia="宋体" w:cs="宋体"/>
                <w:bCs/>
                <w:color w:val="auto"/>
                <w:sz w:val="21"/>
                <w:szCs w:val="21"/>
                <w:highlight w:val="none"/>
              </w:rPr>
            </w:pPr>
          </w:p>
        </w:tc>
      </w:tr>
      <w:tr w14:paraId="59AE12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tcBorders>
              <w:tl2br w:val="nil"/>
              <w:tr2bl w:val="nil"/>
            </w:tcBorders>
            <w:noWrap w:val="0"/>
            <w:vAlign w:val="center"/>
          </w:tcPr>
          <w:p w14:paraId="17BBD36E">
            <w:pPr>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w:t>
            </w:r>
          </w:p>
        </w:tc>
        <w:tc>
          <w:tcPr>
            <w:tcW w:w="2047" w:type="dxa"/>
            <w:tcBorders>
              <w:tl2br w:val="nil"/>
              <w:tr2bl w:val="nil"/>
            </w:tcBorders>
            <w:noWrap w:val="0"/>
            <w:vAlign w:val="center"/>
          </w:tcPr>
          <w:p w14:paraId="03855116">
            <w:pPr>
              <w:rPr>
                <w:rFonts w:hint="eastAsia" w:ascii="宋体" w:hAnsi="宋体" w:eastAsia="宋体" w:cs="宋体"/>
                <w:bCs/>
                <w:color w:val="auto"/>
                <w:sz w:val="21"/>
                <w:szCs w:val="21"/>
                <w:highlight w:val="none"/>
              </w:rPr>
            </w:pPr>
          </w:p>
        </w:tc>
        <w:tc>
          <w:tcPr>
            <w:tcW w:w="2377" w:type="dxa"/>
            <w:tcBorders>
              <w:tl2br w:val="nil"/>
              <w:tr2bl w:val="nil"/>
            </w:tcBorders>
            <w:noWrap w:val="0"/>
            <w:vAlign w:val="center"/>
          </w:tcPr>
          <w:p w14:paraId="47A26F03">
            <w:pPr>
              <w:jc w:val="center"/>
              <w:rPr>
                <w:rFonts w:hint="eastAsia" w:ascii="宋体" w:hAnsi="宋体" w:eastAsia="宋体" w:cs="宋体"/>
                <w:bCs/>
                <w:color w:val="auto"/>
                <w:sz w:val="21"/>
                <w:szCs w:val="21"/>
                <w:highlight w:val="none"/>
              </w:rPr>
            </w:pPr>
          </w:p>
        </w:tc>
        <w:tc>
          <w:tcPr>
            <w:tcW w:w="1766" w:type="dxa"/>
            <w:tcBorders>
              <w:tl2br w:val="nil"/>
              <w:tr2bl w:val="nil"/>
            </w:tcBorders>
            <w:noWrap w:val="0"/>
            <w:vAlign w:val="center"/>
          </w:tcPr>
          <w:p w14:paraId="447F143D">
            <w:pPr>
              <w:jc w:val="center"/>
              <w:rPr>
                <w:rFonts w:hint="eastAsia" w:ascii="宋体" w:hAnsi="宋体" w:eastAsia="宋体" w:cs="宋体"/>
                <w:bCs/>
                <w:color w:val="auto"/>
                <w:sz w:val="21"/>
                <w:szCs w:val="21"/>
                <w:highlight w:val="none"/>
              </w:rPr>
            </w:pPr>
          </w:p>
        </w:tc>
        <w:tc>
          <w:tcPr>
            <w:tcW w:w="1765" w:type="dxa"/>
            <w:tcBorders>
              <w:tl2br w:val="nil"/>
              <w:tr2bl w:val="nil"/>
            </w:tcBorders>
            <w:noWrap w:val="0"/>
            <w:vAlign w:val="center"/>
          </w:tcPr>
          <w:p w14:paraId="06D7B937">
            <w:pPr>
              <w:jc w:val="center"/>
              <w:rPr>
                <w:rFonts w:hint="eastAsia" w:ascii="宋体" w:hAnsi="宋体" w:eastAsia="宋体" w:cs="宋体"/>
                <w:bCs/>
                <w:color w:val="auto"/>
                <w:sz w:val="21"/>
                <w:szCs w:val="21"/>
                <w:highlight w:val="none"/>
              </w:rPr>
            </w:pPr>
          </w:p>
        </w:tc>
      </w:tr>
      <w:tr w14:paraId="73A029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tcBorders>
              <w:tl2br w:val="nil"/>
              <w:tr2bl w:val="nil"/>
            </w:tcBorders>
            <w:noWrap w:val="0"/>
            <w:vAlign w:val="center"/>
          </w:tcPr>
          <w:p w14:paraId="76546BAA">
            <w:pPr>
              <w:jc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2</w:t>
            </w:r>
          </w:p>
        </w:tc>
        <w:tc>
          <w:tcPr>
            <w:tcW w:w="2047" w:type="dxa"/>
            <w:tcBorders>
              <w:tl2br w:val="nil"/>
              <w:tr2bl w:val="nil"/>
            </w:tcBorders>
            <w:noWrap w:val="0"/>
            <w:vAlign w:val="center"/>
          </w:tcPr>
          <w:p w14:paraId="6CF27920">
            <w:pPr>
              <w:rPr>
                <w:rFonts w:hint="eastAsia" w:ascii="宋体" w:hAnsi="宋体" w:eastAsia="宋体" w:cs="宋体"/>
                <w:bCs/>
                <w:color w:val="auto"/>
                <w:sz w:val="21"/>
                <w:szCs w:val="21"/>
                <w:highlight w:val="none"/>
              </w:rPr>
            </w:pPr>
          </w:p>
        </w:tc>
        <w:tc>
          <w:tcPr>
            <w:tcW w:w="2377" w:type="dxa"/>
            <w:tcBorders>
              <w:tl2br w:val="nil"/>
              <w:tr2bl w:val="nil"/>
            </w:tcBorders>
            <w:noWrap w:val="0"/>
            <w:vAlign w:val="center"/>
          </w:tcPr>
          <w:p w14:paraId="51346703">
            <w:pPr>
              <w:jc w:val="center"/>
              <w:rPr>
                <w:rFonts w:hint="eastAsia" w:ascii="宋体" w:hAnsi="宋体" w:eastAsia="宋体" w:cs="宋体"/>
                <w:bCs/>
                <w:color w:val="auto"/>
                <w:sz w:val="21"/>
                <w:szCs w:val="21"/>
                <w:highlight w:val="none"/>
              </w:rPr>
            </w:pPr>
          </w:p>
        </w:tc>
        <w:tc>
          <w:tcPr>
            <w:tcW w:w="1766" w:type="dxa"/>
            <w:tcBorders>
              <w:tl2br w:val="nil"/>
              <w:tr2bl w:val="nil"/>
            </w:tcBorders>
            <w:noWrap w:val="0"/>
            <w:vAlign w:val="center"/>
          </w:tcPr>
          <w:p w14:paraId="5D762607">
            <w:pPr>
              <w:jc w:val="center"/>
              <w:rPr>
                <w:rFonts w:hint="eastAsia" w:ascii="宋体" w:hAnsi="宋体" w:eastAsia="宋体" w:cs="宋体"/>
                <w:bCs/>
                <w:color w:val="auto"/>
                <w:sz w:val="21"/>
                <w:szCs w:val="21"/>
                <w:highlight w:val="none"/>
              </w:rPr>
            </w:pPr>
          </w:p>
        </w:tc>
        <w:tc>
          <w:tcPr>
            <w:tcW w:w="1765" w:type="dxa"/>
            <w:tcBorders>
              <w:tl2br w:val="nil"/>
              <w:tr2bl w:val="nil"/>
            </w:tcBorders>
            <w:noWrap w:val="0"/>
            <w:vAlign w:val="center"/>
          </w:tcPr>
          <w:p w14:paraId="7B1263F1">
            <w:pPr>
              <w:jc w:val="center"/>
              <w:rPr>
                <w:rFonts w:hint="eastAsia" w:ascii="宋体" w:hAnsi="宋体" w:eastAsia="宋体" w:cs="宋体"/>
                <w:bCs/>
                <w:color w:val="auto"/>
                <w:sz w:val="21"/>
                <w:szCs w:val="21"/>
                <w:highlight w:val="none"/>
              </w:rPr>
            </w:pPr>
          </w:p>
        </w:tc>
      </w:tr>
      <w:tr w14:paraId="356870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tcBorders>
              <w:tl2br w:val="nil"/>
              <w:tr2bl w:val="nil"/>
            </w:tcBorders>
            <w:noWrap w:val="0"/>
            <w:vAlign w:val="center"/>
          </w:tcPr>
          <w:p w14:paraId="39FEC773">
            <w:pPr>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w:t>
            </w:r>
          </w:p>
        </w:tc>
        <w:tc>
          <w:tcPr>
            <w:tcW w:w="2047" w:type="dxa"/>
            <w:tcBorders>
              <w:tl2br w:val="nil"/>
              <w:tr2bl w:val="nil"/>
            </w:tcBorders>
            <w:noWrap w:val="0"/>
            <w:vAlign w:val="center"/>
          </w:tcPr>
          <w:p w14:paraId="66FC8B23">
            <w:pPr>
              <w:rPr>
                <w:rFonts w:hint="eastAsia" w:ascii="宋体" w:hAnsi="宋体" w:eastAsia="宋体" w:cs="宋体"/>
                <w:bCs/>
                <w:color w:val="auto"/>
                <w:sz w:val="21"/>
                <w:szCs w:val="21"/>
                <w:highlight w:val="none"/>
              </w:rPr>
            </w:pPr>
          </w:p>
        </w:tc>
        <w:tc>
          <w:tcPr>
            <w:tcW w:w="2377" w:type="dxa"/>
            <w:tcBorders>
              <w:tl2br w:val="nil"/>
              <w:tr2bl w:val="nil"/>
            </w:tcBorders>
            <w:noWrap w:val="0"/>
            <w:vAlign w:val="center"/>
          </w:tcPr>
          <w:p w14:paraId="362676D7">
            <w:pPr>
              <w:jc w:val="center"/>
              <w:rPr>
                <w:rFonts w:hint="eastAsia" w:ascii="宋体" w:hAnsi="宋体" w:eastAsia="宋体" w:cs="宋体"/>
                <w:bCs/>
                <w:color w:val="auto"/>
                <w:sz w:val="21"/>
                <w:szCs w:val="21"/>
                <w:highlight w:val="none"/>
              </w:rPr>
            </w:pPr>
          </w:p>
        </w:tc>
        <w:tc>
          <w:tcPr>
            <w:tcW w:w="1766" w:type="dxa"/>
            <w:tcBorders>
              <w:tl2br w:val="nil"/>
              <w:tr2bl w:val="nil"/>
            </w:tcBorders>
            <w:noWrap w:val="0"/>
            <w:vAlign w:val="center"/>
          </w:tcPr>
          <w:p w14:paraId="0EC0E7B9">
            <w:pPr>
              <w:jc w:val="center"/>
              <w:rPr>
                <w:rFonts w:hint="eastAsia" w:ascii="宋体" w:hAnsi="宋体" w:eastAsia="宋体" w:cs="宋体"/>
                <w:bCs/>
                <w:color w:val="auto"/>
                <w:sz w:val="21"/>
                <w:szCs w:val="21"/>
                <w:highlight w:val="none"/>
              </w:rPr>
            </w:pPr>
          </w:p>
        </w:tc>
        <w:tc>
          <w:tcPr>
            <w:tcW w:w="1765" w:type="dxa"/>
            <w:tcBorders>
              <w:tl2br w:val="nil"/>
              <w:tr2bl w:val="nil"/>
            </w:tcBorders>
            <w:noWrap w:val="0"/>
            <w:vAlign w:val="center"/>
          </w:tcPr>
          <w:p w14:paraId="4C2039E7">
            <w:pPr>
              <w:jc w:val="center"/>
              <w:rPr>
                <w:rFonts w:hint="eastAsia" w:ascii="宋体" w:hAnsi="宋体" w:eastAsia="宋体" w:cs="宋体"/>
                <w:bCs/>
                <w:color w:val="auto"/>
                <w:sz w:val="21"/>
                <w:szCs w:val="21"/>
                <w:highlight w:val="none"/>
              </w:rPr>
            </w:pPr>
          </w:p>
        </w:tc>
      </w:tr>
      <w:tr w14:paraId="6EA0DA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tcBorders>
              <w:tl2br w:val="nil"/>
              <w:tr2bl w:val="nil"/>
            </w:tcBorders>
            <w:noWrap w:val="0"/>
            <w:vAlign w:val="center"/>
          </w:tcPr>
          <w:p w14:paraId="33BCDD07">
            <w:pPr>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w:t>
            </w:r>
          </w:p>
        </w:tc>
        <w:tc>
          <w:tcPr>
            <w:tcW w:w="2047" w:type="dxa"/>
            <w:tcBorders>
              <w:tl2br w:val="nil"/>
              <w:tr2bl w:val="nil"/>
            </w:tcBorders>
            <w:noWrap w:val="0"/>
            <w:vAlign w:val="center"/>
          </w:tcPr>
          <w:p w14:paraId="520DF885">
            <w:pPr>
              <w:rPr>
                <w:rFonts w:hint="eastAsia" w:ascii="宋体" w:hAnsi="宋体" w:eastAsia="宋体" w:cs="宋体"/>
                <w:bCs/>
                <w:color w:val="auto"/>
                <w:sz w:val="21"/>
                <w:szCs w:val="21"/>
                <w:highlight w:val="none"/>
                <w:lang w:eastAsia="zh-CN"/>
              </w:rPr>
            </w:pPr>
          </w:p>
        </w:tc>
        <w:tc>
          <w:tcPr>
            <w:tcW w:w="2377" w:type="dxa"/>
            <w:tcBorders>
              <w:tl2br w:val="nil"/>
              <w:tr2bl w:val="nil"/>
            </w:tcBorders>
            <w:noWrap w:val="0"/>
            <w:vAlign w:val="center"/>
          </w:tcPr>
          <w:p w14:paraId="52EFBDC9">
            <w:pPr>
              <w:jc w:val="center"/>
              <w:rPr>
                <w:rFonts w:hint="eastAsia" w:ascii="宋体" w:hAnsi="宋体" w:eastAsia="宋体" w:cs="宋体"/>
                <w:bCs/>
                <w:color w:val="auto"/>
                <w:sz w:val="21"/>
                <w:szCs w:val="21"/>
                <w:highlight w:val="none"/>
              </w:rPr>
            </w:pPr>
          </w:p>
        </w:tc>
        <w:tc>
          <w:tcPr>
            <w:tcW w:w="1766" w:type="dxa"/>
            <w:tcBorders>
              <w:tl2br w:val="nil"/>
              <w:tr2bl w:val="nil"/>
            </w:tcBorders>
            <w:noWrap w:val="0"/>
            <w:vAlign w:val="center"/>
          </w:tcPr>
          <w:p w14:paraId="3A398ED0">
            <w:pPr>
              <w:jc w:val="center"/>
              <w:rPr>
                <w:rFonts w:hint="eastAsia" w:ascii="宋体" w:hAnsi="宋体" w:eastAsia="宋体" w:cs="宋体"/>
                <w:bCs/>
                <w:color w:val="auto"/>
                <w:sz w:val="21"/>
                <w:szCs w:val="21"/>
                <w:highlight w:val="none"/>
              </w:rPr>
            </w:pPr>
          </w:p>
        </w:tc>
        <w:tc>
          <w:tcPr>
            <w:tcW w:w="1765" w:type="dxa"/>
            <w:tcBorders>
              <w:tl2br w:val="nil"/>
              <w:tr2bl w:val="nil"/>
            </w:tcBorders>
            <w:noWrap w:val="0"/>
            <w:vAlign w:val="center"/>
          </w:tcPr>
          <w:p w14:paraId="36155050">
            <w:pPr>
              <w:jc w:val="center"/>
              <w:rPr>
                <w:rFonts w:hint="eastAsia" w:ascii="宋体" w:hAnsi="宋体" w:eastAsia="宋体" w:cs="宋体"/>
                <w:bCs/>
                <w:color w:val="auto"/>
                <w:sz w:val="21"/>
                <w:szCs w:val="21"/>
                <w:highlight w:val="none"/>
              </w:rPr>
            </w:pPr>
          </w:p>
        </w:tc>
      </w:tr>
      <w:tr w14:paraId="0F35D3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189" w:type="dxa"/>
            <w:gridSpan w:val="3"/>
            <w:tcBorders>
              <w:tl2br w:val="nil"/>
              <w:tr2bl w:val="nil"/>
            </w:tcBorders>
            <w:noWrap w:val="0"/>
            <w:vAlign w:val="center"/>
          </w:tcPr>
          <w:p w14:paraId="6A7A1AA1">
            <w:pPr>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一年</w:t>
            </w:r>
            <w:r>
              <w:rPr>
                <w:rFonts w:hint="eastAsia" w:ascii="宋体" w:hAnsi="宋体" w:eastAsia="宋体" w:cs="宋体"/>
                <w:bCs/>
                <w:color w:val="auto"/>
                <w:sz w:val="21"/>
                <w:szCs w:val="21"/>
                <w:highlight w:val="none"/>
                <w:lang w:eastAsia="zh-CN"/>
              </w:rPr>
              <w:t>合计</w:t>
            </w:r>
          </w:p>
        </w:tc>
        <w:tc>
          <w:tcPr>
            <w:tcW w:w="1766" w:type="dxa"/>
            <w:tcBorders>
              <w:tl2br w:val="nil"/>
              <w:tr2bl w:val="nil"/>
            </w:tcBorders>
            <w:noWrap w:val="0"/>
            <w:vAlign w:val="center"/>
          </w:tcPr>
          <w:p w14:paraId="53B50F1A">
            <w:pPr>
              <w:jc w:val="center"/>
              <w:rPr>
                <w:rFonts w:hint="eastAsia" w:ascii="宋体" w:hAnsi="宋体" w:eastAsia="宋体" w:cs="宋体"/>
                <w:bCs/>
                <w:color w:val="auto"/>
                <w:sz w:val="21"/>
                <w:szCs w:val="21"/>
                <w:highlight w:val="none"/>
              </w:rPr>
            </w:pPr>
          </w:p>
        </w:tc>
        <w:tc>
          <w:tcPr>
            <w:tcW w:w="1765" w:type="dxa"/>
            <w:tcBorders>
              <w:tl2br w:val="nil"/>
              <w:tr2bl w:val="nil"/>
            </w:tcBorders>
            <w:noWrap w:val="0"/>
            <w:vAlign w:val="center"/>
          </w:tcPr>
          <w:p w14:paraId="787AA97E">
            <w:pPr>
              <w:jc w:val="center"/>
              <w:rPr>
                <w:rFonts w:hint="eastAsia" w:ascii="宋体" w:hAnsi="宋体" w:eastAsia="宋体" w:cs="宋体"/>
                <w:bCs/>
                <w:color w:val="auto"/>
                <w:sz w:val="21"/>
                <w:szCs w:val="21"/>
                <w:highlight w:val="none"/>
              </w:rPr>
            </w:pPr>
          </w:p>
        </w:tc>
      </w:tr>
    </w:tbl>
    <w:p w14:paraId="0D8C4C5E">
      <w:pPr>
        <w:spacing w:line="360" w:lineRule="auto"/>
        <w:rPr>
          <w:rFonts w:ascii="宋体" w:hAnsi="宋体" w:cs="宋体"/>
          <w:color w:val="auto"/>
          <w:szCs w:val="21"/>
          <w:highlight w:val="none"/>
        </w:rPr>
      </w:pPr>
    </w:p>
    <w:p w14:paraId="26DF13E3">
      <w:pPr>
        <w:spacing w:line="400" w:lineRule="exact"/>
        <w:rPr>
          <w:rFonts w:hint="eastAsia" w:ascii="宋体" w:hAnsi="宋体"/>
          <w:color w:val="auto"/>
          <w:szCs w:val="21"/>
          <w:highlight w:val="none"/>
          <w:lang w:val="en-US" w:eastAsia="zh-CN"/>
        </w:rPr>
      </w:pPr>
      <w:r>
        <w:rPr>
          <w:rFonts w:hint="eastAsia" w:ascii="宋体" w:hAnsi="宋体"/>
          <w:color w:val="auto"/>
          <w:szCs w:val="21"/>
          <w:highlight w:val="none"/>
        </w:rPr>
        <w:t>注：</w:t>
      </w:r>
      <w:r>
        <w:rPr>
          <w:rFonts w:hint="eastAsia" w:ascii="宋体" w:hAnsi="宋体"/>
          <w:color w:val="auto"/>
          <w:szCs w:val="21"/>
          <w:highlight w:val="none"/>
          <w:lang w:val="en-US" w:eastAsia="zh-CN"/>
        </w:rPr>
        <w:t>1、本表非固定格式，供应商可根据实际情况自行调整。</w:t>
      </w:r>
    </w:p>
    <w:p w14:paraId="780EDB9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本表只列出支出预测大项，各小项请各物业管理公司根据实际情况填写。</w:t>
      </w:r>
    </w:p>
    <w:p w14:paraId="6B82B702">
      <w:pPr>
        <w:rPr>
          <w:rFonts w:ascii="宋体" w:hAnsi="宋体" w:cs="宋体"/>
          <w:color w:val="auto"/>
          <w:highlight w:val="none"/>
        </w:rPr>
      </w:pPr>
    </w:p>
    <w:p w14:paraId="44EB0FE3">
      <w:pPr>
        <w:pStyle w:val="2"/>
        <w:rPr>
          <w:highlight w:val="none"/>
        </w:rPr>
      </w:pPr>
    </w:p>
    <w:p w14:paraId="2D45C496">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投标人名称（盖单位章）：</w:t>
      </w:r>
    </w:p>
    <w:p w14:paraId="35620497">
      <w:pPr>
        <w:adjustRightInd w:val="0"/>
        <w:snapToGrid w:val="0"/>
        <w:spacing w:line="360" w:lineRule="auto"/>
        <w:rPr>
          <w:rFonts w:ascii="宋体" w:hAnsi="宋体" w:cs="宋体"/>
          <w:color w:val="auto"/>
          <w:szCs w:val="21"/>
          <w:highlight w:val="none"/>
        </w:rPr>
      </w:pPr>
      <w:r>
        <w:rPr>
          <w:rFonts w:hint="eastAsia" w:ascii="宋体" w:hAnsi="宋体" w:cs="宋体"/>
          <w:color w:val="auto"/>
          <w:spacing w:val="-2"/>
          <w:kern w:val="0"/>
          <w:szCs w:val="21"/>
          <w:highlight w:val="none"/>
        </w:rPr>
        <w:t>法</w:t>
      </w:r>
      <w:r>
        <w:rPr>
          <w:rFonts w:hint="eastAsia" w:ascii="宋体" w:hAnsi="宋体" w:cs="宋体"/>
          <w:color w:val="auto"/>
          <w:kern w:val="0"/>
          <w:szCs w:val="21"/>
          <w:highlight w:val="none"/>
        </w:rPr>
        <w:t>定</w:t>
      </w:r>
      <w:r>
        <w:rPr>
          <w:rFonts w:hint="eastAsia" w:ascii="宋体" w:hAnsi="宋体" w:cs="宋体"/>
          <w:color w:val="auto"/>
          <w:spacing w:val="-2"/>
          <w:kern w:val="0"/>
          <w:szCs w:val="21"/>
          <w:highlight w:val="none"/>
        </w:rPr>
        <w:t>代</w:t>
      </w:r>
      <w:r>
        <w:rPr>
          <w:rFonts w:hint="eastAsia" w:ascii="宋体" w:hAnsi="宋体" w:cs="宋体"/>
          <w:color w:val="auto"/>
          <w:kern w:val="0"/>
          <w:szCs w:val="21"/>
          <w:highlight w:val="none"/>
        </w:rPr>
        <w:t>表</w:t>
      </w:r>
      <w:r>
        <w:rPr>
          <w:rFonts w:hint="eastAsia" w:ascii="宋体" w:hAnsi="宋体" w:cs="宋体"/>
          <w:color w:val="auto"/>
          <w:spacing w:val="-2"/>
          <w:kern w:val="0"/>
          <w:szCs w:val="21"/>
          <w:highlight w:val="none"/>
        </w:rPr>
        <w:t>人</w:t>
      </w:r>
      <w:r>
        <w:rPr>
          <w:rFonts w:hint="eastAsia" w:ascii="宋体" w:hAnsi="宋体" w:cs="宋体"/>
          <w:color w:val="auto"/>
          <w:kern w:val="0"/>
          <w:szCs w:val="21"/>
          <w:highlight w:val="none"/>
        </w:rPr>
        <w:t>（</w:t>
      </w:r>
      <w:r>
        <w:rPr>
          <w:rFonts w:hint="eastAsia" w:ascii="宋体" w:hAnsi="宋体" w:cs="宋体"/>
          <w:color w:val="auto"/>
          <w:spacing w:val="-2"/>
          <w:kern w:val="0"/>
          <w:szCs w:val="21"/>
          <w:highlight w:val="none"/>
        </w:rPr>
        <w:t>单</w:t>
      </w:r>
      <w:r>
        <w:rPr>
          <w:rFonts w:hint="eastAsia" w:ascii="宋体" w:hAnsi="宋体" w:cs="宋体"/>
          <w:color w:val="auto"/>
          <w:kern w:val="0"/>
          <w:szCs w:val="21"/>
          <w:highlight w:val="none"/>
        </w:rPr>
        <w:t>位</w:t>
      </w:r>
      <w:r>
        <w:rPr>
          <w:rFonts w:hint="eastAsia" w:ascii="宋体" w:hAnsi="宋体" w:cs="宋体"/>
          <w:color w:val="auto"/>
          <w:spacing w:val="-2"/>
          <w:kern w:val="0"/>
          <w:szCs w:val="21"/>
          <w:highlight w:val="none"/>
        </w:rPr>
        <w:t>负</w:t>
      </w:r>
      <w:r>
        <w:rPr>
          <w:rFonts w:hint="eastAsia" w:ascii="宋体" w:hAnsi="宋体" w:cs="宋体"/>
          <w:color w:val="auto"/>
          <w:kern w:val="0"/>
          <w:szCs w:val="21"/>
          <w:highlight w:val="none"/>
        </w:rPr>
        <w:t>责人</w:t>
      </w:r>
      <w:r>
        <w:rPr>
          <w:rFonts w:hint="eastAsia" w:ascii="宋体" w:hAnsi="宋体" w:cs="宋体"/>
          <w:color w:val="auto"/>
          <w:spacing w:val="-2"/>
          <w:kern w:val="0"/>
          <w:szCs w:val="21"/>
          <w:highlight w:val="none"/>
        </w:rPr>
        <w:t>）</w:t>
      </w:r>
      <w:r>
        <w:rPr>
          <w:rFonts w:hint="eastAsia" w:ascii="宋体" w:hAnsi="宋体" w:cs="宋体"/>
          <w:color w:val="auto"/>
          <w:szCs w:val="21"/>
          <w:highlight w:val="none"/>
        </w:rPr>
        <w:t>或其授权的代理人（签字或印章）：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_</w:t>
      </w:r>
    </w:p>
    <w:p w14:paraId="7FDCD501">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6310D86">
      <w:pPr>
        <w:rPr>
          <w:rFonts w:ascii="宋体" w:hAnsi="宋体" w:cs="宋体"/>
          <w:color w:val="auto"/>
          <w:highlight w:val="none"/>
        </w:rPr>
      </w:pPr>
      <w:r>
        <w:rPr>
          <w:rFonts w:hint="eastAsia" w:ascii="宋体" w:hAnsi="宋体" w:cs="宋体"/>
          <w:color w:val="auto"/>
          <w:highlight w:val="none"/>
        </w:rPr>
        <w:br w:type="page"/>
      </w:r>
    </w:p>
    <w:p w14:paraId="3CB4125B">
      <w:pPr>
        <w:adjustRightInd w:val="0"/>
        <w:snapToGrid w:val="0"/>
        <w:spacing w:line="360" w:lineRule="auto"/>
        <w:jc w:val="center"/>
        <w:outlineLvl w:val="2"/>
        <w:rPr>
          <w:rFonts w:hint="eastAsia" w:ascii="宋体" w:hAnsi="宋体" w:eastAsia="黑体" w:cs="宋体"/>
          <w:b/>
          <w:bCs/>
          <w:color w:val="auto"/>
          <w:sz w:val="28"/>
          <w:szCs w:val="28"/>
          <w:highlight w:val="none"/>
        </w:rPr>
      </w:pPr>
      <w:r>
        <w:rPr>
          <w:rFonts w:hint="eastAsia" w:ascii="宋体" w:hAnsi="宋体" w:eastAsia="黑体" w:cs="宋体"/>
          <w:b/>
          <w:bCs/>
          <w:color w:val="auto"/>
          <w:sz w:val="28"/>
          <w:szCs w:val="28"/>
          <w:highlight w:val="none"/>
        </w:rPr>
        <w:t>五、</w:t>
      </w:r>
      <w:bookmarkEnd w:id="111"/>
      <w:r>
        <w:rPr>
          <w:rFonts w:hint="eastAsia" w:ascii="宋体" w:hAnsi="宋体" w:eastAsia="黑体" w:cs="宋体"/>
          <w:b/>
          <w:bCs/>
          <w:color w:val="auto"/>
          <w:sz w:val="28"/>
          <w:szCs w:val="28"/>
          <w:highlight w:val="none"/>
        </w:rPr>
        <w:t>享受政府采购政策优惠的证明资料</w:t>
      </w:r>
    </w:p>
    <w:p w14:paraId="67B2FC2B">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2980CDA2">
      <w:pPr>
        <w:adjustRightInd w:val="0"/>
        <w:snapToGrid w:val="0"/>
        <w:spacing w:line="360" w:lineRule="auto"/>
        <w:ind w:firstLine="444" w:firstLineChars="200"/>
        <w:rPr>
          <w:rFonts w:ascii="宋体" w:hAnsi="宋体" w:eastAsia="宋体" w:cs="宋体"/>
          <w:bCs/>
          <w:color w:val="auto"/>
          <w:spacing w:val="6"/>
          <w:kern w:val="0"/>
          <w:szCs w:val="21"/>
          <w:highlight w:val="none"/>
        </w:rPr>
      </w:pPr>
      <w:r>
        <w:rPr>
          <w:rFonts w:hint="eastAsia" w:ascii="宋体" w:hAnsi="宋体" w:cs="宋体"/>
          <w:bCs/>
          <w:color w:val="auto"/>
          <w:spacing w:val="6"/>
          <w:kern w:val="0"/>
          <w:szCs w:val="21"/>
          <w:highlight w:val="none"/>
          <w:lang w:val="en-US" w:eastAsia="zh-CN"/>
        </w:rPr>
        <w:t>注：</w:t>
      </w:r>
      <w:r>
        <w:rPr>
          <w:rFonts w:hint="eastAsia" w:ascii="宋体" w:hAnsi="宋体" w:eastAsia="宋体" w:cs="宋体"/>
          <w:bCs/>
          <w:color w:val="auto"/>
          <w:spacing w:val="6"/>
          <w:kern w:val="0"/>
          <w:szCs w:val="21"/>
          <w:highlight w:val="none"/>
        </w:rPr>
        <w:t>投标人符合第二章第33.6款要求的，应提供下列证明资料，并填写相关数据。否则，评审时不予以考虑。</w:t>
      </w:r>
    </w:p>
    <w:p w14:paraId="5B6CC5ED">
      <w:pPr>
        <w:adjustRightInd w:val="0"/>
        <w:snapToGrid w:val="0"/>
        <w:spacing w:line="360" w:lineRule="auto"/>
        <w:rPr>
          <w:rFonts w:ascii="黑体" w:hAnsi="华文中宋" w:eastAsia="黑体" w:cs="宋体"/>
          <w:bCs/>
          <w:color w:val="auto"/>
          <w:spacing w:val="6"/>
          <w:kern w:val="0"/>
          <w:szCs w:val="21"/>
          <w:highlight w:val="none"/>
        </w:rPr>
      </w:pPr>
    </w:p>
    <w:p w14:paraId="2ED06EA8">
      <w:pPr>
        <w:pStyle w:val="7"/>
        <w:rPr>
          <w:rFonts w:ascii="黑体" w:hAnsi="宋体"/>
          <w:b w:val="0"/>
          <w:bCs w:val="0"/>
          <w:color w:val="auto"/>
          <w:sz w:val="21"/>
          <w:szCs w:val="21"/>
          <w:highlight w:val="none"/>
        </w:rPr>
      </w:pPr>
      <w:bookmarkStart w:id="112" w:name="_Toc23864"/>
      <w:r>
        <w:rPr>
          <w:rFonts w:hint="eastAsia" w:ascii="黑体" w:hAnsi="华文中宋" w:cs="宋体"/>
          <w:b w:val="0"/>
          <w:bCs w:val="0"/>
          <w:color w:val="auto"/>
          <w:spacing w:val="6"/>
          <w:kern w:val="0"/>
          <w:sz w:val="21"/>
          <w:szCs w:val="21"/>
          <w:highlight w:val="none"/>
        </w:rPr>
        <w:t>附件</w:t>
      </w:r>
      <w:r>
        <w:rPr>
          <w:rFonts w:hint="eastAsia" w:ascii="黑体" w:hAnsi="华文中宋" w:cs="宋体"/>
          <w:b w:val="0"/>
          <w:bCs w:val="0"/>
          <w:color w:val="auto"/>
          <w:spacing w:val="6"/>
          <w:kern w:val="0"/>
          <w:sz w:val="21"/>
          <w:szCs w:val="21"/>
          <w:highlight w:val="none"/>
          <w:lang w:val="en-US" w:eastAsia="zh-CN"/>
        </w:rPr>
        <w:t>5</w:t>
      </w:r>
      <w:r>
        <w:rPr>
          <w:rFonts w:hint="eastAsia" w:ascii="黑体" w:hAnsi="华文中宋" w:cs="宋体"/>
          <w:b w:val="0"/>
          <w:bCs w:val="0"/>
          <w:color w:val="auto"/>
          <w:spacing w:val="6"/>
          <w:kern w:val="0"/>
          <w:sz w:val="21"/>
          <w:szCs w:val="21"/>
          <w:highlight w:val="none"/>
        </w:rPr>
        <w:t xml:space="preserve">-1 </w:t>
      </w:r>
      <w:r>
        <w:rPr>
          <w:rFonts w:hint="eastAsia" w:ascii="黑体" w:hAnsi="宋体"/>
          <w:b w:val="0"/>
          <w:bCs w:val="0"/>
          <w:color w:val="auto"/>
          <w:sz w:val="21"/>
          <w:szCs w:val="21"/>
          <w:highlight w:val="none"/>
        </w:rPr>
        <w:t>中小企业声明函</w:t>
      </w:r>
      <w:bookmarkEnd w:id="112"/>
    </w:p>
    <w:p w14:paraId="79139DF2">
      <w:pPr>
        <w:widowControl/>
        <w:adjustRightInd w:val="0"/>
        <w:snapToGrid w:val="0"/>
        <w:spacing w:line="360" w:lineRule="auto"/>
        <w:jc w:val="center"/>
        <w:rPr>
          <w:rFonts w:ascii="黑体" w:hAnsi="黑体" w:eastAsia="黑体" w:cs="宋体"/>
          <w:b/>
          <w:bCs/>
          <w:color w:val="auto"/>
          <w:spacing w:val="6"/>
          <w:kern w:val="0"/>
          <w:sz w:val="28"/>
          <w:szCs w:val="28"/>
          <w:highlight w:val="none"/>
        </w:rPr>
      </w:pPr>
      <w:r>
        <w:rPr>
          <w:rFonts w:hint="eastAsia" w:ascii="黑体" w:hAnsi="黑体" w:eastAsia="黑体" w:cs="黑体"/>
          <w:b/>
          <w:bCs/>
          <w:color w:val="auto"/>
          <w:spacing w:val="6"/>
          <w:kern w:val="0"/>
          <w:sz w:val="28"/>
          <w:szCs w:val="28"/>
          <w:highlight w:val="none"/>
        </w:rPr>
        <w:t>中小企业声明函</w:t>
      </w:r>
    </w:p>
    <w:p w14:paraId="110C0FDD">
      <w:pPr>
        <w:widowControl/>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注：服务类项目无需提供本声明函，供应商应按照《湖南省政府采购供应商资格承诺函》格式真实填写本单位的企业规模（中型企业、小型企业、微型企业）。</w:t>
      </w:r>
    </w:p>
    <w:p w14:paraId="0C363F87">
      <w:pPr>
        <w:pStyle w:val="64"/>
        <w:rPr>
          <w:rFonts w:hint="eastAsia" w:ascii="宋体" w:hAnsi="宋体" w:cs="宋体"/>
          <w:color w:val="auto"/>
          <w:kern w:val="0"/>
          <w:szCs w:val="21"/>
          <w:highlight w:val="none"/>
          <w:lang w:val="en-US" w:eastAsia="zh-CN" w:bidi="ar"/>
        </w:rPr>
      </w:pPr>
    </w:p>
    <w:p w14:paraId="260220EC">
      <w:pPr>
        <w:pStyle w:val="64"/>
        <w:rPr>
          <w:rFonts w:hint="eastAsia" w:ascii="宋体" w:hAnsi="宋体" w:cs="宋体"/>
          <w:color w:val="auto"/>
          <w:kern w:val="0"/>
          <w:szCs w:val="21"/>
          <w:highlight w:val="none"/>
          <w:lang w:val="en-US" w:eastAsia="zh-CN" w:bidi="ar"/>
        </w:rPr>
      </w:pPr>
    </w:p>
    <w:p w14:paraId="69E2AA9C">
      <w:pPr>
        <w:pStyle w:val="64"/>
        <w:rPr>
          <w:rFonts w:hint="eastAsia" w:ascii="宋体" w:hAnsi="宋体" w:cs="宋体"/>
          <w:color w:val="auto"/>
          <w:kern w:val="0"/>
          <w:szCs w:val="21"/>
          <w:highlight w:val="none"/>
          <w:lang w:val="en-US" w:eastAsia="zh-CN" w:bidi="ar"/>
        </w:rPr>
      </w:pPr>
    </w:p>
    <w:p w14:paraId="3780230E">
      <w:pPr>
        <w:pStyle w:val="64"/>
        <w:rPr>
          <w:rFonts w:hint="eastAsia" w:ascii="宋体" w:hAnsi="宋体" w:cs="宋体"/>
          <w:color w:val="auto"/>
          <w:kern w:val="0"/>
          <w:szCs w:val="21"/>
          <w:highlight w:val="none"/>
          <w:lang w:val="en-US" w:eastAsia="zh-CN" w:bidi="ar"/>
        </w:rPr>
      </w:pPr>
    </w:p>
    <w:p w14:paraId="30EF701C">
      <w:pPr>
        <w:pStyle w:val="64"/>
        <w:rPr>
          <w:rFonts w:hint="eastAsia" w:ascii="宋体" w:hAnsi="宋体" w:cs="宋体"/>
          <w:color w:val="auto"/>
          <w:kern w:val="0"/>
          <w:szCs w:val="21"/>
          <w:highlight w:val="none"/>
          <w:lang w:val="en-US" w:eastAsia="zh-CN" w:bidi="ar"/>
        </w:rPr>
      </w:pPr>
    </w:p>
    <w:p w14:paraId="0F48408D">
      <w:pPr>
        <w:pStyle w:val="64"/>
        <w:rPr>
          <w:rFonts w:hint="eastAsia" w:ascii="宋体" w:hAnsi="宋体" w:cs="宋体"/>
          <w:color w:val="auto"/>
          <w:kern w:val="0"/>
          <w:szCs w:val="21"/>
          <w:highlight w:val="none"/>
          <w:lang w:val="en-US" w:eastAsia="zh-CN" w:bidi="ar"/>
        </w:rPr>
      </w:pPr>
    </w:p>
    <w:p w14:paraId="2E82CC9E">
      <w:pPr>
        <w:pStyle w:val="64"/>
        <w:rPr>
          <w:rFonts w:hint="eastAsia" w:ascii="宋体" w:hAnsi="宋体" w:cs="宋体"/>
          <w:color w:val="auto"/>
          <w:kern w:val="0"/>
          <w:szCs w:val="21"/>
          <w:highlight w:val="none"/>
          <w:lang w:val="en-US" w:eastAsia="zh-CN" w:bidi="ar"/>
        </w:rPr>
      </w:pPr>
    </w:p>
    <w:p w14:paraId="5FB6F1D5">
      <w:pPr>
        <w:pStyle w:val="64"/>
        <w:rPr>
          <w:rFonts w:hint="eastAsia" w:ascii="宋体" w:hAnsi="宋体" w:cs="宋体"/>
          <w:color w:val="auto"/>
          <w:kern w:val="0"/>
          <w:szCs w:val="21"/>
          <w:highlight w:val="none"/>
          <w:lang w:val="en-US" w:eastAsia="zh-CN" w:bidi="ar"/>
        </w:rPr>
      </w:pPr>
    </w:p>
    <w:p w14:paraId="3D3FB400">
      <w:pPr>
        <w:pStyle w:val="64"/>
        <w:rPr>
          <w:rFonts w:hint="eastAsia" w:ascii="宋体" w:hAnsi="宋体" w:cs="宋体"/>
          <w:color w:val="auto"/>
          <w:kern w:val="0"/>
          <w:szCs w:val="21"/>
          <w:highlight w:val="none"/>
          <w:lang w:val="en-US" w:eastAsia="zh-CN" w:bidi="ar"/>
        </w:rPr>
      </w:pPr>
    </w:p>
    <w:p w14:paraId="09197DA4">
      <w:pPr>
        <w:pStyle w:val="64"/>
        <w:rPr>
          <w:rFonts w:hint="eastAsia" w:ascii="宋体" w:hAnsi="宋体" w:cs="宋体"/>
          <w:color w:val="auto"/>
          <w:kern w:val="0"/>
          <w:szCs w:val="21"/>
          <w:highlight w:val="none"/>
          <w:lang w:val="en-US" w:eastAsia="zh-CN" w:bidi="ar"/>
        </w:rPr>
      </w:pPr>
    </w:p>
    <w:p w14:paraId="6FB7A5D4">
      <w:pPr>
        <w:pStyle w:val="64"/>
        <w:rPr>
          <w:rFonts w:hint="eastAsia" w:ascii="宋体" w:hAnsi="宋体" w:cs="宋体"/>
          <w:color w:val="auto"/>
          <w:kern w:val="0"/>
          <w:szCs w:val="21"/>
          <w:highlight w:val="none"/>
          <w:lang w:val="en-US" w:eastAsia="zh-CN" w:bidi="ar"/>
        </w:rPr>
      </w:pPr>
    </w:p>
    <w:p w14:paraId="66EF6482">
      <w:pPr>
        <w:pStyle w:val="64"/>
        <w:rPr>
          <w:rFonts w:hint="eastAsia" w:ascii="宋体" w:hAnsi="宋体" w:cs="宋体"/>
          <w:color w:val="auto"/>
          <w:kern w:val="0"/>
          <w:szCs w:val="21"/>
          <w:highlight w:val="none"/>
          <w:lang w:val="en-US" w:eastAsia="zh-CN" w:bidi="ar"/>
        </w:rPr>
      </w:pPr>
    </w:p>
    <w:p w14:paraId="75E8196E">
      <w:pPr>
        <w:pStyle w:val="64"/>
        <w:rPr>
          <w:rFonts w:hint="eastAsia" w:ascii="宋体" w:hAnsi="宋体" w:cs="宋体"/>
          <w:color w:val="auto"/>
          <w:kern w:val="0"/>
          <w:szCs w:val="21"/>
          <w:highlight w:val="none"/>
          <w:lang w:val="en-US" w:eastAsia="zh-CN" w:bidi="ar"/>
        </w:rPr>
      </w:pPr>
    </w:p>
    <w:p w14:paraId="6A103A37">
      <w:pPr>
        <w:pStyle w:val="64"/>
        <w:rPr>
          <w:rFonts w:hint="eastAsia" w:ascii="宋体" w:hAnsi="宋体" w:cs="宋体"/>
          <w:color w:val="auto"/>
          <w:kern w:val="0"/>
          <w:szCs w:val="21"/>
          <w:highlight w:val="none"/>
          <w:lang w:val="en-US" w:eastAsia="zh-CN" w:bidi="ar"/>
        </w:rPr>
      </w:pPr>
    </w:p>
    <w:p w14:paraId="790F4AC5">
      <w:pPr>
        <w:pStyle w:val="64"/>
        <w:rPr>
          <w:rFonts w:hint="eastAsia" w:ascii="宋体" w:hAnsi="宋体" w:cs="宋体"/>
          <w:color w:val="auto"/>
          <w:kern w:val="0"/>
          <w:szCs w:val="21"/>
          <w:highlight w:val="none"/>
          <w:lang w:val="en-US" w:eastAsia="zh-CN" w:bidi="ar"/>
        </w:rPr>
      </w:pPr>
    </w:p>
    <w:p w14:paraId="207FEC2A">
      <w:pPr>
        <w:pStyle w:val="64"/>
        <w:rPr>
          <w:rFonts w:hint="eastAsia" w:ascii="宋体" w:hAnsi="宋体" w:cs="宋体"/>
          <w:color w:val="auto"/>
          <w:kern w:val="0"/>
          <w:szCs w:val="21"/>
          <w:highlight w:val="none"/>
          <w:lang w:val="en-US" w:eastAsia="zh-CN" w:bidi="ar"/>
        </w:rPr>
      </w:pPr>
    </w:p>
    <w:p w14:paraId="143D548D">
      <w:pPr>
        <w:pStyle w:val="64"/>
        <w:rPr>
          <w:rFonts w:hint="eastAsia" w:ascii="宋体" w:hAnsi="宋体" w:cs="宋体"/>
          <w:color w:val="auto"/>
          <w:kern w:val="0"/>
          <w:szCs w:val="21"/>
          <w:highlight w:val="none"/>
          <w:lang w:val="en-US" w:eastAsia="zh-CN" w:bidi="ar"/>
        </w:rPr>
      </w:pPr>
    </w:p>
    <w:p w14:paraId="3528A524">
      <w:pPr>
        <w:pStyle w:val="64"/>
        <w:rPr>
          <w:rFonts w:hint="eastAsia" w:ascii="宋体" w:hAnsi="宋体" w:cs="宋体"/>
          <w:color w:val="auto"/>
          <w:kern w:val="0"/>
          <w:szCs w:val="21"/>
          <w:highlight w:val="none"/>
          <w:lang w:val="en-US" w:eastAsia="zh-CN" w:bidi="ar"/>
        </w:rPr>
      </w:pPr>
    </w:p>
    <w:p w14:paraId="202023A5">
      <w:pPr>
        <w:pStyle w:val="64"/>
        <w:rPr>
          <w:rFonts w:hint="eastAsia" w:ascii="宋体" w:hAnsi="宋体" w:cs="宋体"/>
          <w:color w:val="auto"/>
          <w:kern w:val="0"/>
          <w:szCs w:val="21"/>
          <w:highlight w:val="none"/>
          <w:lang w:val="en-US" w:eastAsia="zh-CN" w:bidi="ar"/>
        </w:rPr>
      </w:pPr>
    </w:p>
    <w:p w14:paraId="6D95079F">
      <w:pPr>
        <w:pStyle w:val="64"/>
        <w:rPr>
          <w:rFonts w:hint="eastAsia" w:ascii="宋体" w:hAnsi="宋体" w:cs="宋体"/>
          <w:color w:val="auto"/>
          <w:kern w:val="0"/>
          <w:szCs w:val="21"/>
          <w:highlight w:val="none"/>
          <w:lang w:val="en-US" w:eastAsia="zh-CN" w:bidi="ar"/>
        </w:rPr>
      </w:pPr>
    </w:p>
    <w:p w14:paraId="21DBD97B">
      <w:pPr>
        <w:pStyle w:val="64"/>
        <w:rPr>
          <w:rFonts w:hint="eastAsia" w:ascii="宋体" w:hAnsi="宋体" w:cs="宋体"/>
          <w:color w:val="auto"/>
          <w:kern w:val="0"/>
          <w:szCs w:val="21"/>
          <w:highlight w:val="none"/>
          <w:lang w:val="en-US" w:eastAsia="zh-CN" w:bidi="ar"/>
        </w:rPr>
      </w:pPr>
    </w:p>
    <w:p w14:paraId="6745E97E">
      <w:pPr>
        <w:pStyle w:val="64"/>
        <w:rPr>
          <w:rFonts w:hint="eastAsia" w:ascii="宋体" w:hAnsi="宋体" w:cs="宋体"/>
          <w:color w:val="auto"/>
          <w:kern w:val="0"/>
          <w:szCs w:val="21"/>
          <w:highlight w:val="none"/>
          <w:lang w:val="en-US" w:eastAsia="zh-CN" w:bidi="ar"/>
        </w:rPr>
      </w:pPr>
    </w:p>
    <w:p w14:paraId="2D73D763">
      <w:pPr>
        <w:pStyle w:val="64"/>
        <w:rPr>
          <w:rFonts w:hint="eastAsia" w:ascii="宋体" w:hAnsi="宋体" w:cs="宋体"/>
          <w:color w:val="auto"/>
          <w:kern w:val="0"/>
          <w:szCs w:val="21"/>
          <w:highlight w:val="none"/>
          <w:lang w:val="en-US" w:eastAsia="zh-CN" w:bidi="ar"/>
        </w:rPr>
      </w:pPr>
    </w:p>
    <w:p w14:paraId="670B41A2">
      <w:pPr>
        <w:pStyle w:val="64"/>
        <w:rPr>
          <w:rFonts w:hint="eastAsia" w:ascii="宋体" w:hAnsi="宋体" w:cs="宋体"/>
          <w:color w:val="auto"/>
          <w:kern w:val="0"/>
          <w:szCs w:val="21"/>
          <w:highlight w:val="none"/>
          <w:lang w:val="en-US" w:eastAsia="zh-CN" w:bidi="ar"/>
        </w:rPr>
      </w:pPr>
    </w:p>
    <w:p w14:paraId="5B53303B">
      <w:pPr>
        <w:pStyle w:val="64"/>
        <w:rPr>
          <w:rFonts w:hint="eastAsia" w:ascii="宋体" w:hAnsi="宋体" w:cs="宋体"/>
          <w:color w:val="auto"/>
          <w:kern w:val="0"/>
          <w:szCs w:val="21"/>
          <w:highlight w:val="none"/>
          <w:lang w:val="en-US" w:eastAsia="zh-CN" w:bidi="ar"/>
        </w:rPr>
      </w:pPr>
    </w:p>
    <w:p w14:paraId="344BF340">
      <w:pPr>
        <w:pStyle w:val="64"/>
        <w:rPr>
          <w:rFonts w:hint="eastAsia" w:ascii="宋体" w:hAnsi="宋体" w:cs="宋体"/>
          <w:color w:val="auto"/>
          <w:kern w:val="0"/>
          <w:szCs w:val="21"/>
          <w:highlight w:val="none"/>
          <w:lang w:val="en-US" w:eastAsia="zh-CN" w:bidi="ar"/>
        </w:rPr>
      </w:pPr>
    </w:p>
    <w:p w14:paraId="11E5274C">
      <w:pPr>
        <w:pStyle w:val="64"/>
        <w:rPr>
          <w:rFonts w:hint="default" w:ascii="宋体" w:hAnsi="宋体" w:cs="宋体"/>
          <w:color w:val="auto"/>
          <w:kern w:val="0"/>
          <w:szCs w:val="21"/>
          <w:highlight w:val="none"/>
          <w:lang w:val="en-US" w:eastAsia="zh-CN" w:bidi="ar"/>
        </w:rPr>
      </w:pPr>
    </w:p>
    <w:p w14:paraId="592638BF">
      <w:pPr>
        <w:pStyle w:val="7"/>
        <w:rPr>
          <w:rFonts w:ascii="黑体" w:hAnsi="黑体"/>
          <w:b w:val="0"/>
          <w:bCs w:val="0"/>
          <w:color w:val="auto"/>
          <w:sz w:val="21"/>
          <w:szCs w:val="21"/>
          <w:highlight w:val="none"/>
        </w:rPr>
      </w:pPr>
      <w:bookmarkStart w:id="113" w:name="_Toc16609"/>
      <w:bookmarkStart w:id="114" w:name="_Toc82155492"/>
      <w:bookmarkStart w:id="115" w:name="_Toc22201164"/>
      <w:bookmarkStart w:id="116" w:name="_Toc62206227"/>
      <w:r>
        <w:rPr>
          <w:rFonts w:hint="eastAsia" w:ascii="黑体" w:hAnsi="黑体" w:cs="宋体"/>
          <w:b w:val="0"/>
          <w:bCs w:val="0"/>
          <w:color w:val="auto"/>
          <w:kern w:val="0"/>
          <w:sz w:val="21"/>
          <w:szCs w:val="21"/>
          <w:highlight w:val="none"/>
        </w:rPr>
        <w:t>附件</w:t>
      </w:r>
      <w:r>
        <w:rPr>
          <w:rFonts w:hint="eastAsia" w:ascii="黑体" w:hAnsi="黑体" w:cs="宋体"/>
          <w:b w:val="0"/>
          <w:bCs w:val="0"/>
          <w:color w:val="auto"/>
          <w:kern w:val="0"/>
          <w:sz w:val="21"/>
          <w:szCs w:val="21"/>
          <w:highlight w:val="none"/>
          <w:lang w:val="en-US" w:eastAsia="zh-CN"/>
        </w:rPr>
        <w:t>5</w:t>
      </w:r>
      <w:r>
        <w:rPr>
          <w:rFonts w:hint="eastAsia" w:ascii="黑体" w:hAnsi="黑体" w:cs="宋体"/>
          <w:b w:val="0"/>
          <w:bCs w:val="0"/>
          <w:color w:val="auto"/>
          <w:kern w:val="0"/>
          <w:sz w:val="21"/>
          <w:szCs w:val="21"/>
          <w:highlight w:val="none"/>
        </w:rPr>
        <w:t xml:space="preserve">-2 </w:t>
      </w:r>
      <w:r>
        <w:rPr>
          <w:rFonts w:hint="eastAsia" w:ascii="黑体" w:hAnsi="黑体"/>
          <w:b w:val="0"/>
          <w:bCs w:val="0"/>
          <w:color w:val="auto"/>
          <w:sz w:val="21"/>
          <w:szCs w:val="21"/>
          <w:highlight w:val="none"/>
        </w:rPr>
        <w:t>残疾人福利性单位声明函</w:t>
      </w:r>
      <w:bookmarkEnd w:id="113"/>
      <w:bookmarkEnd w:id="114"/>
      <w:bookmarkEnd w:id="115"/>
      <w:bookmarkEnd w:id="116"/>
    </w:p>
    <w:p w14:paraId="3D00F76C">
      <w:pPr>
        <w:adjustRightInd w:val="0"/>
        <w:snapToGrid w:val="0"/>
        <w:spacing w:line="360" w:lineRule="auto"/>
        <w:jc w:val="center"/>
        <w:rPr>
          <w:rFonts w:ascii="黑体" w:hAnsi="黑体" w:eastAsia="黑体"/>
          <w:b/>
          <w:color w:val="auto"/>
          <w:spacing w:val="6"/>
          <w:sz w:val="28"/>
          <w:szCs w:val="28"/>
          <w:highlight w:val="none"/>
        </w:rPr>
      </w:pPr>
      <w:r>
        <w:rPr>
          <w:rFonts w:hint="eastAsia" w:ascii="黑体" w:hAnsi="黑体" w:eastAsia="黑体"/>
          <w:b/>
          <w:color w:val="auto"/>
          <w:spacing w:val="6"/>
          <w:sz w:val="28"/>
          <w:szCs w:val="28"/>
          <w:highlight w:val="none"/>
        </w:rPr>
        <w:t>残疾人福利性单位声明函</w:t>
      </w:r>
    </w:p>
    <w:p w14:paraId="1C976FDC">
      <w:pPr>
        <w:adjustRightInd w:val="0"/>
        <w:snapToGrid w:val="0"/>
        <w:spacing w:line="360" w:lineRule="auto"/>
        <w:ind w:firstLine="446" w:firstLineChars="200"/>
        <w:rPr>
          <w:rFonts w:ascii="宋体" w:hAnsi="宋体"/>
          <w:b/>
          <w:color w:val="auto"/>
          <w:spacing w:val="6"/>
          <w:szCs w:val="21"/>
          <w:highlight w:val="none"/>
        </w:rPr>
      </w:pPr>
    </w:p>
    <w:p w14:paraId="42805932">
      <w:pPr>
        <w:adjustRightInd w:val="0"/>
        <w:snapToGrid w:val="0"/>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本单位郑重声明，根据《财政部民政部中国残疾人联合会关于促进残疾人就业政府采购政策的通知》（财库</w:t>
      </w:r>
      <w:r>
        <w:rPr>
          <w:rFonts w:hint="eastAsia" w:ascii="宋体" w:hAnsi="宋体"/>
          <w:color w:val="auto"/>
          <w:szCs w:val="21"/>
          <w:highlight w:val="none"/>
        </w:rPr>
        <w:t>〔2017〕141</w:t>
      </w:r>
      <w:r>
        <w:rPr>
          <w:rFonts w:hint="eastAsia" w:ascii="宋体" w:hAnsi="宋体"/>
          <w:color w:val="auto"/>
          <w:spacing w:val="6"/>
          <w:szCs w:val="21"/>
          <w:highlight w:val="none"/>
        </w:rPr>
        <w:t>号）的规定，本单位为符合条件的残疾人福利性单位，且本单位参加</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单位的</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14:paraId="047D9614">
      <w:pPr>
        <w:adjustRightInd w:val="0"/>
        <w:snapToGrid w:val="0"/>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p>
    <w:p w14:paraId="336EE82C">
      <w:pPr>
        <w:adjustRightInd w:val="0"/>
        <w:snapToGrid w:val="0"/>
        <w:spacing w:line="360" w:lineRule="auto"/>
        <w:ind w:firstLine="444" w:firstLineChars="200"/>
        <w:rPr>
          <w:rFonts w:ascii="宋体" w:hAnsi="宋体"/>
          <w:color w:val="auto"/>
          <w:spacing w:val="6"/>
          <w:szCs w:val="21"/>
          <w:highlight w:val="none"/>
        </w:rPr>
      </w:pPr>
    </w:p>
    <w:p w14:paraId="591C8163">
      <w:pPr>
        <w:adjustRightInd w:val="0"/>
        <w:snapToGrid w:val="0"/>
        <w:spacing w:line="360" w:lineRule="auto"/>
        <w:ind w:firstLine="444" w:firstLineChars="200"/>
        <w:rPr>
          <w:rFonts w:ascii="宋体" w:hAnsi="宋体"/>
          <w:color w:val="auto"/>
          <w:spacing w:val="6"/>
          <w:szCs w:val="21"/>
          <w:highlight w:val="none"/>
        </w:rPr>
      </w:pPr>
    </w:p>
    <w:p w14:paraId="441D75A4">
      <w:pPr>
        <w:tabs>
          <w:tab w:val="left" w:pos="4860"/>
        </w:tabs>
        <w:adjustRightInd w:val="0"/>
        <w:snapToGrid w:val="0"/>
        <w:spacing w:line="360" w:lineRule="auto"/>
        <w:ind w:right="1560" w:firstLine="444" w:firstLineChars="200"/>
        <w:jc w:val="center"/>
        <w:rPr>
          <w:rFonts w:ascii="宋体" w:hAnsi="宋体"/>
          <w:color w:val="auto"/>
          <w:spacing w:val="6"/>
          <w:szCs w:val="21"/>
          <w:highlight w:val="none"/>
        </w:rPr>
      </w:pPr>
      <w:r>
        <w:rPr>
          <w:rFonts w:hint="eastAsia" w:ascii="宋体" w:hAnsi="宋体"/>
          <w:color w:val="auto"/>
          <w:spacing w:val="6"/>
          <w:szCs w:val="21"/>
          <w:highlight w:val="none"/>
        </w:rPr>
        <w:t xml:space="preserve">               单位名称（盖章）：</w:t>
      </w:r>
    </w:p>
    <w:p w14:paraId="60E72829">
      <w:pPr>
        <w:tabs>
          <w:tab w:val="left" w:pos="4860"/>
        </w:tabs>
        <w:adjustRightInd w:val="0"/>
        <w:snapToGrid w:val="0"/>
        <w:spacing w:line="360" w:lineRule="auto"/>
        <w:ind w:right="1560" w:firstLine="444" w:firstLineChars="200"/>
        <w:jc w:val="center"/>
        <w:rPr>
          <w:rFonts w:ascii="宋体" w:hAnsi="宋体"/>
          <w:color w:val="auto"/>
          <w:spacing w:val="6"/>
          <w:szCs w:val="21"/>
          <w:highlight w:val="none"/>
        </w:rPr>
      </w:pPr>
      <w:r>
        <w:rPr>
          <w:rFonts w:hint="eastAsia" w:ascii="宋体" w:hAnsi="宋体"/>
          <w:color w:val="auto"/>
          <w:spacing w:val="6"/>
          <w:szCs w:val="21"/>
          <w:highlight w:val="none"/>
        </w:rPr>
        <w:t xml:space="preserve">       日  期：</w:t>
      </w:r>
    </w:p>
    <w:p w14:paraId="6C24CBCB">
      <w:pPr>
        <w:widowControl/>
        <w:adjustRightInd w:val="0"/>
        <w:snapToGrid w:val="0"/>
        <w:spacing w:line="360" w:lineRule="auto"/>
        <w:jc w:val="left"/>
        <w:rPr>
          <w:rFonts w:ascii="宋体" w:hAnsi="宋体" w:cs="宋体"/>
          <w:color w:val="auto"/>
          <w:kern w:val="0"/>
          <w:szCs w:val="21"/>
          <w:highlight w:val="none"/>
        </w:rPr>
      </w:pPr>
    </w:p>
    <w:p w14:paraId="734D5767">
      <w:pPr>
        <w:pStyle w:val="7"/>
        <w:rPr>
          <w:rFonts w:ascii="黑体" w:hAnsi="黑体"/>
          <w:color w:val="auto"/>
          <w:sz w:val="21"/>
          <w:szCs w:val="21"/>
          <w:highlight w:val="none"/>
        </w:rPr>
      </w:pPr>
      <w:r>
        <w:rPr>
          <w:rFonts w:ascii="黑体" w:hAnsi="华文中宋" w:cs="宋体"/>
          <w:color w:val="auto"/>
          <w:spacing w:val="6"/>
          <w:kern w:val="0"/>
          <w:highlight w:val="none"/>
        </w:rPr>
        <w:br w:type="page"/>
      </w:r>
      <w:bookmarkStart w:id="117" w:name="_Toc22201165"/>
      <w:bookmarkStart w:id="118" w:name="_Toc21302"/>
      <w:bookmarkStart w:id="119" w:name="_Toc62206228"/>
      <w:bookmarkStart w:id="120" w:name="_Toc82155493"/>
      <w:r>
        <w:rPr>
          <w:rFonts w:hint="eastAsia" w:ascii="黑体" w:hAnsi="黑体" w:cs="宋体"/>
          <w:b w:val="0"/>
          <w:bCs w:val="0"/>
          <w:color w:val="auto"/>
          <w:kern w:val="0"/>
          <w:sz w:val="21"/>
          <w:szCs w:val="21"/>
          <w:highlight w:val="none"/>
        </w:rPr>
        <w:t>附件</w:t>
      </w:r>
      <w:r>
        <w:rPr>
          <w:rFonts w:hint="eastAsia" w:ascii="黑体" w:hAnsi="黑体" w:cs="宋体"/>
          <w:b w:val="0"/>
          <w:bCs w:val="0"/>
          <w:color w:val="auto"/>
          <w:kern w:val="0"/>
          <w:sz w:val="21"/>
          <w:szCs w:val="21"/>
          <w:highlight w:val="none"/>
          <w:lang w:val="en-US" w:eastAsia="zh-CN"/>
        </w:rPr>
        <w:t>5</w:t>
      </w:r>
      <w:r>
        <w:rPr>
          <w:rFonts w:hint="eastAsia" w:ascii="黑体" w:hAnsi="黑体" w:cs="宋体"/>
          <w:b w:val="0"/>
          <w:bCs w:val="0"/>
          <w:color w:val="auto"/>
          <w:kern w:val="0"/>
          <w:sz w:val="21"/>
          <w:szCs w:val="21"/>
          <w:highlight w:val="none"/>
        </w:rPr>
        <w:t xml:space="preserve">-3 </w:t>
      </w:r>
      <w:r>
        <w:rPr>
          <w:rFonts w:hint="eastAsia" w:ascii="黑体" w:hAnsi="黑体"/>
          <w:b w:val="0"/>
          <w:bCs w:val="0"/>
          <w:color w:val="auto"/>
          <w:sz w:val="21"/>
          <w:szCs w:val="21"/>
          <w:highlight w:val="none"/>
        </w:rPr>
        <w:t>监狱企业证明资料</w:t>
      </w:r>
      <w:bookmarkEnd w:id="117"/>
      <w:bookmarkEnd w:id="118"/>
      <w:bookmarkEnd w:id="119"/>
      <w:bookmarkEnd w:id="120"/>
    </w:p>
    <w:p w14:paraId="297C1BA5">
      <w:pPr>
        <w:adjustRightInd w:val="0"/>
        <w:snapToGrid w:val="0"/>
        <w:spacing w:line="360" w:lineRule="auto"/>
        <w:jc w:val="center"/>
        <w:rPr>
          <w:rFonts w:ascii="黑体" w:hAnsi="宋体"/>
          <w:b/>
          <w:color w:val="auto"/>
          <w:sz w:val="28"/>
          <w:szCs w:val="28"/>
          <w:highlight w:val="none"/>
        </w:rPr>
      </w:pPr>
      <w:r>
        <w:rPr>
          <w:rFonts w:hint="eastAsia" w:ascii="黑体" w:hAnsi="宋体"/>
          <w:b/>
          <w:color w:val="auto"/>
          <w:sz w:val="28"/>
          <w:szCs w:val="28"/>
          <w:highlight w:val="none"/>
        </w:rPr>
        <w:t>监狱企业证明资料</w:t>
      </w:r>
    </w:p>
    <w:p w14:paraId="6DD5C570">
      <w:pPr>
        <w:adjustRightInd w:val="0"/>
        <w:snapToGrid w:val="0"/>
        <w:spacing w:line="360" w:lineRule="auto"/>
        <w:rPr>
          <w:rFonts w:ascii="宋体" w:hAnsi="宋体"/>
          <w:b/>
          <w:color w:val="auto"/>
          <w:spacing w:val="6"/>
          <w:szCs w:val="21"/>
          <w:highlight w:val="none"/>
        </w:rPr>
      </w:pPr>
    </w:p>
    <w:p w14:paraId="2918C79E">
      <w:pPr>
        <w:adjustRightInd w:val="0"/>
        <w:snapToGrid w:val="0"/>
        <w:spacing w:line="360" w:lineRule="auto"/>
        <w:ind w:firstLine="420" w:firstLineChars="200"/>
        <w:rPr>
          <w:rFonts w:ascii="宋体" w:hAnsi="宋体"/>
          <w:color w:val="auto"/>
          <w:szCs w:val="21"/>
          <w:highlight w:val="none"/>
        </w:rPr>
      </w:pPr>
      <w:r>
        <w:rPr>
          <w:rFonts w:hint="eastAsia" w:ascii="宋体" w:hAnsi="宋体" w:eastAsia="宋体"/>
          <w:b w:val="0"/>
          <w:bCs/>
          <w:color w:val="auto"/>
          <w:szCs w:val="21"/>
          <w:highlight w:val="none"/>
        </w:rPr>
        <w:t>注</w:t>
      </w:r>
      <w:r>
        <w:rPr>
          <w:rFonts w:hint="eastAsia" w:ascii="宋体" w:hAnsi="宋体" w:cs="宋体"/>
          <w:b w:val="0"/>
          <w:bCs/>
          <w:color w:val="auto"/>
          <w:spacing w:val="6"/>
          <w:kern w:val="0"/>
          <w:szCs w:val="21"/>
          <w:highlight w:val="none"/>
        </w:rPr>
        <w:t>：</w:t>
      </w:r>
      <w:r>
        <w:rPr>
          <w:rFonts w:hint="eastAsia" w:ascii="宋体" w:hAnsi="宋体"/>
          <w:color w:val="auto"/>
          <w:szCs w:val="21"/>
          <w:highlight w:val="none"/>
        </w:rPr>
        <w:t>按</w:t>
      </w:r>
      <w:r>
        <w:rPr>
          <w:rFonts w:hint="eastAsia" w:ascii="宋体" w:hAnsi="宋体"/>
          <w:color w:val="auto"/>
          <w:spacing w:val="6"/>
          <w:szCs w:val="21"/>
          <w:highlight w:val="none"/>
        </w:rPr>
        <w:t>《</w:t>
      </w:r>
      <w:r>
        <w:rPr>
          <w:rFonts w:hint="eastAsia" w:ascii="宋体" w:hAnsi="宋体"/>
          <w:color w:val="auto"/>
          <w:szCs w:val="21"/>
          <w:highlight w:val="none"/>
        </w:rPr>
        <w:t>财政部司法部关于政府采购支持监狱企业发展有关问题的通知</w:t>
      </w:r>
      <w:r>
        <w:rPr>
          <w:rFonts w:hint="eastAsia" w:ascii="宋体" w:hAnsi="宋体"/>
          <w:color w:val="auto"/>
          <w:spacing w:val="6"/>
          <w:szCs w:val="21"/>
          <w:highlight w:val="none"/>
        </w:rPr>
        <w:t>》</w:t>
      </w:r>
      <w:r>
        <w:rPr>
          <w:rFonts w:hint="eastAsia" w:ascii="宋体" w:hAnsi="宋体"/>
          <w:color w:val="auto"/>
          <w:szCs w:val="21"/>
          <w:highlight w:val="none"/>
        </w:rPr>
        <w:t>(财库〔2014〕68号)文件规定提供证明文件。</w:t>
      </w:r>
    </w:p>
    <w:p w14:paraId="2B75E77B">
      <w:pPr>
        <w:adjustRightInd w:val="0"/>
        <w:snapToGrid w:val="0"/>
        <w:spacing w:line="360" w:lineRule="auto"/>
        <w:rPr>
          <w:rFonts w:ascii="黑体" w:hAnsi="华文中宋" w:eastAsia="黑体" w:cs="宋体"/>
          <w:bCs/>
          <w:color w:val="auto"/>
          <w:spacing w:val="6"/>
          <w:kern w:val="0"/>
          <w:szCs w:val="21"/>
          <w:highlight w:val="none"/>
        </w:rPr>
      </w:pPr>
    </w:p>
    <w:p w14:paraId="48500398">
      <w:pPr>
        <w:adjustRightInd w:val="0"/>
        <w:snapToGrid w:val="0"/>
        <w:spacing w:line="192" w:lineRule="auto"/>
        <w:rPr>
          <w:rFonts w:ascii="黑体" w:hAnsi="华文中宋" w:eastAsia="黑体" w:cs="宋体"/>
          <w:bCs/>
          <w:color w:val="auto"/>
          <w:spacing w:val="6"/>
          <w:kern w:val="0"/>
          <w:sz w:val="10"/>
          <w:szCs w:val="10"/>
          <w:highlight w:val="none"/>
        </w:rPr>
      </w:pPr>
      <w:r>
        <w:rPr>
          <w:rFonts w:ascii="黑体" w:hAnsi="华文中宋" w:eastAsia="黑体" w:cs="宋体"/>
          <w:bCs/>
          <w:color w:val="auto"/>
          <w:spacing w:val="6"/>
          <w:kern w:val="0"/>
          <w:szCs w:val="21"/>
          <w:highlight w:val="none"/>
        </w:rPr>
        <w:br w:type="page"/>
      </w:r>
    </w:p>
    <w:p w14:paraId="1E19FE3F">
      <w:pPr>
        <w:pStyle w:val="7"/>
        <w:rPr>
          <w:rFonts w:ascii="黑体" w:hAnsi="宋体"/>
          <w:b w:val="0"/>
          <w:bCs w:val="0"/>
          <w:color w:val="auto"/>
          <w:sz w:val="21"/>
          <w:szCs w:val="21"/>
          <w:highlight w:val="none"/>
        </w:rPr>
      </w:pPr>
      <w:bookmarkStart w:id="121" w:name="_Toc3258"/>
      <w:r>
        <w:rPr>
          <w:rFonts w:hint="eastAsia" w:ascii="黑体" w:hAnsi="华文中宋" w:cs="宋体"/>
          <w:b w:val="0"/>
          <w:bCs w:val="0"/>
          <w:color w:val="auto"/>
          <w:spacing w:val="6"/>
          <w:kern w:val="0"/>
          <w:sz w:val="21"/>
          <w:szCs w:val="21"/>
          <w:highlight w:val="none"/>
        </w:rPr>
        <w:t>附件</w:t>
      </w:r>
      <w:r>
        <w:rPr>
          <w:rFonts w:hint="eastAsia" w:ascii="黑体" w:hAnsi="华文中宋" w:cs="宋体"/>
          <w:b w:val="0"/>
          <w:bCs w:val="0"/>
          <w:color w:val="auto"/>
          <w:spacing w:val="6"/>
          <w:kern w:val="0"/>
          <w:sz w:val="21"/>
          <w:szCs w:val="21"/>
          <w:highlight w:val="none"/>
          <w:lang w:val="en-US" w:eastAsia="zh-CN"/>
        </w:rPr>
        <w:t>5</w:t>
      </w:r>
      <w:r>
        <w:rPr>
          <w:rFonts w:hint="eastAsia" w:ascii="黑体" w:hAnsi="华文中宋" w:cs="宋体"/>
          <w:b w:val="0"/>
          <w:bCs w:val="0"/>
          <w:color w:val="auto"/>
          <w:spacing w:val="6"/>
          <w:kern w:val="0"/>
          <w:sz w:val="21"/>
          <w:szCs w:val="21"/>
          <w:highlight w:val="none"/>
        </w:rPr>
        <w:t xml:space="preserve">-4 </w:t>
      </w:r>
      <w:r>
        <w:rPr>
          <w:rFonts w:hint="eastAsia" w:ascii="黑体" w:hAnsi="宋体"/>
          <w:b w:val="0"/>
          <w:bCs w:val="0"/>
          <w:color w:val="auto"/>
          <w:sz w:val="21"/>
          <w:szCs w:val="21"/>
          <w:highlight w:val="none"/>
        </w:rPr>
        <w:t>强制采购或者优先采购产品的证明材料</w:t>
      </w:r>
      <w:bookmarkEnd w:id="121"/>
    </w:p>
    <w:p w14:paraId="2C767BDF">
      <w:pPr>
        <w:adjustRightInd w:val="0"/>
        <w:snapToGrid w:val="0"/>
        <w:spacing w:line="360" w:lineRule="auto"/>
        <w:jc w:val="center"/>
        <w:rPr>
          <w:rFonts w:ascii="黑体" w:hAnsi="黑体" w:eastAsia="黑体"/>
          <w:b/>
          <w:color w:val="auto"/>
          <w:sz w:val="28"/>
          <w:szCs w:val="28"/>
          <w:highlight w:val="none"/>
        </w:rPr>
      </w:pPr>
      <w:r>
        <w:rPr>
          <w:rFonts w:hint="eastAsia" w:ascii="黑体" w:hAnsi="黑体" w:eastAsia="黑体"/>
          <w:b/>
          <w:color w:val="auto"/>
          <w:sz w:val="28"/>
          <w:szCs w:val="28"/>
          <w:highlight w:val="none"/>
        </w:rPr>
        <w:t>强制采购或者优先采购产品</w:t>
      </w:r>
      <w:r>
        <w:rPr>
          <w:rFonts w:hint="eastAsia" w:ascii="黑体" w:hAnsi="黑体" w:eastAsia="黑体"/>
          <w:b/>
          <w:bCs/>
          <w:color w:val="auto"/>
          <w:sz w:val="28"/>
          <w:szCs w:val="28"/>
          <w:highlight w:val="none"/>
        </w:rPr>
        <w:t>的</w:t>
      </w:r>
      <w:r>
        <w:rPr>
          <w:rFonts w:hint="eastAsia" w:ascii="黑体" w:hAnsi="黑体" w:eastAsia="黑体"/>
          <w:b/>
          <w:color w:val="auto"/>
          <w:sz w:val="28"/>
          <w:szCs w:val="28"/>
          <w:highlight w:val="none"/>
        </w:rPr>
        <w:t>证明材料</w:t>
      </w:r>
    </w:p>
    <w:p w14:paraId="13018324">
      <w:pPr>
        <w:adjustRightInd w:val="0"/>
        <w:snapToGrid w:val="0"/>
        <w:spacing w:line="360" w:lineRule="auto"/>
        <w:jc w:val="center"/>
        <w:rPr>
          <w:rFonts w:ascii="宋体" w:hAnsi="宋体"/>
          <w:b/>
          <w:color w:val="auto"/>
          <w:spacing w:val="6"/>
          <w:szCs w:val="21"/>
          <w:highlight w:val="none"/>
        </w:rPr>
      </w:pPr>
      <w:r>
        <w:rPr>
          <w:rFonts w:hint="eastAsia" w:ascii="宋体" w:hAnsi="宋体"/>
          <w:b/>
          <w:color w:val="auto"/>
          <w:spacing w:val="6"/>
          <w:szCs w:val="21"/>
          <w:highlight w:val="none"/>
        </w:rPr>
        <w:t>(不属于强制采购或者优先采购产品的无需提供)</w:t>
      </w:r>
    </w:p>
    <w:p w14:paraId="027C26E8">
      <w:pPr>
        <w:adjustRightInd w:val="0"/>
        <w:snapToGrid w:val="0"/>
        <w:spacing w:line="360" w:lineRule="auto"/>
        <w:ind w:firstLine="420" w:firstLineChars="200"/>
        <w:jc w:val="left"/>
        <w:rPr>
          <w:rFonts w:ascii="宋体" w:hAnsi="宋体" w:eastAsia="宋体"/>
          <w:color w:val="auto"/>
          <w:szCs w:val="21"/>
          <w:highlight w:val="none"/>
        </w:rPr>
      </w:pPr>
    </w:p>
    <w:p w14:paraId="34F9BF6E">
      <w:pPr>
        <w:adjustRightInd w:val="0"/>
        <w:snapToGrid w:val="0"/>
        <w:spacing w:line="360" w:lineRule="auto"/>
        <w:ind w:firstLine="420" w:firstLineChars="200"/>
        <w:jc w:val="left"/>
        <w:rPr>
          <w:rFonts w:ascii="宋体" w:hAnsi="宋体" w:eastAsia="宋体"/>
          <w:color w:val="auto"/>
          <w:szCs w:val="21"/>
          <w:highlight w:val="none"/>
        </w:rPr>
      </w:pPr>
      <w:r>
        <w:rPr>
          <w:rFonts w:hint="eastAsia" w:ascii="宋体" w:hAnsi="宋体"/>
          <w:color w:val="auto"/>
          <w:szCs w:val="21"/>
          <w:highlight w:val="none"/>
          <w:lang w:val="en-US" w:eastAsia="zh-CN"/>
        </w:rPr>
        <w:t>注</w:t>
      </w:r>
      <w:r>
        <w:rPr>
          <w:rFonts w:hint="eastAsia" w:ascii="宋体" w:hAnsi="宋体" w:eastAsia="宋体"/>
          <w:color w:val="auto"/>
          <w:szCs w:val="21"/>
          <w:highlight w:val="none"/>
        </w:rPr>
        <w:t>：投标人提供的产品</w:t>
      </w:r>
      <w:r>
        <w:rPr>
          <w:rFonts w:hint="eastAsia" w:ascii="宋体" w:hAnsi="宋体" w:eastAsia="宋体"/>
          <w:bCs/>
          <w:color w:val="auto"/>
          <w:szCs w:val="21"/>
          <w:highlight w:val="none"/>
        </w:rPr>
        <w:t>属于强制采购或者优先采购的</w:t>
      </w:r>
      <w:r>
        <w:rPr>
          <w:rFonts w:hint="eastAsia" w:ascii="宋体" w:hAnsi="宋体" w:eastAsia="宋体"/>
          <w:color w:val="auto"/>
          <w:szCs w:val="21"/>
          <w:highlight w:val="none"/>
        </w:rPr>
        <w:t>，应按第二章第33.6款规定提供证明材料和本章本节附页2“优先采购产品清单”，并加盖投标人单位章。</w:t>
      </w:r>
    </w:p>
    <w:p w14:paraId="62FC6D60">
      <w:pPr>
        <w:adjustRightInd w:val="0"/>
        <w:snapToGrid w:val="0"/>
        <w:spacing w:line="360" w:lineRule="auto"/>
        <w:ind w:firstLine="420" w:firstLineChars="200"/>
        <w:jc w:val="left"/>
        <w:rPr>
          <w:rFonts w:ascii="宋体" w:hAnsi="宋体" w:eastAsia="宋体"/>
          <w:color w:val="auto"/>
          <w:szCs w:val="21"/>
          <w:highlight w:val="none"/>
        </w:rPr>
      </w:pPr>
    </w:p>
    <w:p w14:paraId="03E6C497">
      <w:pPr>
        <w:rPr>
          <w:rFonts w:ascii="宋体" w:hAnsi="宋体" w:eastAsia="黑体" w:cs="宋体"/>
          <w:b/>
          <w:bCs/>
          <w:color w:val="auto"/>
          <w:sz w:val="28"/>
          <w:szCs w:val="28"/>
          <w:highlight w:val="none"/>
        </w:rPr>
      </w:pPr>
      <w:r>
        <w:rPr>
          <w:rFonts w:hint="eastAsia" w:ascii="宋体" w:hAnsi="宋体" w:eastAsia="黑体" w:cs="宋体"/>
          <w:b/>
          <w:bCs/>
          <w:color w:val="auto"/>
          <w:sz w:val="28"/>
          <w:szCs w:val="28"/>
          <w:highlight w:val="none"/>
        </w:rPr>
        <w:br w:type="page"/>
      </w:r>
    </w:p>
    <w:p w14:paraId="1B8CCA2B">
      <w:pPr>
        <w:numPr>
          <w:ilvl w:val="0"/>
          <w:numId w:val="0"/>
        </w:numPr>
        <w:jc w:val="center"/>
        <w:rPr>
          <w:rFonts w:hint="eastAsia" w:ascii="宋体" w:hAnsi="宋体" w:eastAsia="黑体" w:cs="宋体"/>
          <w:b/>
          <w:bCs/>
          <w:color w:val="auto"/>
          <w:sz w:val="28"/>
          <w:szCs w:val="28"/>
          <w:highlight w:val="none"/>
        </w:rPr>
      </w:pPr>
      <w:r>
        <w:rPr>
          <w:rFonts w:hint="eastAsia" w:ascii="宋体" w:hAnsi="宋体" w:eastAsia="黑体" w:cs="宋体"/>
          <w:b/>
          <w:bCs/>
          <w:color w:val="auto"/>
          <w:kern w:val="2"/>
          <w:sz w:val="28"/>
          <w:szCs w:val="28"/>
          <w:highlight w:val="none"/>
          <w:lang w:val="en-US" w:eastAsia="zh-CN" w:bidi="ar-SA"/>
        </w:rPr>
        <w:t>六、</w:t>
      </w:r>
      <w:r>
        <w:rPr>
          <w:rFonts w:hint="eastAsia" w:ascii="宋体" w:hAnsi="宋体" w:eastAsia="黑体" w:cs="宋体"/>
          <w:b/>
          <w:bCs/>
          <w:color w:val="auto"/>
          <w:sz w:val="28"/>
          <w:szCs w:val="28"/>
          <w:highlight w:val="none"/>
        </w:rPr>
        <w:t>人员配备</w:t>
      </w:r>
    </w:p>
    <w:p w14:paraId="01C8FD9C">
      <w:pPr>
        <w:numPr>
          <w:ilvl w:val="0"/>
          <w:numId w:val="0"/>
        </w:numPr>
        <w:jc w:val="center"/>
        <w:rPr>
          <w:rFonts w:ascii="宋体" w:hAnsi="宋体" w:cs="宋体"/>
          <w:color w:val="auto"/>
          <w:highlight w:val="none"/>
        </w:rPr>
      </w:pPr>
      <w:r>
        <w:rPr>
          <w:rFonts w:hint="eastAsia" w:ascii="宋体" w:hAnsi="宋体" w:cs="宋体"/>
          <w:color w:val="auto"/>
          <w:highlight w:val="none"/>
        </w:rPr>
        <w:t>备注：提供本项目招标文件采购需求及评标方法自行编辑。</w:t>
      </w:r>
    </w:p>
    <w:p w14:paraId="2479A66D">
      <w:pPr>
        <w:adjustRightInd w:val="0"/>
        <w:snapToGrid w:val="0"/>
        <w:spacing w:line="360" w:lineRule="auto"/>
        <w:jc w:val="center"/>
        <w:outlineLvl w:val="2"/>
        <w:rPr>
          <w:rFonts w:ascii="宋体" w:hAnsi="宋体" w:eastAsia="黑体" w:cs="宋体"/>
          <w:b/>
          <w:bCs/>
          <w:color w:val="auto"/>
          <w:sz w:val="28"/>
          <w:szCs w:val="28"/>
          <w:highlight w:val="none"/>
        </w:rPr>
      </w:pPr>
    </w:p>
    <w:p w14:paraId="7C47F80F">
      <w:pPr>
        <w:jc w:val="center"/>
        <w:rPr>
          <w:rFonts w:ascii="宋体" w:hAnsi="宋体" w:eastAsia="黑体" w:cs="宋体"/>
          <w:b/>
          <w:bCs/>
          <w:color w:val="auto"/>
          <w:sz w:val="28"/>
          <w:szCs w:val="28"/>
          <w:highlight w:val="none"/>
        </w:rPr>
      </w:pPr>
      <w:r>
        <w:rPr>
          <w:rFonts w:hint="eastAsia" w:ascii="宋体" w:hAnsi="宋体" w:eastAsia="黑体" w:cs="宋体"/>
          <w:b/>
          <w:bCs/>
          <w:color w:val="auto"/>
          <w:sz w:val="28"/>
          <w:szCs w:val="28"/>
          <w:highlight w:val="none"/>
        </w:rPr>
        <w:br w:type="page"/>
      </w:r>
    </w:p>
    <w:p w14:paraId="43A6AACB">
      <w:pPr>
        <w:adjustRightInd w:val="0"/>
        <w:snapToGrid w:val="0"/>
        <w:spacing w:line="360" w:lineRule="auto"/>
        <w:jc w:val="center"/>
        <w:outlineLvl w:val="2"/>
        <w:rPr>
          <w:rFonts w:hint="eastAsia" w:ascii="宋体" w:hAnsi="宋体" w:eastAsia="黑体" w:cs="宋体"/>
          <w:b/>
          <w:bCs/>
          <w:color w:val="auto"/>
          <w:sz w:val="28"/>
          <w:szCs w:val="28"/>
          <w:highlight w:val="none"/>
          <w:lang w:eastAsia="zh-CN"/>
        </w:rPr>
      </w:pPr>
      <w:r>
        <w:rPr>
          <w:rFonts w:hint="eastAsia" w:ascii="宋体" w:hAnsi="宋体" w:eastAsia="黑体" w:cs="宋体"/>
          <w:b/>
          <w:bCs/>
          <w:color w:val="auto"/>
          <w:sz w:val="28"/>
          <w:szCs w:val="28"/>
          <w:highlight w:val="none"/>
          <w:lang w:eastAsia="zh-CN"/>
        </w:rPr>
        <w:t>七、企业认证</w:t>
      </w:r>
    </w:p>
    <w:p w14:paraId="1CACE2AF">
      <w:pPr>
        <w:jc w:val="center"/>
        <w:rPr>
          <w:rFonts w:ascii="宋体" w:hAnsi="宋体" w:cs="宋体"/>
          <w:color w:val="auto"/>
          <w:highlight w:val="none"/>
        </w:rPr>
      </w:pPr>
      <w:r>
        <w:rPr>
          <w:rFonts w:hint="eastAsia" w:ascii="宋体" w:hAnsi="宋体" w:cs="宋体"/>
          <w:color w:val="auto"/>
          <w:highlight w:val="none"/>
        </w:rPr>
        <w:t>备注：提供本项目招标文件采购需求及评标方法自行编辑。</w:t>
      </w:r>
    </w:p>
    <w:p w14:paraId="6CC79ABF">
      <w:pPr>
        <w:adjustRightInd w:val="0"/>
        <w:snapToGrid w:val="0"/>
        <w:spacing w:line="360" w:lineRule="auto"/>
        <w:jc w:val="center"/>
        <w:outlineLvl w:val="2"/>
        <w:rPr>
          <w:rFonts w:hint="eastAsia" w:ascii="宋体" w:hAnsi="宋体" w:eastAsia="黑体" w:cs="宋体"/>
          <w:b/>
          <w:bCs/>
          <w:color w:val="auto"/>
          <w:sz w:val="28"/>
          <w:szCs w:val="28"/>
          <w:highlight w:val="none"/>
          <w:lang w:eastAsia="zh-CN"/>
        </w:rPr>
      </w:pPr>
    </w:p>
    <w:p w14:paraId="2119C100">
      <w:pPr>
        <w:adjustRightInd w:val="0"/>
        <w:snapToGrid w:val="0"/>
        <w:spacing w:line="360" w:lineRule="auto"/>
        <w:jc w:val="center"/>
        <w:outlineLvl w:val="2"/>
        <w:rPr>
          <w:rFonts w:hint="eastAsia" w:ascii="宋体" w:hAnsi="宋体" w:eastAsia="黑体" w:cs="宋体"/>
          <w:b/>
          <w:bCs/>
          <w:color w:val="auto"/>
          <w:sz w:val="28"/>
          <w:szCs w:val="28"/>
          <w:highlight w:val="none"/>
          <w:lang w:eastAsia="zh-CN"/>
        </w:rPr>
      </w:pPr>
    </w:p>
    <w:p w14:paraId="2A6BD846">
      <w:pPr>
        <w:adjustRightInd w:val="0"/>
        <w:snapToGrid w:val="0"/>
        <w:spacing w:line="360" w:lineRule="auto"/>
        <w:jc w:val="center"/>
        <w:outlineLvl w:val="2"/>
        <w:rPr>
          <w:rFonts w:hint="eastAsia" w:ascii="宋体" w:hAnsi="宋体" w:eastAsia="黑体" w:cs="宋体"/>
          <w:b/>
          <w:bCs/>
          <w:color w:val="auto"/>
          <w:sz w:val="28"/>
          <w:szCs w:val="28"/>
          <w:highlight w:val="none"/>
          <w:lang w:eastAsia="zh-CN"/>
        </w:rPr>
      </w:pPr>
    </w:p>
    <w:p w14:paraId="194D166F">
      <w:pPr>
        <w:adjustRightInd w:val="0"/>
        <w:snapToGrid w:val="0"/>
        <w:spacing w:line="360" w:lineRule="auto"/>
        <w:jc w:val="center"/>
        <w:outlineLvl w:val="2"/>
        <w:rPr>
          <w:rFonts w:hint="eastAsia" w:ascii="宋体" w:hAnsi="宋体" w:eastAsia="黑体" w:cs="宋体"/>
          <w:b/>
          <w:bCs/>
          <w:color w:val="auto"/>
          <w:sz w:val="28"/>
          <w:szCs w:val="28"/>
          <w:highlight w:val="none"/>
          <w:lang w:eastAsia="zh-CN"/>
        </w:rPr>
      </w:pPr>
    </w:p>
    <w:p w14:paraId="6ED24A39">
      <w:pPr>
        <w:adjustRightInd w:val="0"/>
        <w:snapToGrid w:val="0"/>
        <w:spacing w:line="360" w:lineRule="auto"/>
        <w:jc w:val="center"/>
        <w:outlineLvl w:val="2"/>
        <w:rPr>
          <w:rFonts w:hint="eastAsia" w:ascii="宋体" w:hAnsi="宋体" w:eastAsia="黑体" w:cs="宋体"/>
          <w:b/>
          <w:bCs/>
          <w:color w:val="auto"/>
          <w:sz w:val="28"/>
          <w:szCs w:val="28"/>
          <w:highlight w:val="none"/>
          <w:lang w:eastAsia="zh-CN"/>
        </w:rPr>
      </w:pPr>
    </w:p>
    <w:p w14:paraId="512C1E90">
      <w:pPr>
        <w:adjustRightInd w:val="0"/>
        <w:snapToGrid w:val="0"/>
        <w:spacing w:line="360" w:lineRule="auto"/>
        <w:jc w:val="center"/>
        <w:outlineLvl w:val="2"/>
        <w:rPr>
          <w:rFonts w:hint="eastAsia" w:ascii="宋体" w:hAnsi="宋体" w:eastAsia="黑体" w:cs="宋体"/>
          <w:b/>
          <w:bCs/>
          <w:color w:val="auto"/>
          <w:sz w:val="28"/>
          <w:szCs w:val="28"/>
          <w:highlight w:val="none"/>
          <w:lang w:eastAsia="zh-CN"/>
        </w:rPr>
      </w:pPr>
    </w:p>
    <w:p w14:paraId="3D952F90">
      <w:pPr>
        <w:adjustRightInd w:val="0"/>
        <w:snapToGrid w:val="0"/>
        <w:spacing w:line="360" w:lineRule="auto"/>
        <w:jc w:val="center"/>
        <w:outlineLvl w:val="2"/>
        <w:rPr>
          <w:rFonts w:hint="eastAsia" w:ascii="宋体" w:hAnsi="宋体" w:eastAsia="黑体" w:cs="宋体"/>
          <w:b/>
          <w:bCs/>
          <w:color w:val="auto"/>
          <w:sz w:val="28"/>
          <w:szCs w:val="28"/>
          <w:highlight w:val="none"/>
          <w:lang w:val="en-US" w:eastAsia="zh-CN"/>
        </w:rPr>
      </w:pPr>
      <w:r>
        <w:rPr>
          <w:rFonts w:hint="eastAsia" w:ascii="宋体" w:hAnsi="宋体" w:eastAsia="黑体" w:cs="宋体"/>
          <w:b/>
          <w:bCs/>
          <w:color w:val="auto"/>
          <w:sz w:val="28"/>
          <w:szCs w:val="28"/>
          <w:highlight w:val="none"/>
          <w:lang w:eastAsia="zh-CN"/>
        </w:rPr>
        <w:t>八、</w:t>
      </w:r>
      <w:r>
        <w:rPr>
          <w:rFonts w:hint="eastAsia" w:ascii="宋体" w:hAnsi="宋体" w:eastAsia="黑体" w:cs="宋体"/>
          <w:b/>
          <w:bCs/>
          <w:color w:val="auto"/>
          <w:sz w:val="28"/>
          <w:szCs w:val="28"/>
          <w:highlight w:val="none"/>
          <w:lang w:val="en-US" w:eastAsia="zh-CN"/>
        </w:rPr>
        <w:t>服务响应</w:t>
      </w:r>
    </w:p>
    <w:p w14:paraId="519545D2">
      <w:pPr>
        <w:jc w:val="center"/>
        <w:rPr>
          <w:rFonts w:ascii="宋体" w:hAnsi="宋体" w:cs="宋体"/>
          <w:color w:val="auto"/>
          <w:highlight w:val="none"/>
        </w:rPr>
      </w:pPr>
      <w:r>
        <w:rPr>
          <w:rFonts w:hint="eastAsia" w:ascii="宋体" w:hAnsi="宋体" w:cs="宋体"/>
          <w:color w:val="auto"/>
          <w:highlight w:val="none"/>
        </w:rPr>
        <w:t>备注：提供本项目招标文件采购需求及评标方法自行编辑。</w:t>
      </w:r>
    </w:p>
    <w:p w14:paraId="05E9FE42">
      <w:pPr>
        <w:adjustRightInd w:val="0"/>
        <w:snapToGrid w:val="0"/>
        <w:spacing w:line="360" w:lineRule="auto"/>
        <w:jc w:val="both"/>
        <w:outlineLvl w:val="2"/>
        <w:rPr>
          <w:rFonts w:hint="eastAsia" w:ascii="宋体" w:hAnsi="宋体" w:eastAsia="黑体" w:cs="宋体"/>
          <w:b/>
          <w:bCs/>
          <w:color w:val="auto"/>
          <w:sz w:val="28"/>
          <w:szCs w:val="28"/>
          <w:highlight w:val="none"/>
          <w:lang w:eastAsia="zh-CN"/>
        </w:rPr>
      </w:pPr>
    </w:p>
    <w:p w14:paraId="5E39ECF1">
      <w:pPr>
        <w:adjustRightInd w:val="0"/>
        <w:snapToGrid w:val="0"/>
        <w:spacing w:line="360" w:lineRule="auto"/>
        <w:jc w:val="center"/>
        <w:outlineLvl w:val="2"/>
        <w:rPr>
          <w:rFonts w:hint="eastAsia" w:ascii="宋体" w:hAnsi="宋体" w:eastAsia="黑体" w:cs="宋体"/>
          <w:b/>
          <w:bCs/>
          <w:color w:val="auto"/>
          <w:sz w:val="28"/>
          <w:szCs w:val="28"/>
          <w:highlight w:val="none"/>
          <w:lang w:eastAsia="zh-CN"/>
        </w:rPr>
      </w:pPr>
    </w:p>
    <w:p w14:paraId="6F33D9F0">
      <w:pPr>
        <w:adjustRightInd w:val="0"/>
        <w:snapToGrid w:val="0"/>
        <w:spacing w:line="360" w:lineRule="auto"/>
        <w:jc w:val="center"/>
        <w:outlineLvl w:val="2"/>
        <w:rPr>
          <w:rFonts w:hint="eastAsia" w:ascii="宋体" w:hAnsi="宋体" w:eastAsia="黑体" w:cs="宋体"/>
          <w:b/>
          <w:bCs/>
          <w:color w:val="auto"/>
          <w:sz w:val="28"/>
          <w:szCs w:val="28"/>
          <w:highlight w:val="none"/>
          <w:lang w:eastAsia="zh-CN"/>
        </w:rPr>
      </w:pPr>
    </w:p>
    <w:p w14:paraId="796B3026">
      <w:pPr>
        <w:adjustRightInd w:val="0"/>
        <w:snapToGrid w:val="0"/>
        <w:spacing w:line="360" w:lineRule="auto"/>
        <w:jc w:val="center"/>
        <w:outlineLvl w:val="2"/>
        <w:rPr>
          <w:rFonts w:hint="eastAsia" w:ascii="宋体" w:hAnsi="宋体" w:eastAsia="黑体" w:cs="宋体"/>
          <w:b/>
          <w:bCs/>
          <w:color w:val="auto"/>
          <w:sz w:val="28"/>
          <w:szCs w:val="28"/>
          <w:highlight w:val="none"/>
          <w:lang w:eastAsia="zh-CN"/>
        </w:rPr>
      </w:pPr>
    </w:p>
    <w:p w14:paraId="57847ECB">
      <w:pPr>
        <w:adjustRightInd w:val="0"/>
        <w:snapToGrid w:val="0"/>
        <w:spacing w:line="360" w:lineRule="auto"/>
        <w:jc w:val="center"/>
        <w:outlineLvl w:val="2"/>
        <w:rPr>
          <w:rFonts w:hint="eastAsia" w:ascii="宋体" w:hAnsi="宋体" w:eastAsia="黑体" w:cs="宋体"/>
          <w:b/>
          <w:bCs/>
          <w:color w:val="auto"/>
          <w:sz w:val="28"/>
          <w:szCs w:val="28"/>
          <w:highlight w:val="none"/>
          <w:lang w:eastAsia="zh-CN"/>
        </w:rPr>
      </w:pPr>
    </w:p>
    <w:p w14:paraId="0E049EC8">
      <w:pPr>
        <w:adjustRightInd w:val="0"/>
        <w:snapToGrid w:val="0"/>
        <w:spacing w:line="360" w:lineRule="auto"/>
        <w:jc w:val="center"/>
        <w:outlineLvl w:val="2"/>
        <w:rPr>
          <w:rFonts w:hint="eastAsia" w:ascii="宋体" w:hAnsi="宋体" w:eastAsia="黑体" w:cs="宋体"/>
          <w:b/>
          <w:bCs/>
          <w:color w:val="auto"/>
          <w:sz w:val="28"/>
          <w:szCs w:val="28"/>
          <w:highlight w:val="none"/>
          <w:lang w:eastAsia="zh-CN"/>
        </w:rPr>
      </w:pPr>
    </w:p>
    <w:p w14:paraId="7D73A960">
      <w:pPr>
        <w:adjustRightInd w:val="0"/>
        <w:snapToGrid w:val="0"/>
        <w:spacing w:line="360" w:lineRule="auto"/>
        <w:jc w:val="center"/>
        <w:outlineLvl w:val="2"/>
        <w:rPr>
          <w:rFonts w:hint="eastAsia" w:ascii="宋体" w:hAnsi="宋体" w:eastAsia="黑体" w:cs="宋体"/>
          <w:b/>
          <w:bCs/>
          <w:color w:val="auto"/>
          <w:sz w:val="28"/>
          <w:szCs w:val="28"/>
          <w:highlight w:val="none"/>
          <w:lang w:eastAsia="zh-CN"/>
        </w:rPr>
      </w:pPr>
    </w:p>
    <w:p w14:paraId="7CDB9AC4">
      <w:pPr>
        <w:adjustRightInd w:val="0"/>
        <w:snapToGrid w:val="0"/>
        <w:spacing w:line="360" w:lineRule="auto"/>
        <w:jc w:val="center"/>
        <w:outlineLvl w:val="2"/>
        <w:rPr>
          <w:rFonts w:hint="eastAsia" w:ascii="宋体" w:hAnsi="宋体" w:eastAsia="黑体" w:cs="宋体"/>
          <w:b/>
          <w:bCs/>
          <w:color w:val="auto"/>
          <w:sz w:val="28"/>
          <w:szCs w:val="28"/>
          <w:highlight w:val="none"/>
          <w:lang w:eastAsia="zh-CN"/>
        </w:rPr>
      </w:pPr>
    </w:p>
    <w:p w14:paraId="518EB31E">
      <w:pPr>
        <w:adjustRightInd w:val="0"/>
        <w:snapToGrid w:val="0"/>
        <w:spacing w:line="360" w:lineRule="auto"/>
        <w:jc w:val="center"/>
        <w:outlineLvl w:val="2"/>
        <w:rPr>
          <w:rFonts w:ascii="宋体" w:hAnsi="宋体" w:cs="宋体"/>
          <w:color w:val="auto"/>
          <w:sz w:val="28"/>
          <w:szCs w:val="28"/>
          <w:highlight w:val="none"/>
        </w:rPr>
      </w:pPr>
      <w:r>
        <w:rPr>
          <w:rFonts w:hint="eastAsia" w:ascii="宋体" w:hAnsi="宋体" w:eastAsia="黑体" w:cs="宋体"/>
          <w:b/>
          <w:bCs/>
          <w:color w:val="auto"/>
          <w:sz w:val="28"/>
          <w:szCs w:val="28"/>
          <w:highlight w:val="none"/>
          <w:lang w:eastAsia="zh-CN"/>
        </w:rPr>
        <w:t>九</w:t>
      </w:r>
      <w:r>
        <w:rPr>
          <w:rFonts w:hint="eastAsia" w:ascii="宋体" w:hAnsi="宋体" w:eastAsia="黑体" w:cs="宋体"/>
          <w:b/>
          <w:bCs/>
          <w:color w:val="auto"/>
          <w:sz w:val="28"/>
          <w:szCs w:val="28"/>
          <w:highlight w:val="none"/>
        </w:rPr>
        <w:t>、类似业绩</w:t>
      </w:r>
    </w:p>
    <w:p w14:paraId="3F728271">
      <w:pPr>
        <w:jc w:val="center"/>
        <w:rPr>
          <w:rFonts w:ascii="宋体" w:hAnsi="宋体" w:cs="宋体"/>
          <w:color w:val="auto"/>
          <w:highlight w:val="none"/>
        </w:rPr>
      </w:pPr>
      <w:r>
        <w:rPr>
          <w:rFonts w:hint="eastAsia" w:ascii="宋体" w:hAnsi="宋体" w:cs="宋体"/>
          <w:color w:val="auto"/>
          <w:highlight w:val="none"/>
        </w:rPr>
        <w:t>备注：提供本项目招标文件采购需求及评标方法自行编辑。</w:t>
      </w:r>
    </w:p>
    <w:p w14:paraId="1CC121E2">
      <w:pPr>
        <w:adjustRightInd w:val="0"/>
        <w:snapToGrid w:val="0"/>
        <w:spacing w:beforeLines="50" w:line="360" w:lineRule="auto"/>
        <w:rPr>
          <w:rFonts w:ascii="宋体" w:hAnsi="宋体" w:cs="宋体"/>
          <w:color w:val="auto"/>
          <w:highlight w:val="none"/>
        </w:rPr>
      </w:pPr>
    </w:p>
    <w:p w14:paraId="110D255E">
      <w:pPr>
        <w:rPr>
          <w:rFonts w:ascii="宋体" w:hAnsi="宋体" w:cs="宋体"/>
          <w:color w:val="auto"/>
          <w:szCs w:val="21"/>
          <w:highlight w:val="none"/>
        </w:rPr>
      </w:pPr>
    </w:p>
    <w:p w14:paraId="6FBD1CD3">
      <w:pPr>
        <w:rPr>
          <w:rFonts w:ascii="宋体" w:hAnsi="宋体" w:cs="宋体"/>
          <w:color w:val="auto"/>
          <w:sz w:val="28"/>
          <w:szCs w:val="28"/>
          <w:highlight w:val="none"/>
        </w:rPr>
      </w:pPr>
    </w:p>
    <w:p w14:paraId="13320052">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232F767C">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eastAsia="zh-CN"/>
        </w:rPr>
        <w:t>十</w:t>
      </w:r>
      <w:r>
        <w:rPr>
          <w:rFonts w:hint="eastAsia" w:ascii="宋体" w:hAnsi="宋体" w:cs="宋体"/>
          <w:b/>
          <w:bCs/>
          <w:color w:val="auto"/>
          <w:sz w:val="28"/>
          <w:szCs w:val="28"/>
          <w:highlight w:val="none"/>
        </w:rPr>
        <w:t>、投标人认为需要提供的其他资料</w:t>
      </w:r>
    </w:p>
    <w:p w14:paraId="1AE14E97">
      <w:pPr>
        <w:jc w:val="center"/>
        <w:rPr>
          <w:rFonts w:hint="eastAsia" w:ascii="宋体" w:hAnsi="宋体" w:cs="宋体"/>
          <w:b/>
          <w:bCs/>
          <w:color w:val="auto"/>
          <w:sz w:val="28"/>
          <w:szCs w:val="28"/>
          <w:highlight w:val="none"/>
        </w:rPr>
      </w:pPr>
    </w:p>
    <w:p w14:paraId="4A6F1819">
      <w:pPr>
        <w:adjustRightInd w:val="0"/>
        <w:snapToGrid w:val="0"/>
        <w:spacing w:line="360" w:lineRule="auto"/>
        <w:ind w:firstLine="422" w:firstLineChars="200"/>
        <w:jc w:val="left"/>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注：投标人根据招标文件的规定和采购项目的实际情况，拟在中标后将电梯维保、中央空调维保服务工作进行分包的，应当在投标文件中载明分包承担主体，并提供分包承担主体营业执照复印件，其中电梯维保还应提供分包承担主体《中华人民共和国特种设备生产许可证》（许可项目为电梯安装（含修理））复印件；投标人不进行分包的，投标时须提供本单位的《中华人民共和国特种设备生产许可证》（许可项目为电梯安装（含修理））复印件；投标人未按上述要求提供证明材料的，视为无效投标。</w:t>
      </w:r>
    </w:p>
    <w:p w14:paraId="67F79C1C">
      <w:pPr>
        <w:adjustRightInd w:val="0"/>
        <w:snapToGrid w:val="0"/>
        <w:spacing w:line="360" w:lineRule="auto"/>
        <w:ind w:firstLine="422" w:firstLineChars="200"/>
        <w:jc w:val="left"/>
        <w:rPr>
          <w:rFonts w:hint="eastAsia" w:ascii="宋体" w:hAnsi="宋体" w:eastAsia="宋体" w:cs="Times New Roman"/>
          <w:b/>
          <w:bCs/>
          <w:color w:val="auto"/>
          <w:szCs w:val="21"/>
          <w:highlight w:val="none"/>
          <w:lang w:val="en-US" w:eastAsia="zh-CN"/>
        </w:rPr>
      </w:pPr>
      <w:r>
        <w:rPr>
          <w:rFonts w:hint="eastAsia" w:ascii="宋体" w:hAnsi="宋体" w:cs="Times New Roman"/>
          <w:b/>
          <w:bCs/>
          <w:color w:val="auto"/>
          <w:szCs w:val="21"/>
          <w:highlight w:val="none"/>
          <w:lang w:val="en-US" w:eastAsia="zh-CN"/>
        </w:rPr>
        <w:t>采购需求</w:t>
      </w:r>
      <w:r>
        <w:rPr>
          <w:rFonts w:hint="eastAsia" w:ascii="宋体" w:hAnsi="宋体" w:eastAsia="宋体" w:cs="Times New Roman"/>
          <w:b/>
          <w:bCs/>
          <w:color w:val="auto"/>
          <w:szCs w:val="21"/>
          <w:highlight w:val="none"/>
          <w:lang w:val="en-US" w:eastAsia="zh-CN"/>
        </w:rPr>
        <w:t>带“★”号条款为实质性条款，不得出现任何偏离，否则投标无效；对于上述项目要求，投标人应在投标文件中进行回应，并作出承诺及说明。</w:t>
      </w:r>
    </w:p>
    <w:p w14:paraId="517E6ECB">
      <w:pPr>
        <w:adjustRightInd w:val="0"/>
        <w:snapToGrid w:val="0"/>
        <w:spacing w:line="360" w:lineRule="auto"/>
        <w:ind w:firstLine="422" w:firstLineChars="200"/>
        <w:jc w:val="left"/>
        <w:rPr>
          <w:rFonts w:hint="eastAsia" w:ascii="宋体" w:hAnsi="宋体" w:eastAsia="宋体" w:cs="Times New Roman"/>
          <w:b/>
          <w:bCs/>
          <w:color w:val="auto"/>
          <w:szCs w:val="21"/>
          <w:highlight w:val="none"/>
          <w:lang w:val="en-US" w:eastAsia="zh-CN"/>
        </w:rPr>
      </w:pPr>
    </w:p>
    <w:p w14:paraId="7CA84A9A">
      <w:pPr>
        <w:rPr>
          <w:rFonts w:hint="eastAsia" w:hAnsi="宋体" w:cs="宋体"/>
          <w:bCs/>
          <w:color w:val="auto"/>
          <w:sz w:val="72"/>
          <w:szCs w:val="72"/>
          <w:highlight w:val="none"/>
        </w:rPr>
      </w:pPr>
      <w:r>
        <w:rPr>
          <w:rFonts w:hint="eastAsia" w:hAnsi="宋体" w:cs="宋体"/>
          <w:bCs/>
          <w:color w:val="auto"/>
          <w:sz w:val="72"/>
          <w:szCs w:val="72"/>
          <w:highlight w:val="none"/>
        </w:rPr>
        <w:br w:type="page"/>
      </w:r>
    </w:p>
    <w:p w14:paraId="1657E755">
      <w:pPr>
        <w:pStyle w:val="26"/>
        <w:adjustRightInd w:val="0"/>
        <w:snapToGrid w:val="0"/>
        <w:spacing w:line="360" w:lineRule="auto"/>
        <w:jc w:val="center"/>
        <w:rPr>
          <w:rFonts w:hint="eastAsia" w:hAnsi="宋体" w:cs="宋体"/>
          <w:bCs/>
          <w:color w:val="auto"/>
          <w:sz w:val="72"/>
          <w:szCs w:val="72"/>
          <w:highlight w:val="none"/>
        </w:rPr>
      </w:pPr>
    </w:p>
    <w:p w14:paraId="0AF0FEB9">
      <w:pPr>
        <w:pStyle w:val="26"/>
        <w:adjustRightInd w:val="0"/>
        <w:snapToGrid w:val="0"/>
        <w:spacing w:line="360" w:lineRule="auto"/>
        <w:jc w:val="center"/>
        <w:rPr>
          <w:rFonts w:hAnsi="宋体" w:cs="宋体"/>
          <w:bCs/>
          <w:color w:val="auto"/>
          <w:sz w:val="72"/>
          <w:szCs w:val="72"/>
          <w:highlight w:val="none"/>
        </w:rPr>
      </w:pPr>
      <w:r>
        <w:rPr>
          <w:rFonts w:hint="eastAsia" w:hAnsi="宋体" w:cs="宋体"/>
          <w:bCs/>
          <w:color w:val="auto"/>
          <w:sz w:val="72"/>
          <w:szCs w:val="72"/>
          <w:highlight w:val="none"/>
        </w:rPr>
        <w:t>政府采购</w:t>
      </w:r>
    </w:p>
    <w:p w14:paraId="10D1486C">
      <w:pPr>
        <w:adjustRightInd w:val="0"/>
        <w:snapToGrid w:val="0"/>
        <w:spacing w:line="360" w:lineRule="auto"/>
        <w:jc w:val="center"/>
        <w:rPr>
          <w:rFonts w:ascii="宋体" w:hAnsi="宋体" w:cs="宋体"/>
          <w:b/>
          <w:bCs/>
          <w:color w:val="auto"/>
          <w:sz w:val="84"/>
          <w:szCs w:val="84"/>
          <w:highlight w:val="none"/>
        </w:rPr>
      </w:pPr>
      <w:r>
        <w:rPr>
          <w:rFonts w:hint="eastAsia" w:ascii="宋体" w:hAnsi="宋体" w:cs="宋体"/>
          <w:b/>
          <w:bCs/>
          <w:color w:val="auto"/>
          <w:sz w:val="84"/>
          <w:szCs w:val="84"/>
          <w:highlight w:val="none"/>
        </w:rPr>
        <w:t>投 标 文 件</w:t>
      </w:r>
    </w:p>
    <w:p w14:paraId="08378007">
      <w:pPr>
        <w:pStyle w:val="5"/>
        <w:adjustRightInd w:val="0"/>
        <w:snapToGrid w:val="0"/>
        <w:jc w:val="center"/>
        <w:rPr>
          <w:rFonts w:ascii="宋体" w:hAnsi="宋体" w:cs="宋体"/>
          <w:color w:val="auto"/>
          <w:sz w:val="44"/>
          <w:szCs w:val="44"/>
          <w:highlight w:val="none"/>
        </w:rPr>
      </w:pPr>
      <w:bookmarkStart w:id="122" w:name="_Toc22760"/>
      <w:r>
        <w:rPr>
          <w:rFonts w:hint="eastAsia" w:ascii="宋体" w:hAnsi="宋体" w:cs="宋体"/>
          <w:color w:val="auto"/>
          <w:sz w:val="44"/>
          <w:szCs w:val="44"/>
          <w:highlight w:val="none"/>
        </w:rPr>
        <w:t>第三部分 技术文件</w:t>
      </w:r>
      <w:bookmarkEnd w:id="122"/>
    </w:p>
    <w:p w14:paraId="7D8C6C5A">
      <w:pPr>
        <w:adjustRightInd w:val="0"/>
        <w:snapToGrid w:val="0"/>
        <w:spacing w:line="360" w:lineRule="auto"/>
        <w:rPr>
          <w:rFonts w:ascii="宋体" w:hAnsi="宋体" w:cs="宋体"/>
          <w:color w:val="auto"/>
          <w:sz w:val="32"/>
          <w:szCs w:val="32"/>
          <w:highlight w:val="none"/>
        </w:rPr>
      </w:pPr>
    </w:p>
    <w:p w14:paraId="45AD4B3A">
      <w:pPr>
        <w:pStyle w:val="26"/>
        <w:adjustRightInd w:val="0"/>
        <w:snapToGrid w:val="0"/>
        <w:spacing w:line="360" w:lineRule="auto"/>
        <w:ind w:firstLine="1988" w:firstLineChars="660"/>
        <w:rPr>
          <w:rFonts w:hAnsi="宋体" w:cs="宋体"/>
          <w:b/>
          <w:bCs/>
          <w:color w:val="auto"/>
          <w:sz w:val="30"/>
          <w:szCs w:val="30"/>
          <w:highlight w:val="none"/>
        </w:rPr>
      </w:pPr>
    </w:p>
    <w:p w14:paraId="57A1F37D">
      <w:pPr>
        <w:ind w:firstLine="1124"/>
        <w:rPr>
          <w:color w:val="auto"/>
          <w:highlight w:val="none"/>
        </w:rPr>
      </w:pPr>
      <w:r>
        <w:rPr>
          <w:rFonts w:ascii="宋体" w:hAnsi="宋体" w:cs="宋体"/>
          <w:b/>
          <w:bCs/>
          <w:color w:val="auto"/>
          <w:sz w:val="32"/>
          <w:szCs w:val="32"/>
          <w:highlight w:val="none"/>
        </w:rPr>
        <w:t>采购项目名称：____________________</w:t>
      </w:r>
      <w:r>
        <w:rPr>
          <w:rFonts w:ascii="宋体" w:hAnsi="宋体" w:cs="宋体"/>
          <w:color w:val="auto"/>
          <w:szCs w:val="21"/>
          <w:highlight w:val="none"/>
        </w:rPr>
        <w:t xml:space="preserve"> </w:t>
      </w:r>
    </w:p>
    <w:p w14:paraId="5808665B">
      <w:pPr>
        <w:ind w:firstLine="1124"/>
        <w:rPr>
          <w:color w:val="auto"/>
          <w:highlight w:val="none"/>
        </w:rPr>
      </w:pPr>
      <w:r>
        <w:rPr>
          <w:rFonts w:ascii="宋体" w:hAnsi="宋体" w:cs="宋体"/>
          <w:b/>
          <w:bCs/>
          <w:color w:val="auto"/>
          <w:sz w:val="32"/>
          <w:szCs w:val="32"/>
          <w:highlight w:val="none"/>
        </w:rPr>
        <w:t>政府采购编号：____________________</w:t>
      </w:r>
      <w:r>
        <w:rPr>
          <w:rFonts w:ascii="宋体" w:hAnsi="宋体" w:cs="宋体"/>
          <w:color w:val="auto"/>
          <w:szCs w:val="21"/>
          <w:highlight w:val="none"/>
        </w:rPr>
        <w:t xml:space="preserve"> </w:t>
      </w:r>
    </w:p>
    <w:p w14:paraId="0E1CA58F">
      <w:pPr>
        <w:ind w:firstLine="1124"/>
        <w:rPr>
          <w:color w:val="auto"/>
          <w:highlight w:val="none"/>
        </w:rPr>
      </w:pPr>
      <w:r>
        <w:rPr>
          <w:rFonts w:hint="eastAsia" w:ascii="宋体" w:hAnsi="宋体" w:cs="宋体"/>
          <w:b/>
          <w:bCs/>
          <w:color w:val="auto"/>
          <w:sz w:val="32"/>
          <w:szCs w:val="32"/>
          <w:highlight w:val="none"/>
          <w:lang w:eastAsia="zh-CN"/>
        </w:rPr>
        <w:t>采购代理编号</w:t>
      </w:r>
      <w:r>
        <w:rPr>
          <w:rFonts w:ascii="宋体" w:hAnsi="宋体" w:cs="宋体"/>
          <w:b/>
          <w:bCs/>
          <w:color w:val="auto"/>
          <w:sz w:val="32"/>
          <w:szCs w:val="32"/>
          <w:highlight w:val="none"/>
        </w:rPr>
        <w:t>：</w:t>
      </w:r>
      <w:r>
        <w:rPr>
          <w:b/>
          <w:bCs/>
          <w:color w:val="auto"/>
          <w:sz w:val="32"/>
          <w:szCs w:val="32"/>
          <w:highlight w:val="none"/>
        </w:rPr>
        <w:t>____________________</w:t>
      </w:r>
      <w:r>
        <w:rPr>
          <w:color w:val="auto"/>
          <w:szCs w:val="21"/>
          <w:highlight w:val="none"/>
        </w:rPr>
        <w:t xml:space="preserve"> </w:t>
      </w:r>
    </w:p>
    <w:p w14:paraId="669A07B2">
      <w:pPr>
        <w:adjustRightInd w:val="0"/>
        <w:snapToGrid w:val="0"/>
        <w:spacing w:line="360" w:lineRule="auto"/>
        <w:rPr>
          <w:rFonts w:ascii="宋体" w:hAnsi="宋体" w:cs="宋体"/>
          <w:color w:val="auto"/>
          <w:sz w:val="30"/>
          <w:szCs w:val="30"/>
          <w:highlight w:val="none"/>
        </w:rPr>
      </w:pPr>
    </w:p>
    <w:p w14:paraId="1C0D0C9D">
      <w:pPr>
        <w:adjustRightInd w:val="0"/>
        <w:snapToGrid w:val="0"/>
        <w:spacing w:line="360" w:lineRule="auto"/>
        <w:rPr>
          <w:rFonts w:ascii="宋体" w:hAnsi="宋体" w:cs="宋体"/>
          <w:color w:val="auto"/>
          <w:sz w:val="30"/>
          <w:szCs w:val="30"/>
          <w:highlight w:val="none"/>
        </w:rPr>
      </w:pPr>
    </w:p>
    <w:p w14:paraId="579B70A7">
      <w:pPr>
        <w:adjustRightInd w:val="0"/>
        <w:snapToGrid w:val="0"/>
        <w:spacing w:line="360" w:lineRule="auto"/>
        <w:rPr>
          <w:rFonts w:ascii="宋体" w:hAnsi="宋体" w:cs="宋体"/>
          <w:color w:val="auto"/>
          <w:sz w:val="30"/>
          <w:szCs w:val="30"/>
          <w:highlight w:val="none"/>
        </w:rPr>
      </w:pPr>
    </w:p>
    <w:p w14:paraId="495C6851">
      <w:pPr>
        <w:adjustRightInd w:val="0"/>
        <w:snapToGrid w:val="0"/>
        <w:spacing w:line="360" w:lineRule="auto"/>
        <w:rPr>
          <w:rFonts w:ascii="宋体" w:hAnsi="宋体" w:cs="宋体"/>
          <w:color w:val="auto"/>
          <w:sz w:val="30"/>
          <w:szCs w:val="30"/>
          <w:highlight w:val="none"/>
        </w:rPr>
      </w:pPr>
    </w:p>
    <w:p w14:paraId="039A0C70">
      <w:pPr>
        <w:adjustRightInd w:val="0"/>
        <w:snapToGrid w:val="0"/>
        <w:spacing w:line="360" w:lineRule="auto"/>
        <w:ind w:left="1273" w:leftChars="606" w:firstLine="2"/>
        <w:rPr>
          <w:rFonts w:ascii="宋体" w:hAnsi="宋体" w:cs="宋体"/>
          <w:color w:val="auto"/>
          <w:sz w:val="32"/>
          <w:szCs w:val="32"/>
          <w:highlight w:val="none"/>
          <w:u w:val="single"/>
        </w:rPr>
      </w:pPr>
      <w:r>
        <w:rPr>
          <w:rFonts w:hint="eastAsia" w:ascii="宋体" w:hAnsi="宋体" w:cs="宋体"/>
          <w:color w:val="auto"/>
          <w:sz w:val="32"/>
          <w:szCs w:val="32"/>
          <w:highlight w:val="none"/>
        </w:rPr>
        <w:t>投标人</w:t>
      </w:r>
      <w:r>
        <w:rPr>
          <w:rFonts w:hint="eastAsia" w:ascii="宋体" w:hAnsi="宋体" w:cs="宋体"/>
          <w:color w:val="auto"/>
          <w:sz w:val="32"/>
          <w:szCs w:val="32"/>
          <w:highlight w:val="none"/>
          <w:u w:val="single"/>
        </w:rPr>
        <w:t xml:space="preserve">                         </w:t>
      </w:r>
    </w:p>
    <w:p w14:paraId="3C10198B">
      <w:pPr>
        <w:adjustRightInd w:val="0"/>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636621CD">
      <w:pPr>
        <w:rPr>
          <w:rFonts w:ascii="宋体" w:hAnsi="宋体" w:cs="宋体"/>
          <w:color w:val="auto"/>
          <w:sz w:val="28"/>
          <w:szCs w:val="28"/>
          <w:highlight w:val="none"/>
        </w:rPr>
      </w:pPr>
      <w:r>
        <w:rPr>
          <w:rFonts w:hint="eastAsia" w:ascii="宋体" w:hAnsi="宋体" w:cs="宋体"/>
          <w:color w:val="auto"/>
          <w:highlight w:val="none"/>
          <w:u w:val="single"/>
        </w:rPr>
        <w:br w:type="page"/>
      </w:r>
    </w:p>
    <w:p w14:paraId="1F89763F">
      <w:pPr>
        <w:pStyle w:val="6"/>
        <w:adjustRightInd w:val="0"/>
        <w:snapToGrid w:val="0"/>
        <w:spacing w:before="0" w:after="0" w:line="360" w:lineRule="auto"/>
        <w:jc w:val="center"/>
        <w:rPr>
          <w:rFonts w:ascii="宋体" w:hAnsi="宋体" w:cs="宋体"/>
          <w:color w:val="auto"/>
          <w:sz w:val="28"/>
          <w:szCs w:val="28"/>
          <w:highlight w:val="none"/>
        </w:rPr>
      </w:pPr>
      <w:bookmarkStart w:id="123" w:name="_Toc26745"/>
      <w:r>
        <w:rPr>
          <w:rFonts w:hint="eastAsia" w:ascii="宋体" w:hAnsi="宋体" w:eastAsia="黑体" w:cs="宋体"/>
          <w:color w:val="auto"/>
          <w:sz w:val="28"/>
          <w:szCs w:val="28"/>
          <w:highlight w:val="none"/>
        </w:rPr>
        <w:t>十</w:t>
      </w:r>
      <w:r>
        <w:rPr>
          <w:rFonts w:hint="eastAsia" w:ascii="宋体" w:hAnsi="宋体" w:eastAsia="黑体" w:cs="宋体"/>
          <w:color w:val="auto"/>
          <w:sz w:val="28"/>
          <w:szCs w:val="28"/>
          <w:highlight w:val="none"/>
          <w:lang w:eastAsia="zh-CN"/>
        </w:rPr>
        <w:t>一</w:t>
      </w:r>
      <w:r>
        <w:rPr>
          <w:rFonts w:hint="eastAsia" w:ascii="宋体" w:hAnsi="宋体" w:eastAsia="黑体" w:cs="宋体"/>
          <w:color w:val="auto"/>
          <w:sz w:val="28"/>
          <w:szCs w:val="28"/>
          <w:highlight w:val="none"/>
        </w:rPr>
        <w:t>、</w:t>
      </w:r>
      <w:bookmarkStart w:id="124" w:name="_Toc1343"/>
      <w:bookmarkStart w:id="125" w:name="_Toc31026"/>
      <w:bookmarkStart w:id="126" w:name="_Toc22465"/>
      <w:r>
        <w:rPr>
          <w:rFonts w:hint="eastAsia" w:ascii="宋体" w:hAnsi="宋体" w:cs="宋体"/>
          <w:color w:val="auto"/>
          <w:sz w:val="28"/>
          <w:szCs w:val="28"/>
          <w:highlight w:val="none"/>
        </w:rPr>
        <w:t>采购需求</w:t>
      </w:r>
      <w:bookmarkEnd w:id="124"/>
      <w:bookmarkEnd w:id="125"/>
      <w:bookmarkEnd w:id="126"/>
      <w:r>
        <w:rPr>
          <w:rFonts w:hint="eastAsia" w:ascii="宋体" w:hAnsi="宋体" w:cs="宋体"/>
          <w:color w:val="auto"/>
          <w:sz w:val="28"/>
          <w:szCs w:val="28"/>
          <w:highlight w:val="none"/>
        </w:rPr>
        <w:t>响应</w:t>
      </w:r>
    </w:p>
    <w:p w14:paraId="3D5118DE">
      <w:pPr>
        <w:adjustRightInd w:val="0"/>
        <w:snapToGrid w:val="0"/>
        <w:spacing w:line="360" w:lineRule="auto"/>
        <w:ind w:left="-88" w:leftChars="-42"/>
        <w:rPr>
          <w:rFonts w:ascii="宋体" w:hAnsi="宋体" w:cs="宋体"/>
          <w:color w:val="auto"/>
          <w:sz w:val="24"/>
          <w:highlight w:val="none"/>
        </w:rPr>
      </w:pPr>
    </w:p>
    <w:p w14:paraId="0AFB6C89">
      <w:pPr>
        <w:adjustRightInd w:val="0"/>
        <w:snapToGrid w:val="0"/>
        <w:spacing w:line="360" w:lineRule="auto"/>
        <w:ind w:left="-88" w:leftChars="-42"/>
        <w:rPr>
          <w:rFonts w:ascii="宋体" w:hAnsi="宋体" w:cs="宋体"/>
          <w:b/>
          <w:bCs/>
          <w:color w:val="auto"/>
          <w:sz w:val="24"/>
          <w:highlight w:val="none"/>
        </w:rPr>
      </w:pPr>
      <w:r>
        <w:rPr>
          <w:rFonts w:hint="eastAsia" w:ascii="宋体" w:hAnsi="宋体" w:cs="宋体"/>
          <w:b/>
          <w:bCs/>
          <w:color w:val="auto"/>
          <w:sz w:val="24"/>
          <w:highlight w:val="none"/>
        </w:rPr>
        <w:t>附件 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-1 响应一览表</w:t>
      </w:r>
    </w:p>
    <w:p w14:paraId="7FC1B840">
      <w:pPr>
        <w:adjustRightInd w:val="0"/>
        <w:snapToGrid w:val="0"/>
        <w:spacing w:line="360" w:lineRule="auto"/>
        <w:ind w:left="-88" w:leftChars="-42"/>
        <w:jc w:val="center"/>
        <w:rPr>
          <w:rFonts w:ascii="宋体" w:hAnsi="宋体" w:cs="宋体"/>
          <w:b/>
          <w:bCs/>
          <w:color w:val="auto"/>
          <w:sz w:val="24"/>
          <w:highlight w:val="none"/>
        </w:rPr>
      </w:pPr>
      <w:r>
        <w:rPr>
          <w:rFonts w:hint="eastAsia" w:ascii="宋体" w:hAnsi="宋体" w:cs="宋体"/>
          <w:b/>
          <w:bCs/>
          <w:color w:val="auto"/>
          <w:sz w:val="24"/>
          <w:highlight w:val="none"/>
        </w:rPr>
        <w:t>采购需求响应一览表</w:t>
      </w:r>
    </w:p>
    <w:p w14:paraId="2F1D0398">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07D2E80">
      <w:pPr>
        <w:adjustRightInd w:val="0"/>
        <w:snapToGrid w:val="0"/>
        <w:spacing w:beforeLines="50" w:line="360" w:lineRule="auto"/>
        <w:rPr>
          <w:rFonts w:ascii="宋体" w:hAnsi="宋体" w:cs="宋体"/>
          <w:color w:val="auto"/>
          <w:spacing w:val="28"/>
          <w:szCs w:val="21"/>
          <w:highlight w:val="none"/>
        </w:rPr>
      </w:pPr>
      <w:r>
        <w:rPr>
          <w:rFonts w:hint="eastAsia" w:ascii="宋体" w:hAnsi="宋体" w:cs="宋体"/>
          <w:color w:val="auto"/>
          <w:szCs w:val="21"/>
          <w:highlight w:val="none"/>
        </w:rPr>
        <w:t>包号：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包名称：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bl>
      <w:tblPr>
        <w:tblStyle w:val="45"/>
        <w:tblW w:w="90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37"/>
        <w:gridCol w:w="2410"/>
        <w:gridCol w:w="1985"/>
        <w:gridCol w:w="2126"/>
        <w:gridCol w:w="1756"/>
      </w:tblGrid>
      <w:tr w14:paraId="69EB02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4" w:hRule="atLeast"/>
          <w:jc w:val="center"/>
        </w:trPr>
        <w:tc>
          <w:tcPr>
            <w:tcW w:w="737" w:type="dxa"/>
            <w:tcBorders>
              <w:tl2br w:val="nil"/>
              <w:tr2bl w:val="nil"/>
            </w:tcBorders>
            <w:noWrap/>
            <w:vAlign w:val="center"/>
          </w:tcPr>
          <w:p w14:paraId="2945D186">
            <w:pPr>
              <w:adjustRightInd w:val="0"/>
              <w:snapToGrid w:val="0"/>
              <w:spacing w:before="50" w:line="360" w:lineRule="auto"/>
              <w:ind w:left="-88" w:leftChars="-42"/>
              <w:jc w:val="center"/>
              <w:rPr>
                <w:rFonts w:ascii="宋体" w:hAnsi="宋体" w:cs="宋体"/>
                <w:color w:val="auto"/>
                <w:szCs w:val="21"/>
                <w:highlight w:val="none"/>
              </w:rPr>
            </w:pPr>
            <w:r>
              <w:rPr>
                <w:rFonts w:hint="eastAsia" w:ascii="宋体" w:hAnsi="宋体" w:cs="宋体"/>
                <w:bCs/>
                <w:color w:val="auto"/>
                <w:szCs w:val="21"/>
                <w:highlight w:val="none"/>
              </w:rPr>
              <w:t>序</w:t>
            </w:r>
            <w:r>
              <w:rPr>
                <w:rFonts w:hint="eastAsia" w:ascii="宋体" w:hAnsi="宋体" w:cs="宋体"/>
                <w:color w:val="auto"/>
                <w:szCs w:val="21"/>
                <w:highlight w:val="none"/>
              </w:rPr>
              <w:t>号</w:t>
            </w:r>
          </w:p>
        </w:tc>
        <w:tc>
          <w:tcPr>
            <w:tcW w:w="2410" w:type="dxa"/>
            <w:tcBorders>
              <w:tl2br w:val="nil"/>
              <w:tr2bl w:val="nil"/>
            </w:tcBorders>
            <w:noWrap/>
            <w:vAlign w:val="center"/>
          </w:tcPr>
          <w:p w14:paraId="0D6AD447">
            <w:pPr>
              <w:adjustRightInd w:val="0"/>
              <w:snapToGrid w:val="0"/>
              <w:spacing w:before="50" w:line="360" w:lineRule="auto"/>
              <w:ind w:left="-88" w:leftChars="-42"/>
              <w:jc w:val="center"/>
              <w:rPr>
                <w:rFonts w:ascii="宋体" w:hAnsi="宋体" w:cs="宋体"/>
                <w:color w:val="auto"/>
                <w:szCs w:val="21"/>
                <w:highlight w:val="none"/>
              </w:rPr>
            </w:pPr>
            <w:r>
              <w:rPr>
                <w:rFonts w:ascii="宋体" w:hAnsi="宋体" w:cs="宋体"/>
                <w:color w:val="auto"/>
                <w:szCs w:val="21"/>
                <w:highlight w:val="none"/>
              </w:rPr>
              <w:t>标的名称</w:t>
            </w:r>
          </w:p>
        </w:tc>
        <w:tc>
          <w:tcPr>
            <w:tcW w:w="1985" w:type="dxa"/>
            <w:tcBorders>
              <w:tl2br w:val="nil"/>
              <w:tr2bl w:val="nil"/>
            </w:tcBorders>
            <w:noWrap/>
          </w:tcPr>
          <w:p w14:paraId="0B5473F1">
            <w:pPr>
              <w:adjustRightInd w:val="0"/>
              <w:snapToGrid w:val="0"/>
              <w:spacing w:before="50" w:line="360" w:lineRule="auto"/>
              <w:jc w:val="center"/>
              <w:rPr>
                <w:rFonts w:ascii="宋体" w:hAnsi="宋体" w:cs="宋体"/>
                <w:color w:val="auto"/>
                <w:highlight w:val="none"/>
              </w:rPr>
            </w:pPr>
            <w:r>
              <w:rPr>
                <w:rFonts w:ascii="宋体" w:hAnsi="宋体" w:cs="宋体"/>
                <w:color w:val="auto"/>
                <w:highlight w:val="none"/>
              </w:rPr>
              <w:t>服务</w:t>
            </w:r>
            <w:r>
              <w:rPr>
                <w:rFonts w:hint="eastAsia" w:ascii="宋体" w:hAnsi="宋体" w:cs="宋体"/>
                <w:color w:val="auto"/>
                <w:highlight w:val="none"/>
              </w:rPr>
              <w:t>（货物）</w:t>
            </w:r>
            <w:r>
              <w:rPr>
                <w:rFonts w:ascii="宋体" w:hAnsi="宋体" w:cs="宋体"/>
                <w:color w:val="auto"/>
                <w:highlight w:val="none"/>
              </w:rPr>
              <w:t>要求</w:t>
            </w:r>
          </w:p>
        </w:tc>
        <w:tc>
          <w:tcPr>
            <w:tcW w:w="2126" w:type="dxa"/>
            <w:tcBorders>
              <w:tl2br w:val="nil"/>
              <w:tr2bl w:val="nil"/>
            </w:tcBorders>
            <w:noWrap/>
          </w:tcPr>
          <w:p w14:paraId="68A369E8">
            <w:pPr>
              <w:adjustRightInd w:val="0"/>
              <w:snapToGrid w:val="0"/>
              <w:spacing w:before="50" w:line="360" w:lineRule="auto"/>
              <w:jc w:val="center"/>
              <w:rPr>
                <w:rFonts w:ascii="宋体" w:hAnsi="宋体" w:cs="宋体"/>
                <w:color w:val="auto"/>
                <w:highlight w:val="none"/>
              </w:rPr>
            </w:pPr>
            <w:r>
              <w:rPr>
                <w:rFonts w:ascii="宋体" w:hAnsi="宋体" w:cs="宋体"/>
                <w:color w:val="auto"/>
                <w:highlight w:val="none"/>
              </w:rPr>
              <w:t>投标文件应答</w:t>
            </w:r>
          </w:p>
        </w:tc>
        <w:tc>
          <w:tcPr>
            <w:tcW w:w="1756" w:type="dxa"/>
            <w:tcBorders>
              <w:tl2br w:val="nil"/>
              <w:tr2bl w:val="nil"/>
            </w:tcBorders>
            <w:noWrap/>
            <w:vAlign w:val="center"/>
          </w:tcPr>
          <w:p w14:paraId="01C5DCF5">
            <w:pPr>
              <w:adjustRightInd w:val="0"/>
              <w:snapToGrid w:val="0"/>
              <w:spacing w:before="50" w:line="360" w:lineRule="auto"/>
              <w:ind w:left="-88" w:leftChars="-42"/>
              <w:jc w:val="center"/>
              <w:rPr>
                <w:rFonts w:ascii="宋体" w:hAnsi="宋体" w:cs="宋体"/>
                <w:color w:val="auto"/>
                <w:szCs w:val="21"/>
                <w:highlight w:val="none"/>
              </w:rPr>
            </w:pPr>
            <w:r>
              <w:rPr>
                <w:rFonts w:ascii="宋体" w:hAnsi="宋体" w:cs="宋体"/>
                <w:color w:val="auto"/>
                <w:szCs w:val="21"/>
                <w:highlight w:val="none"/>
              </w:rPr>
              <w:t>备注</w:t>
            </w:r>
          </w:p>
        </w:tc>
      </w:tr>
      <w:tr w14:paraId="45C076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7" w:hRule="atLeast"/>
          <w:jc w:val="center"/>
        </w:trPr>
        <w:tc>
          <w:tcPr>
            <w:tcW w:w="737" w:type="dxa"/>
            <w:tcBorders>
              <w:tl2br w:val="nil"/>
              <w:tr2bl w:val="nil"/>
            </w:tcBorders>
            <w:noWrap/>
            <w:vAlign w:val="center"/>
          </w:tcPr>
          <w:p w14:paraId="06D0BC5A">
            <w:pPr>
              <w:adjustRightInd w:val="0"/>
              <w:snapToGrid w:val="0"/>
              <w:spacing w:before="50" w:line="360" w:lineRule="auto"/>
              <w:ind w:left="-88" w:leftChars="-42"/>
              <w:jc w:val="center"/>
              <w:rPr>
                <w:rFonts w:ascii="宋体" w:hAnsi="宋体" w:cs="宋体"/>
                <w:color w:val="auto"/>
                <w:szCs w:val="21"/>
                <w:highlight w:val="none"/>
              </w:rPr>
            </w:pPr>
          </w:p>
        </w:tc>
        <w:tc>
          <w:tcPr>
            <w:tcW w:w="2410" w:type="dxa"/>
            <w:tcBorders>
              <w:tl2br w:val="nil"/>
              <w:tr2bl w:val="nil"/>
            </w:tcBorders>
            <w:noWrap/>
            <w:vAlign w:val="center"/>
          </w:tcPr>
          <w:p w14:paraId="59D7BC37">
            <w:pPr>
              <w:adjustRightInd w:val="0"/>
              <w:snapToGrid w:val="0"/>
              <w:spacing w:before="50" w:line="360" w:lineRule="auto"/>
              <w:ind w:left="-88" w:leftChars="-42"/>
              <w:jc w:val="center"/>
              <w:rPr>
                <w:rFonts w:ascii="宋体" w:hAnsi="宋体" w:cs="宋体"/>
                <w:color w:val="auto"/>
                <w:szCs w:val="21"/>
                <w:highlight w:val="none"/>
              </w:rPr>
            </w:pPr>
          </w:p>
        </w:tc>
        <w:tc>
          <w:tcPr>
            <w:tcW w:w="1985" w:type="dxa"/>
            <w:tcBorders>
              <w:tl2br w:val="nil"/>
              <w:tr2bl w:val="nil"/>
            </w:tcBorders>
            <w:noWrap/>
            <w:vAlign w:val="center"/>
          </w:tcPr>
          <w:p w14:paraId="01922D03">
            <w:pPr>
              <w:adjustRightInd w:val="0"/>
              <w:snapToGrid w:val="0"/>
              <w:spacing w:before="50" w:line="360" w:lineRule="auto"/>
              <w:ind w:left="-88" w:leftChars="-42"/>
              <w:jc w:val="center"/>
              <w:rPr>
                <w:rFonts w:ascii="宋体" w:hAnsi="宋体" w:cs="宋体"/>
                <w:color w:val="auto"/>
                <w:szCs w:val="21"/>
                <w:highlight w:val="none"/>
              </w:rPr>
            </w:pPr>
          </w:p>
        </w:tc>
        <w:tc>
          <w:tcPr>
            <w:tcW w:w="2126" w:type="dxa"/>
            <w:tcBorders>
              <w:tl2br w:val="nil"/>
              <w:tr2bl w:val="nil"/>
            </w:tcBorders>
            <w:noWrap/>
            <w:vAlign w:val="center"/>
          </w:tcPr>
          <w:p w14:paraId="16C4F32B">
            <w:pPr>
              <w:adjustRightInd w:val="0"/>
              <w:snapToGrid w:val="0"/>
              <w:spacing w:before="50" w:line="360" w:lineRule="auto"/>
              <w:ind w:left="-88" w:leftChars="-42"/>
              <w:jc w:val="center"/>
              <w:rPr>
                <w:rFonts w:ascii="宋体" w:hAnsi="宋体" w:cs="宋体"/>
                <w:color w:val="auto"/>
                <w:szCs w:val="21"/>
                <w:highlight w:val="none"/>
              </w:rPr>
            </w:pPr>
          </w:p>
        </w:tc>
        <w:tc>
          <w:tcPr>
            <w:tcW w:w="1756" w:type="dxa"/>
            <w:tcBorders>
              <w:tl2br w:val="nil"/>
              <w:tr2bl w:val="nil"/>
            </w:tcBorders>
            <w:noWrap/>
            <w:vAlign w:val="center"/>
          </w:tcPr>
          <w:p w14:paraId="7609E22A">
            <w:pPr>
              <w:adjustRightInd w:val="0"/>
              <w:snapToGrid w:val="0"/>
              <w:spacing w:before="50" w:line="360" w:lineRule="auto"/>
              <w:ind w:left="-88" w:leftChars="-42"/>
              <w:jc w:val="center"/>
              <w:rPr>
                <w:rFonts w:ascii="宋体" w:hAnsi="宋体" w:cs="宋体"/>
                <w:color w:val="auto"/>
                <w:szCs w:val="21"/>
                <w:highlight w:val="none"/>
              </w:rPr>
            </w:pPr>
          </w:p>
        </w:tc>
      </w:tr>
      <w:tr w14:paraId="146B7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737" w:type="dxa"/>
            <w:tcBorders>
              <w:tl2br w:val="nil"/>
              <w:tr2bl w:val="nil"/>
            </w:tcBorders>
            <w:noWrap/>
            <w:vAlign w:val="center"/>
          </w:tcPr>
          <w:p w14:paraId="52F582B7">
            <w:pPr>
              <w:adjustRightInd w:val="0"/>
              <w:snapToGrid w:val="0"/>
              <w:spacing w:before="50" w:line="360" w:lineRule="auto"/>
              <w:ind w:left="-88" w:leftChars="-42"/>
              <w:jc w:val="center"/>
              <w:rPr>
                <w:rFonts w:ascii="宋体" w:hAnsi="宋体" w:cs="宋体"/>
                <w:color w:val="auto"/>
                <w:szCs w:val="21"/>
                <w:highlight w:val="none"/>
              </w:rPr>
            </w:pPr>
          </w:p>
        </w:tc>
        <w:tc>
          <w:tcPr>
            <w:tcW w:w="2410" w:type="dxa"/>
            <w:tcBorders>
              <w:tl2br w:val="nil"/>
              <w:tr2bl w:val="nil"/>
            </w:tcBorders>
            <w:noWrap/>
            <w:vAlign w:val="center"/>
          </w:tcPr>
          <w:p w14:paraId="15B8BE88">
            <w:pPr>
              <w:adjustRightInd w:val="0"/>
              <w:snapToGrid w:val="0"/>
              <w:spacing w:before="50" w:line="360" w:lineRule="auto"/>
              <w:ind w:left="-88" w:leftChars="-42"/>
              <w:jc w:val="center"/>
              <w:rPr>
                <w:rFonts w:ascii="宋体" w:hAnsi="宋体" w:cs="宋体"/>
                <w:color w:val="auto"/>
                <w:szCs w:val="21"/>
                <w:highlight w:val="none"/>
              </w:rPr>
            </w:pPr>
          </w:p>
        </w:tc>
        <w:tc>
          <w:tcPr>
            <w:tcW w:w="1985" w:type="dxa"/>
            <w:tcBorders>
              <w:tl2br w:val="nil"/>
              <w:tr2bl w:val="nil"/>
            </w:tcBorders>
            <w:noWrap/>
            <w:vAlign w:val="center"/>
          </w:tcPr>
          <w:p w14:paraId="124A55CE">
            <w:pPr>
              <w:adjustRightInd w:val="0"/>
              <w:snapToGrid w:val="0"/>
              <w:spacing w:before="50" w:line="360" w:lineRule="auto"/>
              <w:ind w:left="-88" w:leftChars="-42"/>
              <w:jc w:val="center"/>
              <w:rPr>
                <w:rFonts w:ascii="宋体" w:hAnsi="宋体" w:cs="宋体"/>
                <w:color w:val="auto"/>
                <w:szCs w:val="21"/>
                <w:highlight w:val="none"/>
              </w:rPr>
            </w:pPr>
          </w:p>
        </w:tc>
        <w:tc>
          <w:tcPr>
            <w:tcW w:w="2126" w:type="dxa"/>
            <w:tcBorders>
              <w:tl2br w:val="nil"/>
              <w:tr2bl w:val="nil"/>
            </w:tcBorders>
            <w:noWrap/>
            <w:vAlign w:val="center"/>
          </w:tcPr>
          <w:p w14:paraId="6A743A15">
            <w:pPr>
              <w:adjustRightInd w:val="0"/>
              <w:snapToGrid w:val="0"/>
              <w:spacing w:before="50" w:line="360" w:lineRule="auto"/>
              <w:ind w:left="-88" w:leftChars="-42"/>
              <w:jc w:val="center"/>
              <w:rPr>
                <w:rFonts w:ascii="宋体" w:hAnsi="宋体" w:cs="宋体"/>
                <w:color w:val="auto"/>
                <w:szCs w:val="21"/>
                <w:highlight w:val="none"/>
              </w:rPr>
            </w:pPr>
          </w:p>
        </w:tc>
        <w:tc>
          <w:tcPr>
            <w:tcW w:w="1756" w:type="dxa"/>
            <w:tcBorders>
              <w:tl2br w:val="nil"/>
              <w:tr2bl w:val="nil"/>
            </w:tcBorders>
            <w:noWrap/>
            <w:vAlign w:val="center"/>
          </w:tcPr>
          <w:p w14:paraId="098E5D4B">
            <w:pPr>
              <w:adjustRightInd w:val="0"/>
              <w:snapToGrid w:val="0"/>
              <w:spacing w:before="50" w:line="360" w:lineRule="auto"/>
              <w:ind w:left="-88" w:leftChars="-42"/>
              <w:jc w:val="center"/>
              <w:rPr>
                <w:rFonts w:ascii="宋体" w:hAnsi="宋体" w:cs="宋体"/>
                <w:color w:val="auto"/>
                <w:szCs w:val="21"/>
                <w:highlight w:val="none"/>
              </w:rPr>
            </w:pPr>
          </w:p>
        </w:tc>
      </w:tr>
      <w:tr w14:paraId="63024D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737" w:type="dxa"/>
            <w:tcBorders>
              <w:tl2br w:val="nil"/>
              <w:tr2bl w:val="nil"/>
            </w:tcBorders>
            <w:noWrap/>
            <w:vAlign w:val="center"/>
          </w:tcPr>
          <w:p w14:paraId="5D00FA72">
            <w:pPr>
              <w:adjustRightInd w:val="0"/>
              <w:snapToGrid w:val="0"/>
              <w:spacing w:before="50" w:line="360" w:lineRule="auto"/>
              <w:ind w:left="-88" w:leftChars="-42"/>
              <w:jc w:val="center"/>
              <w:rPr>
                <w:rFonts w:ascii="宋体" w:hAnsi="宋体" w:cs="宋体"/>
                <w:color w:val="auto"/>
                <w:szCs w:val="21"/>
                <w:highlight w:val="none"/>
              </w:rPr>
            </w:pPr>
          </w:p>
        </w:tc>
        <w:tc>
          <w:tcPr>
            <w:tcW w:w="2410" w:type="dxa"/>
            <w:tcBorders>
              <w:tl2br w:val="nil"/>
              <w:tr2bl w:val="nil"/>
            </w:tcBorders>
            <w:noWrap/>
            <w:vAlign w:val="center"/>
          </w:tcPr>
          <w:p w14:paraId="50251E5B">
            <w:pPr>
              <w:adjustRightInd w:val="0"/>
              <w:snapToGrid w:val="0"/>
              <w:spacing w:before="50" w:line="360" w:lineRule="auto"/>
              <w:ind w:left="-88" w:leftChars="-42"/>
              <w:jc w:val="center"/>
              <w:rPr>
                <w:rFonts w:ascii="宋体" w:hAnsi="宋体" w:cs="宋体"/>
                <w:color w:val="auto"/>
                <w:szCs w:val="21"/>
                <w:highlight w:val="none"/>
              </w:rPr>
            </w:pPr>
          </w:p>
        </w:tc>
        <w:tc>
          <w:tcPr>
            <w:tcW w:w="1985" w:type="dxa"/>
            <w:tcBorders>
              <w:tl2br w:val="nil"/>
              <w:tr2bl w:val="nil"/>
            </w:tcBorders>
            <w:noWrap/>
            <w:vAlign w:val="center"/>
          </w:tcPr>
          <w:p w14:paraId="1C7B6FB3">
            <w:pPr>
              <w:adjustRightInd w:val="0"/>
              <w:snapToGrid w:val="0"/>
              <w:spacing w:before="50" w:line="360" w:lineRule="auto"/>
              <w:ind w:left="-88" w:leftChars="-42"/>
              <w:jc w:val="center"/>
              <w:rPr>
                <w:rFonts w:ascii="宋体" w:hAnsi="宋体" w:cs="宋体"/>
                <w:color w:val="auto"/>
                <w:szCs w:val="21"/>
                <w:highlight w:val="none"/>
              </w:rPr>
            </w:pPr>
          </w:p>
        </w:tc>
        <w:tc>
          <w:tcPr>
            <w:tcW w:w="2126" w:type="dxa"/>
            <w:tcBorders>
              <w:tl2br w:val="nil"/>
              <w:tr2bl w:val="nil"/>
            </w:tcBorders>
            <w:noWrap/>
            <w:vAlign w:val="center"/>
          </w:tcPr>
          <w:p w14:paraId="3C624DE0">
            <w:pPr>
              <w:adjustRightInd w:val="0"/>
              <w:snapToGrid w:val="0"/>
              <w:spacing w:before="50" w:line="360" w:lineRule="auto"/>
              <w:ind w:left="-88" w:leftChars="-42"/>
              <w:jc w:val="center"/>
              <w:rPr>
                <w:rFonts w:ascii="宋体" w:hAnsi="宋体" w:cs="宋体"/>
                <w:color w:val="auto"/>
                <w:szCs w:val="21"/>
                <w:highlight w:val="none"/>
              </w:rPr>
            </w:pPr>
          </w:p>
        </w:tc>
        <w:tc>
          <w:tcPr>
            <w:tcW w:w="1756" w:type="dxa"/>
            <w:tcBorders>
              <w:tl2br w:val="nil"/>
              <w:tr2bl w:val="nil"/>
            </w:tcBorders>
            <w:noWrap/>
            <w:vAlign w:val="center"/>
          </w:tcPr>
          <w:p w14:paraId="75880B07">
            <w:pPr>
              <w:adjustRightInd w:val="0"/>
              <w:snapToGrid w:val="0"/>
              <w:spacing w:before="50" w:line="360" w:lineRule="auto"/>
              <w:ind w:left="-88" w:leftChars="-42"/>
              <w:jc w:val="center"/>
              <w:rPr>
                <w:rFonts w:ascii="宋体" w:hAnsi="宋体" w:cs="宋体"/>
                <w:color w:val="auto"/>
                <w:szCs w:val="21"/>
                <w:highlight w:val="none"/>
              </w:rPr>
            </w:pPr>
          </w:p>
        </w:tc>
      </w:tr>
      <w:tr w14:paraId="50262E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737" w:type="dxa"/>
            <w:tcBorders>
              <w:tl2br w:val="nil"/>
              <w:tr2bl w:val="nil"/>
            </w:tcBorders>
            <w:noWrap/>
            <w:vAlign w:val="center"/>
          </w:tcPr>
          <w:p w14:paraId="6981609D">
            <w:pPr>
              <w:adjustRightInd w:val="0"/>
              <w:snapToGrid w:val="0"/>
              <w:spacing w:before="50" w:line="360" w:lineRule="auto"/>
              <w:ind w:left="-88" w:leftChars="-42"/>
              <w:jc w:val="center"/>
              <w:rPr>
                <w:rFonts w:ascii="宋体" w:hAnsi="宋体" w:cs="宋体"/>
                <w:color w:val="auto"/>
                <w:szCs w:val="21"/>
                <w:highlight w:val="none"/>
              </w:rPr>
            </w:pPr>
          </w:p>
        </w:tc>
        <w:tc>
          <w:tcPr>
            <w:tcW w:w="2410" w:type="dxa"/>
            <w:tcBorders>
              <w:tl2br w:val="nil"/>
              <w:tr2bl w:val="nil"/>
            </w:tcBorders>
            <w:noWrap/>
            <w:vAlign w:val="center"/>
          </w:tcPr>
          <w:p w14:paraId="2218B95A">
            <w:pPr>
              <w:adjustRightInd w:val="0"/>
              <w:snapToGrid w:val="0"/>
              <w:spacing w:before="50" w:line="360" w:lineRule="auto"/>
              <w:ind w:left="-88" w:leftChars="-42"/>
              <w:jc w:val="center"/>
              <w:rPr>
                <w:rFonts w:ascii="宋体" w:hAnsi="宋体" w:cs="宋体"/>
                <w:color w:val="auto"/>
                <w:szCs w:val="21"/>
                <w:highlight w:val="none"/>
              </w:rPr>
            </w:pPr>
          </w:p>
        </w:tc>
        <w:tc>
          <w:tcPr>
            <w:tcW w:w="1985" w:type="dxa"/>
            <w:tcBorders>
              <w:tl2br w:val="nil"/>
              <w:tr2bl w:val="nil"/>
            </w:tcBorders>
            <w:noWrap/>
            <w:vAlign w:val="center"/>
          </w:tcPr>
          <w:p w14:paraId="6B8BF138">
            <w:pPr>
              <w:adjustRightInd w:val="0"/>
              <w:snapToGrid w:val="0"/>
              <w:spacing w:before="50" w:line="360" w:lineRule="auto"/>
              <w:ind w:left="-88" w:leftChars="-42"/>
              <w:jc w:val="center"/>
              <w:rPr>
                <w:rFonts w:ascii="宋体" w:hAnsi="宋体" w:cs="宋体"/>
                <w:color w:val="auto"/>
                <w:szCs w:val="21"/>
                <w:highlight w:val="none"/>
              </w:rPr>
            </w:pPr>
          </w:p>
        </w:tc>
        <w:tc>
          <w:tcPr>
            <w:tcW w:w="2126" w:type="dxa"/>
            <w:tcBorders>
              <w:tl2br w:val="nil"/>
              <w:tr2bl w:val="nil"/>
            </w:tcBorders>
            <w:noWrap/>
            <w:vAlign w:val="center"/>
          </w:tcPr>
          <w:p w14:paraId="63C7D938">
            <w:pPr>
              <w:adjustRightInd w:val="0"/>
              <w:snapToGrid w:val="0"/>
              <w:spacing w:before="50" w:line="360" w:lineRule="auto"/>
              <w:ind w:left="-88" w:leftChars="-42"/>
              <w:jc w:val="center"/>
              <w:rPr>
                <w:rFonts w:ascii="宋体" w:hAnsi="宋体" w:cs="宋体"/>
                <w:color w:val="auto"/>
                <w:szCs w:val="21"/>
                <w:highlight w:val="none"/>
              </w:rPr>
            </w:pPr>
          </w:p>
        </w:tc>
        <w:tc>
          <w:tcPr>
            <w:tcW w:w="1756" w:type="dxa"/>
            <w:tcBorders>
              <w:tl2br w:val="nil"/>
              <w:tr2bl w:val="nil"/>
            </w:tcBorders>
            <w:noWrap/>
            <w:vAlign w:val="center"/>
          </w:tcPr>
          <w:p w14:paraId="1522C670">
            <w:pPr>
              <w:adjustRightInd w:val="0"/>
              <w:snapToGrid w:val="0"/>
              <w:spacing w:before="50" w:line="360" w:lineRule="auto"/>
              <w:ind w:left="-88" w:leftChars="-42"/>
              <w:jc w:val="center"/>
              <w:rPr>
                <w:rFonts w:ascii="宋体" w:hAnsi="宋体" w:cs="宋体"/>
                <w:color w:val="auto"/>
                <w:szCs w:val="21"/>
                <w:highlight w:val="none"/>
              </w:rPr>
            </w:pPr>
          </w:p>
        </w:tc>
      </w:tr>
      <w:tr w14:paraId="59036D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737" w:type="dxa"/>
            <w:tcBorders>
              <w:tl2br w:val="nil"/>
              <w:tr2bl w:val="nil"/>
            </w:tcBorders>
            <w:noWrap/>
            <w:vAlign w:val="center"/>
          </w:tcPr>
          <w:p w14:paraId="41DA5C84">
            <w:pPr>
              <w:adjustRightInd w:val="0"/>
              <w:snapToGrid w:val="0"/>
              <w:spacing w:before="50" w:line="360" w:lineRule="auto"/>
              <w:ind w:left="-88" w:leftChars="-42"/>
              <w:jc w:val="center"/>
              <w:rPr>
                <w:rFonts w:ascii="宋体" w:hAnsi="宋体" w:cs="宋体"/>
                <w:color w:val="auto"/>
                <w:szCs w:val="21"/>
                <w:highlight w:val="none"/>
              </w:rPr>
            </w:pPr>
          </w:p>
        </w:tc>
        <w:tc>
          <w:tcPr>
            <w:tcW w:w="2410" w:type="dxa"/>
            <w:tcBorders>
              <w:tl2br w:val="nil"/>
              <w:tr2bl w:val="nil"/>
            </w:tcBorders>
            <w:noWrap/>
            <w:vAlign w:val="center"/>
          </w:tcPr>
          <w:p w14:paraId="7FB0D46B">
            <w:pPr>
              <w:adjustRightInd w:val="0"/>
              <w:snapToGrid w:val="0"/>
              <w:spacing w:before="50" w:line="360" w:lineRule="auto"/>
              <w:ind w:left="-88" w:leftChars="-42"/>
              <w:jc w:val="center"/>
              <w:rPr>
                <w:rFonts w:ascii="宋体" w:hAnsi="宋体" w:cs="宋体"/>
                <w:color w:val="auto"/>
                <w:szCs w:val="21"/>
                <w:highlight w:val="none"/>
              </w:rPr>
            </w:pPr>
          </w:p>
        </w:tc>
        <w:tc>
          <w:tcPr>
            <w:tcW w:w="1985" w:type="dxa"/>
            <w:tcBorders>
              <w:tl2br w:val="nil"/>
              <w:tr2bl w:val="nil"/>
            </w:tcBorders>
            <w:noWrap/>
            <w:vAlign w:val="center"/>
          </w:tcPr>
          <w:p w14:paraId="70C0AE5B">
            <w:pPr>
              <w:adjustRightInd w:val="0"/>
              <w:snapToGrid w:val="0"/>
              <w:spacing w:before="50" w:line="360" w:lineRule="auto"/>
              <w:ind w:left="-88" w:leftChars="-42"/>
              <w:jc w:val="center"/>
              <w:rPr>
                <w:rFonts w:ascii="宋体" w:hAnsi="宋体" w:cs="宋体"/>
                <w:color w:val="auto"/>
                <w:szCs w:val="21"/>
                <w:highlight w:val="none"/>
              </w:rPr>
            </w:pPr>
          </w:p>
        </w:tc>
        <w:tc>
          <w:tcPr>
            <w:tcW w:w="2126" w:type="dxa"/>
            <w:tcBorders>
              <w:tl2br w:val="nil"/>
              <w:tr2bl w:val="nil"/>
            </w:tcBorders>
            <w:noWrap/>
            <w:vAlign w:val="center"/>
          </w:tcPr>
          <w:p w14:paraId="579A86CE">
            <w:pPr>
              <w:adjustRightInd w:val="0"/>
              <w:snapToGrid w:val="0"/>
              <w:spacing w:before="50" w:line="360" w:lineRule="auto"/>
              <w:ind w:left="-88" w:leftChars="-42"/>
              <w:jc w:val="center"/>
              <w:rPr>
                <w:rFonts w:ascii="宋体" w:hAnsi="宋体" w:cs="宋体"/>
                <w:color w:val="auto"/>
                <w:szCs w:val="21"/>
                <w:highlight w:val="none"/>
              </w:rPr>
            </w:pPr>
          </w:p>
        </w:tc>
        <w:tc>
          <w:tcPr>
            <w:tcW w:w="1756" w:type="dxa"/>
            <w:tcBorders>
              <w:tl2br w:val="nil"/>
              <w:tr2bl w:val="nil"/>
            </w:tcBorders>
            <w:noWrap/>
            <w:vAlign w:val="center"/>
          </w:tcPr>
          <w:p w14:paraId="02A7FCFE">
            <w:pPr>
              <w:adjustRightInd w:val="0"/>
              <w:snapToGrid w:val="0"/>
              <w:spacing w:before="50" w:line="360" w:lineRule="auto"/>
              <w:ind w:left="-88" w:leftChars="-42"/>
              <w:jc w:val="center"/>
              <w:rPr>
                <w:rFonts w:ascii="宋体" w:hAnsi="宋体" w:cs="宋体"/>
                <w:color w:val="auto"/>
                <w:szCs w:val="21"/>
                <w:highlight w:val="none"/>
              </w:rPr>
            </w:pPr>
          </w:p>
        </w:tc>
      </w:tr>
    </w:tbl>
    <w:p w14:paraId="62BB426C">
      <w:pPr>
        <w:adjustRightInd w:val="0"/>
        <w:snapToGrid w:val="0"/>
        <w:spacing w:before="50" w:line="360" w:lineRule="auto"/>
        <w:ind w:left="-88" w:leftChars="-42"/>
        <w:rPr>
          <w:rFonts w:ascii="宋体" w:hAnsi="宋体" w:cs="宋体"/>
          <w:b/>
          <w:color w:val="auto"/>
          <w:szCs w:val="21"/>
          <w:highlight w:val="none"/>
        </w:rPr>
      </w:pPr>
    </w:p>
    <w:p w14:paraId="1BEC32F0">
      <w:pPr>
        <w:adjustRightInd w:val="0"/>
        <w:snapToGrid w:val="0"/>
        <w:spacing w:before="50" w:line="360" w:lineRule="auto"/>
        <w:ind w:left="-88" w:leftChars="-42"/>
        <w:rPr>
          <w:rFonts w:ascii="宋体" w:hAnsi="宋体" w:cs="宋体"/>
          <w:color w:val="auto"/>
          <w:szCs w:val="21"/>
          <w:highlight w:val="none"/>
        </w:rPr>
      </w:pPr>
      <w:r>
        <w:rPr>
          <w:rFonts w:hint="eastAsia" w:ascii="宋体" w:hAnsi="宋体" w:cs="宋体"/>
          <w:b/>
          <w:color w:val="auto"/>
          <w:szCs w:val="21"/>
          <w:highlight w:val="none"/>
        </w:rPr>
        <w:t>备注</w:t>
      </w:r>
      <w:r>
        <w:rPr>
          <w:rFonts w:hint="eastAsia" w:ascii="宋体" w:hAnsi="宋体" w:cs="宋体"/>
          <w:color w:val="auto"/>
          <w:szCs w:val="21"/>
          <w:highlight w:val="none"/>
        </w:rPr>
        <w:t>：（1）投标人应按招标文件第五章采购需求及评分标准填写；</w:t>
      </w:r>
    </w:p>
    <w:p w14:paraId="7E94E9EE">
      <w:pPr>
        <w:adjustRightInd w:val="0"/>
        <w:snapToGrid w:val="0"/>
        <w:spacing w:before="50" w:line="360" w:lineRule="auto"/>
        <w:ind w:left="-88" w:leftChars="-42" w:firstLine="420" w:firstLineChars="200"/>
        <w:rPr>
          <w:rFonts w:ascii="宋体" w:hAnsi="宋体" w:cs="宋体"/>
          <w:color w:val="auto"/>
          <w:szCs w:val="21"/>
          <w:highlight w:val="none"/>
        </w:rPr>
      </w:pPr>
      <w:r>
        <w:rPr>
          <w:rFonts w:hint="eastAsia" w:ascii="宋体" w:hAnsi="宋体" w:cs="宋体"/>
          <w:color w:val="auto"/>
          <w:szCs w:val="21"/>
          <w:highlight w:val="none"/>
        </w:rPr>
        <w:t>（2）如不提供此表，则视为投标人不满足招标文件第五章的所有条款要求，其</w:t>
      </w:r>
      <w:r>
        <w:rPr>
          <w:rFonts w:hint="eastAsia" w:ascii="宋体" w:hAnsi="宋体" w:cs="宋体"/>
          <w:b/>
          <w:color w:val="auto"/>
          <w:szCs w:val="21"/>
          <w:highlight w:val="none"/>
        </w:rPr>
        <w:t>投标无效</w:t>
      </w:r>
      <w:r>
        <w:rPr>
          <w:rFonts w:hint="eastAsia" w:ascii="宋体" w:hAnsi="宋体" w:cs="宋体"/>
          <w:color w:val="auto"/>
          <w:szCs w:val="21"/>
          <w:highlight w:val="none"/>
        </w:rPr>
        <w:t>。</w:t>
      </w:r>
    </w:p>
    <w:p w14:paraId="4F996A6E">
      <w:pPr>
        <w:adjustRightInd w:val="0"/>
        <w:snapToGrid w:val="0"/>
        <w:spacing w:before="50" w:line="360" w:lineRule="auto"/>
        <w:ind w:left="-88" w:leftChars="-42" w:firstLine="420" w:firstLineChars="200"/>
        <w:rPr>
          <w:rFonts w:ascii="宋体" w:hAnsi="宋体" w:cs="宋体"/>
          <w:color w:val="auto"/>
          <w:szCs w:val="21"/>
          <w:highlight w:val="none"/>
        </w:rPr>
      </w:pPr>
      <w:r>
        <w:rPr>
          <w:rFonts w:hint="eastAsia" w:ascii="宋体" w:hAnsi="宋体" w:cs="宋体"/>
          <w:color w:val="auto"/>
          <w:szCs w:val="21"/>
          <w:highlight w:val="none"/>
        </w:rPr>
        <w:t>（3）在采购人与成交投标人签订合同时，如成交投标人未在投标文件“采购需求偏离表”中列出偏离说明，无论已发生或即将发生任何情形，均视为完全符合招标文件要求，并写入合同。若成交投标人在合同签订前，以上述事项为借口而不履行合同签订手续及执行合同，则视作拒绝与采购人签订合同。</w:t>
      </w:r>
    </w:p>
    <w:p w14:paraId="22ADFDA1">
      <w:pPr>
        <w:adjustRightInd w:val="0"/>
        <w:snapToGrid w:val="0"/>
        <w:spacing w:before="50" w:line="360" w:lineRule="auto"/>
        <w:rPr>
          <w:rFonts w:ascii="宋体" w:hAnsi="宋体" w:cs="宋体"/>
          <w:color w:val="auto"/>
          <w:szCs w:val="21"/>
          <w:highlight w:val="none"/>
        </w:rPr>
      </w:pPr>
    </w:p>
    <w:p w14:paraId="51163D05">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投标人名称（盖单位章）：</w:t>
      </w:r>
    </w:p>
    <w:p w14:paraId="6A679167">
      <w:pPr>
        <w:adjustRightInd w:val="0"/>
        <w:snapToGrid w:val="0"/>
        <w:spacing w:line="360" w:lineRule="auto"/>
        <w:rPr>
          <w:rFonts w:ascii="宋体" w:hAnsi="宋体" w:cs="宋体"/>
          <w:color w:val="auto"/>
          <w:szCs w:val="21"/>
          <w:highlight w:val="none"/>
        </w:rPr>
      </w:pPr>
      <w:r>
        <w:rPr>
          <w:rFonts w:hint="eastAsia" w:ascii="宋体" w:hAnsi="宋体" w:cs="宋体"/>
          <w:color w:val="auto"/>
          <w:spacing w:val="-2"/>
          <w:kern w:val="0"/>
          <w:szCs w:val="21"/>
          <w:highlight w:val="none"/>
        </w:rPr>
        <w:t>法</w:t>
      </w:r>
      <w:r>
        <w:rPr>
          <w:rFonts w:hint="eastAsia" w:ascii="宋体" w:hAnsi="宋体" w:cs="宋体"/>
          <w:color w:val="auto"/>
          <w:kern w:val="0"/>
          <w:szCs w:val="21"/>
          <w:highlight w:val="none"/>
        </w:rPr>
        <w:t>定</w:t>
      </w:r>
      <w:r>
        <w:rPr>
          <w:rFonts w:hint="eastAsia" w:ascii="宋体" w:hAnsi="宋体" w:cs="宋体"/>
          <w:color w:val="auto"/>
          <w:spacing w:val="-2"/>
          <w:kern w:val="0"/>
          <w:szCs w:val="21"/>
          <w:highlight w:val="none"/>
        </w:rPr>
        <w:t>代</w:t>
      </w:r>
      <w:r>
        <w:rPr>
          <w:rFonts w:hint="eastAsia" w:ascii="宋体" w:hAnsi="宋体" w:cs="宋体"/>
          <w:color w:val="auto"/>
          <w:kern w:val="0"/>
          <w:szCs w:val="21"/>
          <w:highlight w:val="none"/>
        </w:rPr>
        <w:t>表</w:t>
      </w:r>
      <w:r>
        <w:rPr>
          <w:rFonts w:hint="eastAsia" w:ascii="宋体" w:hAnsi="宋体" w:cs="宋体"/>
          <w:color w:val="auto"/>
          <w:spacing w:val="-2"/>
          <w:kern w:val="0"/>
          <w:szCs w:val="21"/>
          <w:highlight w:val="none"/>
        </w:rPr>
        <w:t>人</w:t>
      </w:r>
      <w:r>
        <w:rPr>
          <w:rFonts w:hint="eastAsia" w:ascii="宋体" w:hAnsi="宋体" w:cs="宋体"/>
          <w:color w:val="auto"/>
          <w:kern w:val="0"/>
          <w:szCs w:val="21"/>
          <w:highlight w:val="none"/>
        </w:rPr>
        <w:t>（</w:t>
      </w:r>
      <w:r>
        <w:rPr>
          <w:rFonts w:hint="eastAsia" w:ascii="宋体" w:hAnsi="宋体" w:cs="宋体"/>
          <w:color w:val="auto"/>
          <w:spacing w:val="-2"/>
          <w:kern w:val="0"/>
          <w:szCs w:val="21"/>
          <w:highlight w:val="none"/>
        </w:rPr>
        <w:t>单</w:t>
      </w:r>
      <w:r>
        <w:rPr>
          <w:rFonts w:hint="eastAsia" w:ascii="宋体" w:hAnsi="宋体" w:cs="宋体"/>
          <w:color w:val="auto"/>
          <w:kern w:val="0"/>
          <w:szCs w:val="21"/>
          <w:highlight w:val="none"/>
        </w:rPr>
        <w:t>位</w:t>
      </w:r>
      <w:r>
        <w:rPr>
          <w:rFonts w:hint="eastAsia" w:ascii="宋体" w:hAnsi="宋体" w:cs="宋体"/>
          <w:color w:val="auto"/>
          <w:spacing w:val="-2"/>
          <w:kern w:val="0"/>
          <w:szCs w:val="21"/>
          <w:highlight w:val="none"/>
        </w:rPr>
        <w:t>负</w:t>
      </w:r>
      <w:r>
        <w:rPr>
          <w:rFonts w:hint="eastAsia" w:ascii="宋体" w:hAnsi="宋体" w:cs="宋体"/>
          <w:color w:val="auto"/>
          <w:kern w:val="0"/>
          <w:szCs w:val="21"/>
          <w:highlight w:val="none"/>
        </w:rPr>
        <w:t>责人</w:t>
      </w:r>
      <w:r>
        <w:rPr>
          <w:rFonts w:hint="eastAsia" w:ascii="宋体" w:hAnsi="宋体" w:cs="宋体"/>
          <w:color w:val="auto"/>
          <w:spacing w:val="-2"/>
          <w:kern w:val="0"/>
          <w:szCs w:val="21"/>
          <w:highlight w:val="none"/>
        </w:rPr>
        <w:t>）</w:t>
      </w:r>
      <w:r>
        <w:rPr>
          <w:rFonts w:hint="eastAsia" w:ascii="宋体" w:hAnsi="宋体" w:cs="宋体"/>
          <w:color w:val="auto"/>
          <w:szCs w:val="21"/>
          <w:highlight w:val="none"/>
        </w:rPr>
        <w:t>或其授权的代理人（签字或印章）：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_</w:t>
      </w:r>
    </w:p>
    <w:p w14:paraId="6A4288AF">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86C5D5A">
      <w:pPr>
        <w:adjustRightInd w:val="0"/>
        <w:snapToGrid w:val="0"/>
        <w:spacing w:line="360" w:lineRule="auto"/>
        <w:rPr>
          <w:rFonts w:ascii="宋体" w:hAnsi="宋体" w:cs="宋体"/>
          <w:color w:val="auto"/>
          <w:szCs w:val="21"/>
          <w:highlight w:val="none"/>
        </w:rPr>
      </w:pPr>
    </w:p>
    <w:p w14:paraId="757A770D">
      <w:pPr>
        <w:adjustRightInd w:val="0"/>
        <w:snapToGrid w:val="0"/>
        <w:spacing w:line="360" w:lineRule="auto"/>
        <w:rPr>
          <w:rFonts w:ascii="宋体" w:hAnsi="宋体" w:cs="宋体"/>
          <w:color w:val="auto"/>
          <w:sz w:val="28"/>
          <w:szCs w:val="28"/>
          <w:highlight w:val="none"/>
        </w:rPr>
        <w:sectPr>
          <w:headerReference r:id="rId10" w:type="default"/>
          <w:footerReference r:id="rId11" w:type="default"/>
          <w:pgSz w:w="11905" w:h="16838"/>
          <w:pgMar w:top="1440" w:right="1587" w:bottom="1440" w:left="1587" w:header="1020" w:footer="567" w:gutter="0"/>
          <w:pgBorders>
            <w:top w:val="none" w:sz="0" w:space="0"/>
            <w:left w:val="none" w:sz="0" w:space="0"/>
            <w:bottom w:val="none" w:sz="0" w:space="0"/>
            <w:right w:val="none" w:sz="0" w:space="0"/>
          </w:pgBorders>
          <w:cols w:space="0" w:num="1"/>
          <w:rtlGutter w:val="0"/>
          <w:docGrid w:type="lines" w:linePitch="323" w:charSpace="0"/>
        </w:sectPr>
      </w:pPr>
    </w:p>
    <w:bookmarkEnd w:id="123"/>
    <w:p w14:paraId="5F80409A">
      <w:pPr>
        <w:pStyle w:val="6"/>
        <w:adjustRightInd w:val="0"/>
        <w:snapToGrid w:val="0"/>
        <w:spacing w:before="0"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附件 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-2 采购需求偏离表</w:t>
      </w:r>
    </w:p>
    <w:p w14:paraId="51EB6625">
      <w:pPr>
        <w:adjustRightInd w:val="0"/>
        <w:snapToGrid w:val="0"/>
        <w:spacing w:line="360" w:lineRule="auto"/>
        <w:ind w:left="-88" w:leftChars="-42"/>
        <w:rPr>
          <w:rFonts w:ascii="宋体" w:hAnsi="宋体" w:cs="宋体"/>
          <w:color w:val="auto"/>
          <w:sz w:val="28"/>
          <w:szCs w:val="28"/>
          <w:highlight w:val="none"/>
        </w:rPr>
      </w:pPr>
    </w:p>
    <w:p w14:paraId="40946463">
      <w:pPr>
        <w:pStyle w:val="6"/>
        <w:adjustRightInd w:val="0"/>
        <w:snapToGrid w:val="0"/>
        <w:spacing w:before="0" w:after="0"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采购需求偏离表</w:t>
      </w:r>
    </w:p>
    <w:p w14:paraId="2921C61E">
      <w:pPr>
        <w:adjustRightInd w:val="0"/>
        <w:snapToGrid w:val="0"/>
        <w:spacing w:line="360" w:lineRule="auto"/>
        <w:ind w:left="-88" w:leftChars="-42"/>
        <w:jc w:val="center"/>
        <w:rPr>
          <w:rFonts w:ascii="宋体" w:hAnsi="宋体" w:cs="宋体"/>
          <w:color w:val="auto"/>
          <w:sz w:val="24"/>
          <w:highlight w:val="none"/>
        </w:rPr>
      </w:pPr>
    </w:p>
    <w:p w14:paraId="56515566">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9BE949C">
      <w:pPr>
        <w:adjustRightInd w:val="0"/>
        <w:snapToGrid w:val="0"/>
        <w:spacing w:beforeLines="50" w:line="360" w:lineRule="auto"/>
        <w:rPr>
          <w:rFonts w:ascii="宋体" w:hAnsi="宋体" w:cs="宋体"/>
          <w:color w:val="auto"/>
          <w:spacing w:val="28"/>
          <w:szCs w:val="21"/>
          <w:highlight w:val="none"/>
        </w:rPr>
      </w:pPr>
      <w:r>
        <w:rPr>
          <w:rFonts w:hint="eastAsia" w:ascii="宋体" w:hAnsi="宋体" w:cs="宋体"/>
          <w:color w:val="auto"/>
          <w:szCs w:val="21"/>
          <w:highlight w:val="none"/>
        </w:rPr>
        <w:t>包号：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包名称：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bl>
      <w:tblPr>
        <w:tblStyle w:val="45"/>
        <w:tblW w:w="90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37"/>
        <w:gridCol w:w="2410"/>
        <w:gridCol w:w="1985"/>
        <w:gridCol w:w="2126"/>
        <w:gridCol w:w="1756"/>
      </w:tblGrid>
      <w:tr w14:paraId="541B39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4" w:hRule="atLeast"/>
          <w:jc w:val="center"/>
        </w:trPr>
        <w:tc>
          <w:tcPr>
            <w:tcW w:w="737" w:type="dxa"/>
            <w:tcBorders>
              <w:tl2br w:val="nil"/>
              <w:tr2bl w:val="nil"/>
            </w:tcBorders>
            <w:noWrap/>
            <w:vAlign w:val="center"/>
          </w:tcPr>
          <w:p w14:paraId="795BAB94">
            <w:pPr>
              <w:adjustRightInd w:val="0"/>
              <w:snapToGrid w:val="0"/>
              <w:spacing w:before="50" w:line="360" w:lineRule="auto"/>
              <w:ind w:left="-88" w:leftChars="-42"/>
              <w:jc w:val="center"/>
              <w:rPr>
                <w:rFonts w:ascii="宋体" w:hAnsi="宋体" w:cs="宋体"/>
                <w:color w:val="auto"/>
                <w:szCs w:val="21"/>
                <w:highlight w:val="none"/>
              </w:rPr>
            </w:pPr>
            <w:r>
              <w:rPr>
                <w:rFonts w:hint="eastAsia" w:ascii="宋体" w:hAnsi="宋体" w:cs="宋体"/>
                <w:bCs/>
                <w:color w:val="auto"/>
                <w:szCs w:val="21"/>
                <w:highlight w:val="none"/>
              </w:rPr>
              <w:t>序</w:t>
            </w:r>
            <w:r>
              <w:rPr>
                <w:rFonts w:hint="eastAsia" w:ascii="宋体" w:hAnsi="宋体" w:cs="宋体"/>
                <w:color w:val="auto"/>
                <w:szCs w:val="21"/>
                <w:highlight w:val="none"/>
              </w:rPr>
              <w:t>号</w:t>
            </w:r>
          </w:p>
        </w:tc>
        <w:tc>
          <w:tcPr>
            <w:tcW w:w="2410" w:type="dxa"/>
            <w:tcBorders>
              <w:tl2br w:val="nil"/>
              <w:tr2bl w:val="nil"/>
            </w:tcBorders>
            <w:noWrap/>
            <w:vAlign w:val="center"/>
          </w:tcPr>
          <w:p w14:paraId="0591D3B7">
            <w:pPr>
              <w:adjustRightInd w:val="0"/>
              <w:snapToGrid w:val="0"/>
              <w:spacing w:before="50" w:line="360" w:lineRule="auto"/>
              <w:ind w:left="-88" w:leftChars="-42"/>
              <w:jc w:val="center"/>
              <w:rPr>
                <w:rFonts w:ascii="宋体" w:hAnsi="宋体" w:cs="宋体"/>
                <w:color w:val="auto"/>
                <w:szCs w:val="21"/>
                <w:highlight w:val="none"/>
              </w:rPr>
            </w:pPr>
            <w:r>
              <w:rPr>
                <w:rFonts w:hint="eastAsia" w:ascii="宋体" w:hAnsi="宋体" w:cs="宋体"/>
                <w:color w:val="auto"/>
                <w:szCs w:val="21"/>
                <w:highlight w:val="none"/>
              </w:rPr>
              <w:t>招标文件章节</w:t>
            </w:r>
            <w:r>
              <w:rPr>
                <w:rFonts w:hint="eastAsia" w:ascii="宋体" w:hAnsi="宋体" w:cs="宋体"/>
                <w:bCs/>
                <w:color w:val="auto"/>
                <w:szCs w:val="21"/>
                <w:highlight w:val="none"/>
              </w:rPr>
              <w:t>条</w:t>
            </w:r>
            <w:r>
              <w:rPr>
                <w:rFonts w:hint="eastAsia" w:ascii="宋体" w:hAnsi="宋体" w:cs="宋体"/>
                <w:color w:val="auto"/>
                <w:szCs w:val="21"/>
                <w:highlight w:val="none"/>
              </w:rPr>
              <w:t>款号</w:t>
            </w:r>
          </w:p>
        </w:tc>
        <w:tc>
          <w:tcPr>
            <w:tcW w:w="1985" w:type="dxa"/>
            <w:tcBorders>
              <w:tl2br w:val="nil"/>
              <w:tr2bl w:val="nil"/>
            </w:tcBorders>
            <w:noWrap/>
          </w:tcPr>
          <w:p w14:paraId="761B371C">
            <w:pPr>
              <w:adjustRightInd w:val="0"/>
              <w:snapToGrid w:val="0"/>
              <w:spacing w:before="50" w:line="360" w:lineRule="auto"/>
              <w:jc w:val="center"/>
              <w:rPr>
                <w:rFonts w:ascii="宋体" w:hAnsi="宋体" w:cs="宋体"/>
                <w:color w:val="auto"/>
                <w:highlight w:val="none"/>
              </w:rPr>
            </w:pPr>
            <w:r>
              <w:rPr>
                <w:rFonts w:hint="eastAsia" w:ascii="宋体" w:hAnsi="宋体" w:cs="宋体"/>
                <w:color w:val="auto"/>
                <w:highlight w:val="none"/>
              </w:rPr>
              <w:t>招标文件要求</w:t>
            </w:r>
          </w:p>
        </w:tc>
        <w:tc>
          <w:tcPr>
            <w:tcW w:w="2126" w:type="dxa"/>
            <w:tcBorders>
              <w:tl2br w:val="nil"/>
              <w:tr2bl w:val="nil"/>
            </w:tcBorders>
            <w:noWrap/>
          </w:tcPr>
          <w:p w14:paraId="350C4D42">
            <w:pPr>
              <w:adjustRightInd w:val="0"/>
              <w:snapToGrid w:val="0"/>
              <w:spacing w:before="50" w:line="360" w:lineRule="auto"/>
              <w:jc w:val="center"/>
              <w:rPr>
                <w:rFonts w:ascii="宋体" w:hAnsi="宋体" w:cs="宋体"/>
                <w:color w:val="auto"/>
                <w:highlight w:val="none"/>
              </w:rPr>
            </w:pPr>
            <w:r>
              <w:rPr>
                <w:rFonts w:hint="eastAsia" w:ascii="宋体" w:hAnsi="宋体" w:cs="宋体"/>
                <w:color w:val="auto"/>
                <w:highlight w:val="none"/>
              </w:rPr>
              <w:t>投标文件应答</w:t>
            </w:r>
          </w:p>
        </w:tc>
        <w:tc>
          <w:tcPr>
            <w:tcW w:w="1756" w:type="dxa"/>
            <w:tcBorders>
              <w:tl2br w:val="nil"/>
              <w:tr2bl w:val="nil"/>
            </w:tcBorders>
            <w:noWrap/>
            <w:vAlign w:val="center"/>
          </w:tcPr>
          <w:p w14:paraId="74ABECD3">
            <w:pPr>
              <w:adjustRightInd w:val="0"/>
              <w:snapToGrid w:val="0"/>
              <w:spacing w:before="50" w:line="360" w:lineRule="auto"/>
              <w:ind w:left="-88" w:leftChars="-42"/>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080368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7" w:hRule="atLeast"/>
          <w:jc w:val="center"/>
        </w:trPr>
        <w:tc>
          <w:tcPr>
            <w:tcW w:w="737" w:type="dxa"/>
            <w:tcBorders>
              <w:tl2br w:val="nil"/>
              <w:tr2bl w:val="nil"/>
            </w:tcBorders>
            <w:noWrap/>
            <w:vAlign w:val="center"/>
          </w:tcPr>
          <w:p w14:paraId="2DC8E787">
            <w:pPr>
              <w:adjustRightInd w:val="0"/>
              <w:snapToGrid w:val="0"/>
              <w:spacing w:before="50" w:line="360" w:lineRule="auto"/>
              <w:ind w:left="-88" w:leftChars="-42"/>
              <w:jc w:val="center"/>
              <w:rPr>
                <w:rFonts w:ascii="宋体" w:hAnsi="宋体" w:cs="宋体"/>
                <w:color w:val="auto"/>
                <w:szCs w:val="21"/>
                <w:highlight w:val="none"/>
              </w:rPr>
            </w:pPr>
          </w:p>
        </w:tc>
        <w:tc>
          <w:tcPr>
            <w:tcW w:w="2410" w:type="dxa"/>
            <w:tcBorders>
              <w:tl2br w:val="nil"/>
              <w:tr2bl w:val="nil"/>
            </w:tcBorders>
            <w:noWrap/>
            <w:vAlign w:val="center"/>
          </w:tcPr>
          <w:p w14:paraId="32D898E4">
            <w:pPr>
              <w:adjustRightInd w:val="0"/>
              <w:snapToGrid w:val="0"/>
              <w:spacing w:before="50" w:line="360" w:lineRule="auto"/>
              <w:ind w:left="-88" w:leftChars="-42"/>
              <w:jc w:val="center"/>
              <w:rPr>
                <w:rFonts w:ascii="宋体" w:hAnsi="宋体" w:cs="宋体"/>
                <w:color w:val="auto"/>
                <w:szCs w:val="21"/>
                <w:highlight w:val="none"/>
              </w:rPr>
            </w:pPr>
          </w:p>
        </w:tc>
        <w:tc>
          <w:tcPr>
            <w:tcW w:w="1985" w:type="dxa"/>
            <w:tcBorders>
              <w:tl2br w:val="nil"/>
              <w:tr2bl w:val="nil"/>
            </w:tcBorders>
            <w:noWrap/>
            <w:vAlign w:val="center"/>
          </w:tcPr>
          <w:p w14:paraId="4FC1E8B5">
            <w:pPr>
              <w:adjustRightInd w:val="0"/>
              <w:snapToGrid w:val="0"/>
              <w:spacing w:before="50" w:line="360" w:lineRule="auto"/>
              <w:ind w:left="-88" w:leftChars="-42"/>
              <w:jc w:val="center"/>
              <w:rPr>
                <w:rFonts w:ascii="宋体" w:hAnsi="宋体" w:cs="宋体"/>
                <w:color w:val="auto"/>
                <w:szCs w:val="21"/>
                <w:highlight w:val="none"/>
              </w:rPr>
            </w:pPr>
          </w:p>
        </w:tc>
        <w:tc>
          <w:tcPr>
            <w:tcW w:w="2126" w:type="dxa"/>
            <w:tcBorders>
              <w:tl2br w:val="nil"/>
              <w:tr2bl w:val="nil"/>
            </w:tcBorders>
            <w:noWrap/>
            <w:vAlign w:val="center"/>
          </w:tcPr>
          <w:p w14:paraId="09803C42">
            <w:pPr>
              <w:adjustRightInd w:val="0"/>
              <w:snapToGrid w:val="0"/>
              <w:spacing w:before="50" w:line="360" w:lineRule="auto"/>
              <w:ind w:left="-88" w:leftChars="-42"/>
              <w:jc w:val="center"/>
              <w:rPr>
                <w:rFonts w:ascii="宋体" w:hAnsi="宋体" w:cs="宋体"/>
                <w:color w:val="auto"/>
                <w:szCs w:val="21"/>
                <w:highlight w:val="none"/>
              </w:rPr>
            </w:pPr>
          </w:p>
        </w:tc>
        <w:tc>
          <w:tcPr>
            <w:tcW w:w="1756" w:type="dxa"/>
            <w:tcBorders>
              <w:tl2br w:val="nil"/>
              <w:tr2bl w:val="nil"/>
            </w:tcBorders>
            <w:noWrap/>
            <w:vAlign w:val="center"/>
          </w:tcPr>
          <w:p w14:paraId="67FCDFC4">
            <w:pPr>
              <w:adjustRightInd w:val="0"/>
              <w:snapToGrid w:val="0"/>
              <w:spacing w:before="50" w:line="360" w:lineRule="auto"/>
              <w:ind w:left="-88" w:leftChars="-42"/>
              <w:jc w:val="center"/>
              <w:rPr>
                <w:rFonts w:ascii="宋体" w:hAnsi="宋体" w:cs="宋体"/>
                <w:color w:val="auto"/>
                <w:szCs w:val="21"/>
                <w:highlight w:val="none"/>
              </w:rPr>
            </w:pPr>
          </w:p>
        </w:tc>
      </w:tr>
      <w:tr w14:paraId="68C24D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737" w:type="dxa"/>
            <w:tcBorders>
              <w:tl2br w:val="nil"/>
              <w:tr2bl w:val="nil"/>
            </w:tcBorders>
            <w:noWrap/>
            <w:vAlign w:val="center"/>
          </w:tcPr>
          <w:p w14:paraId="7ED60084">
            <w:pPr>
              <w:adjustRightInd w:val="0"/>
              <w:snapToGrid w:val="0"/>
              <w:spacing w:before="50" w:line="360" w:lineRule="auto"/>
              <w:ind w:left="-88" w:leftChars="-42"/>
              <w:jc w:val="center"/>
              <w:rPr>
                <w:rFonts w:ascii="宋体" w:hAnsi="宋体" w:cs="宋体"/>
                <w:color w:val="auto"/>
                <w:szCs w:val="21"/>
                <w:highlight w:val="none"/>
              </w:rPr>
            </w:pPr>
          </w:p>
        </w:tc>
        <w:tc>
          <w:tcPr>
            <w:tcW w:w="2410" w:type="dxa"/>
            <w:tcBorders>
              <w:tl2br w:val="nil"/>
              <w:tr2bl w:val="nil"/>
            </w:tcBorders>
            <w:noWrap/>
            <w:vAlign w:val="center"/>
          </w:tcPr>
          <w:p w14:paraId="4AE217AB">
            <w:pPr>
              <w:adjustRightInd w:val="0"/>
              <w:snapToGrid w:val="0"/>
              <w:spacing w:before="50" w:line="360" w:lineRule="auto"/>
              <w:ind w:left="-88" w:leftChars="-42"/>
              <w:jc w:val="center"/>
              <w:rPr>
                <w:rFonts w:ascii="宋体" w:hAnsi="宋体" w:cs="宋体"/>
                <w:color w:val="auto"/>
                <w:szCs w:val="21"/>
                <w:highlight w:val="none"/>
              </w:rPr>
            </w:pPr>
          </w:p>
        </w:tc>
        <w:tc>
          <w:tcPr>
            <w:tcW w:w="1985" w:type="dxa"/>
            <w:tcBorders>
              <w:tl2br w:val="nil"/>
              <w:tr2bl w:val="nil"/>
            </w:tcBorders>
            <w:noWrap/>
            <w:vAlign w:val="center"/>
          </w:tcPr>
          <w:p w14:paraId="6545C062">
            <w:pPr>
              <w:adjustRightInd w:val="0"/>
              <w:snapToGrid w:val="0"/>
              <w:spacing w:before="50" w:line="360" w:lineRule="auto"/>
              <w:ind w:left="-88" w:leftChars="-42"/>
              <w:jc w:val="center"/>
              <w:rPr>
                <w:rFonts w:ascii="宋体" w:hAnsi="宋体" w:cs="宋体"/>
                <w:color w:val="auto"/>
                <w:szCs w:val="21"/>
                <w:highlight w:val="none"/>
              </w:rPr>
            </w:pPr>
          </w:p>
        </w:tc>
        <w:tc>
          <w:tcPr>
            <w:tcW w:w="2126" w:type="dxa"/>
            <w:tcBorders>
              <w:tl2br w:val="nil"/>
              <w:tr2bl w:val="nil"/>
            </w:tcBorders>
            <w:noWrap/>
            <w:vAlign w:val="center"/>
          </w:tcPr>
          <w:p w14:paraId="05D2F07C">
            <w:pPr>
              <w:adjustRightInd w:val="0"/>
              <w:snapToGrid w:val="0"/>
              <w:spacing w:before="50" w:line="360" w:lineRule="auto"/>
              <w:ind w:left="-88" w:leftChars="-42"/>
              <w:jc w:val="center"/>
              <w:rPr>
                <w:rFonts w:ascii="宋体" w:hAnsi="宋体" w:cs="宋体"/>
                <w:color w:val="auto"/>
                <w:szCs w:val="21"/>
                <w:highlight w:val="none"/>
              </w:rPr>
            </w:pPr>
          </w:p>
        </w:tc>
        <w:tc>
          <w:tcPr>
            <w:tcW w:w="1756" w:type="dxa"/>
            <w:tcBorders>
              <w:tl2br w:val="nil"/>
              <w:tr2bl w:val="nil"/>
            </w:tcBorders>
            <w:noWrap/>
            <w:vAlign w:val="center"/>
          </w:tcPr>
          <w:p w14:paraId="478D889B">
            <w:pPr>
              <w:adjustRightInd w:val="0"/>
              <w:snapToGrid w:val="0"/>
              <w:spacing w:before="50" w:line="360" w:lineRule="auto"/>
              <w:ind w:left="-88" w:leftChars="-42"/>
              <w:jc w:val="center"/>
              <w:rPr>
                <w:rFonts w:ascii="宋体" w:hAnsi="宋体" w:cs="宋体"/>
                <w:color w:val="auto"/>
                <w:szCs w:val="21"/>
                <w:highlight w:val="none"/>
              </w:rPr>
            </w:pPr>
          </w:p>
        </w:tc>
      </w:tr>
      <w:tr w14:paraId="25A5D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737" w:type="dxa"/>
            <w:tcBorders>
              <w:tl2br w:val="nil"/>
              <w:tr2bl w:val="nil"/>
            </w:tcBorders>
            <w:noWrap/>
            <w:vAlign w:val="center"/>
          </w:tcPr>
          <w:p w14:paraId="1C145C98">
            <w:pPr>
              <w:adjustRightInd w:val="0"/>
              <w:snapToGrid w:val="0"/>
              <w:spacing w:before="50" w:line="360" w:lineRule="auto"/>
              <w:ind w:left="-88" w:leftChars="-42"/>
              <w:jc w:val="center"/>
              <w:rPr>
                <w:rFonts w:ascii="宋体" w:hAnsi="宋体" w:cs="宋体"/>
                <w:color w:val="auto"/>
                <w:szCs w:val="21"/>
                <w:highlight w:val="none"/>
              </w:rPr>
            </w:pPr>
          </w:p>
        </w:tc>
        <w:tc>
          <w:tcPr>
            <w:tcW w:w="2410" w:type="dxa"/>
            <w:tcBorders>
              <w:tl2br w:val="nil"/>
              <w:tr2bl w:val="nil"/>
            </w:tcBorders>
            <w:noWrap/>
            <w:vAlign w:val="center"/>
          </w:tcPr>
          <w:p w14:paraId="6412CFCF">
            <w:pPr>
              <w:adjustRightInd w:val="0"/>
              <w:snapToGrid w:val="0"/>
              <w:spacing w:before="50" w:line="360" w:lineRule="auto"/>
              <w:ind w:left="-88" w:leftChars="-42"/>
              <w:jc w:val="center"/>
              <w:rPr>
                <w:rFonts w:ascii="宋体" w:hAnsi="宋体" w:cs="宋体"/>
                <w:color w:val="auto"/>
                <w:szCs w:val="21"/>
                <w:highlight w:val="none"/>
              </w:rPr>
            </w:pPr>
          </w:p>
        </w:tc>
        <w:tc>
          <w:tcPr>
            <w:tcW w:w="1985" w:type="dxa"/>
            <w:tcBorders>
              <w:tl2br w:val="nil"/>
              <w:tr2bl w:val="nil"/>
            </w:tcBorders>
            <w:noWrap/>
            <w:vAlign w:val="center"/>
          </w:tcPr>
          <w:p w14:paraId="58A4E6F2">
            <w:pPr>
              <w:adjustRightInd w:val="0"/>
              <w:snapToGrid w:val="0"/>
              <w:spacing w:before="50" w:line="360" w:lineRule="auto"/>
              <w:ind w:left="-88" w:leftChars="-42"/>
              <w:jc w:val="center"/>
              <w:rPr>
                <w:rFonts w:ascii="宋体" w:hAnsi="宋体" w:cs="宋体"/>
                <w:color w:val="auto"/>
                <w:szCs w:val="21"/>
                <w:highlight w:val="none"/>
              </w:rPr>
            </w:pPr>
          </w:p>
        </w:tc>
        <w:tc>
          <w:tcPr>
            <w:tcW w:w="2126" w:type="dxa"/>
            <w:tcBorders>
              <w:tl2br w:val="nil"/>
              <w:tr2bl w:val="nil"/>
            </w:tcBorders>
            <w:noWrap/>
            <w:vAlign w:val="center"/>
          </w:tcPr>
          <w:p w14:paraId="704DE08C">
            <w:pPr>
              <w:adjustRightInd w:val="0"/>
              <w:snapToGrid w:val="0"/>
              <w:spacing w:before="50" w:line="360" w:lineRule="auto"/>
              <w:ind w:left="-88" w:leftChars="-42"/>
              <w:jc w:val="center"/>
              <w:rPr>
                <w:rFonts w:ascii="宋体" w:hAnsi="宋体" w:cs="宋体"/>
                <w:color w:val="auto"/>
                <w:szCs w:val="21"/>
                <w:highlight w:val="none"/>
              </w:rPr>
            </w:pPr>
          </w:p>
        </w:tc>
        <w:tc>
          <w:tcPr>
            <w:tcW w:w="1756" w:type="dxa"/>
            <w:tcBorders>
              <w:tl2br w:val="nil"/>
              <w:tr2bl w:val="nil"/>
            </w:tcBorders>
            <w:noWrap/>
            <w:vAlign w:val="center"/>
          </w:tcPr>
          <w:p w14:paraId="5C9C09B8">
            <w:pPr>
              <w:adjustRightInd w:val="0"/>
              <w:snapToGrid w:val="0"/>
              <w:spacing w:before="50" w:line="360" w:lineRule="auto"/>
              <w:ind w:left="-88" w:leftChars="-42"/>
              <w:jc w:val="center"/>
              <w:rPr>
                <w:rFonts w:ascii="宋体" w:hAnsi="宋体" w:cs="宋体"/>
                <w:color w:val="auto"/>
                <w:szCs w:val="21"/>
                <w:highlight w:val="none"/>
              </w:rPr>
            </w:pPr>
          </w:p>
        </w:tc>
      </w:tr>
      <w:tr w14:paraId="2DAC62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737" w:type="dxa"/>
            <w:tcBorders>
              <w:tl2br w:val="nil"/>
              <w:tr2bl w:val="nil"/>
            </w:tcBorders>
            <w:noWrap/>
            <w:vAlign w:val="center"/>
          </w:tcPr>
          <w:p w14:paraId="2D8842F7">
            <w:pPr>
              <w:adjustRightInd w:val="0"/>
              <w:snapToGrid w:val="0"/>
              <w:spacing w:before="50" w:line="360" w:lineRule="auto"/>
              <w:ind w:left="-88" w:leftChars="-42"/>
              <w:jc w:val="center"/>
              <w:rPr>
                <w:rFonts w:ascii="宋体" w:hAnsi="宋体" w:cs="宋体"/>
                <w:color w:val="auto"/>
                <w:szCs w:val="21"/>
                <w:highlight w:val="none"/>
              </w:rPr>
            </w:pPr>
          </w:p>
        </w:tc>
        <w:tc>
          <w:tcPr>
            <w:tcW w:w="2410" w:type="dxa"/>
            <w:tcBorders>
              <w:tl2br w:val="nil"/>
              <w:tr2bl w:val="nil"/>
            </w:tcBorders>
            <w:noWrap/>
            <w:vAlign w:val="center"/>
          </w:tcPr>
          <w:p w14:paraId="7741719C">
            <w:pPr>
              <w:adjustRightInd w:val="0"/>
              <w:snapToGrid w:val="0"/>
              <w:spacing w:before="50" w:line="360" w:lineRule="auto"/>
              <w:ind w:left="-88" w:leftChars="-42"/>
              <w:jc w:val="center"/>
              <w:rPr>
                <w:rFonts w:ascii="宋体" w:hAnsi="宋体" w:cs="宋体"/>
                <w:color w:val="auto"/>
                <w:szCs w:val="21"/>
                <w:highlight w:val="none"/>
              </w:rPr>
            </w:pPr>
          </w:p>
        </w:tc>
        <w:tc>
          <w:tcPr>
            <w:tcW w:w="1985" w:type="dxa"/>
            <w:tcBorders>
              <w:tl2br w:val="nil"/>
              <w:tr2bl w:val="nil"/>
            </w:tcBorders>
            <w:noWrap/>
            <w:vAlign w:val="center"/>
          </w:tcPr>
          <w:p w14:paraId="594CDA1F">
            <w:pPr>
              <w:adjustRightInd w:val="0"/>
              <w:snapToGrid w:val="0"/>
              <w:spacing w:before="50" w:line="360" w:lineRule="auto"/>
              <w:ind w:left="-88" w:leftChars="-42"/>
              <w:jc w:val="center"/>
              <w:rPr>
                <w:rFonts w:ascii="宋体" w:hAnsi="宋体" w:cs="宋体"/>
                <w:color w:val="auto"/>
                <w:szCs w:val="21"/>
                <w:highlight w:val="none"/>
              </w:rPr>
            </w:pPr>
          </w:p>
        </w:tc>
        <w:tc>
          <w:tcPr>
            <w:tcW w:w="2126" w:type="dxa"/>
            <w:tcBorders>
              <w:tl2br w:val="nil"/>
              <w:tr2bl w:val="nil"/>
            </w:tcBorders>
            <w:noWrap/>
            <w:vAlign w:val="center"/>
          </w:tcPr>
          <w:p w14:paraId="2428F5E6">
            <w:pPr>
              <w:adjustRightInd w:val="0"/>
              <w:snapToGrid w:val="0"/>
              <w:spacing w:before="50" w:line="360" w:lineRule="auto"/>
              <w:ind w:left="-88" w:leftChars="-42"/>
              <w:jc w:val="center"/>
              <w:rPr>
                <w:rFonts w:ascii="宋体" w:hAnsi="宋体" w:cs="宋体"/>
                <w:color w:val="auto"/>
                <w:szCs w:val="21"/>
                <w:highlight w:val="none"/>
              </w:rPr>
            </w:pPr>
          </w:p>
        </w:tc>
        <w:tc>
          <w:tcPr>
            <w:tcW w:w="1756" w:type="dxa"/>
            <w:tcBorders>
              <w:tl2br w:val="nil"/>
              <w:tr2bl w:val="nil"/>
            </w:tcBorders>
            <w:noWrap/>
            <w:vAlign w:val="center"/>
          </w:tcPr>
          <w:p w14:paraId="3DBD85B0">
            <w:pPr>
              <w:adjustRightInd w:val="0"/>
              <w:snapToGrid w:val="0"/>
              <w:spacing w:before="50" w:line="360" w:lineRule="auto"/>
              <w:ind w:left="-88" w:leftChars="-42"/>
              <w:jc w:val="center"/>
              <w:rPr>
                <w:rFonts w:ascii="宋体" w:hAnsi="宋体" w:cs="宋体"/>
                <w:color w:val="auto"/>
                <w:szCs w:val="21"/>
                <w:highlight w:val="none"/>
              </w:rPr>
            </w:pPr>
          </w:p>
        </w:tc>
      </w:tr>
      <w:tr w14:paraId="05C03B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737" w:type="dxa"/>
            <w:tcBorders>
              <w:tl2br w:val="nil"/>
              <w:tr2bl w:val="nil"/>
            </w:tcBorders>
            <w:noWrap/>
            <w:vAlign w:val="center"/>
          </w:tcPr>
          <w:p w14:paraId="4A99786B">
            <w:pPr>
              <w:adjustRightInd w:val="0"/>
              <w:snapToGrid w:val="0"/>
              <w:spacing w:before="50" w:line="360" w:lineRule="auto"/>
              <w:ind w:left="-88" w:leftChars="-42"/>
              <w:jc w:val="center"/>
              <w:rPr>
                <w:rFonts w:ascii="宋体" w:hAnsi="宋体" w:cs="宋体"/>
                <w:color w:val="auto"/>
                <w:szCs w:val="21"/>
                <w:highlight w:val="none"/>
              </w:rPr>
            </w:pPr>
          </w:p>
        </w:tc>
        <w:tc>
          <w:tcPr>
            <w:tcW w:w="2410" w:type="dxa"/>
            <w:tcBorders>
              <w:tl2br w:val="nil"/>
              <w:tr2bl w:val="nil"/>
            </w:tcBorders>
            <w:noWrap/>
            <w:vAlign w:val="center"/>
          </w:tcPr>
          <w:p w14:paraId="5E503700">
            <w:pPr>
              <w:adjustRightInd w:val="0"/>
              <w:snapToGrid w:val="0"/>
              <w:spacing w:before="50" w:line="360" w:lineRule="auto"/>
              <w:ind w:left="-88" w:leftChars="-42"/>
              <w:jc w:val="center"/>
              <w:rPr>
                <w:rFonts w:ascii="宋体" w:hAnsi="宋体" w:cs="宋体"/>
                <w:color w:val="auto"/>
                <w:szCs w:val="21"/>
                <w:highlight w:val="none"/>
              </w:rPr>
            </w:pPr>
          </w:p>
        </w:tc>
        <w:tc>
          <w:tcPr>
            <w:tcW w:w="1985" w:type="dxa"/>
            <w:tcBorders>
              <w:tl2br w:val="nil"/>
              <w:tr2bl w:val="nil"/>
            </w:tcBorders>
            <w:noWrap/>
            <w:vAlign w:val="center"/>
          </w:tcPr>
          <w:p w14:paraId="34EFAF7E">
            <w:pPr>
              <w:adjustRightInd w:val="0"/>
              <w:snapToGrid w:val="0"/>
              <w:spacing w:before="50" w:line="360" w:lineRule="auto"/>
              <w:ind w:left="-88" w:leftChars="-42"/>
              <w:jc w:val="center"/>
              <w:rPr>
                <w:rFonts w:ascii="宋体" w:hAnsi="宋体" w:cs="宋体"/>
                <w:color w:val="auto"/>
                <w:szCs w:val="21"/>
                <w:highlight w:val="none"/>
              </w:rPr>
            </w:pPr>
          </w:p>
        </w:tc>
        <w:tc>
          <w:tcPr>
            <w:tcW w:w="3882" w:type="dxa"/>
            <w:gridSpan w:val="2"/>
            <w:tcBorders>
              <w:tl2br w:val="nil"/>
              <w:tr2bl w:val="nil"/>
            </w:tcBorders>
            <w:noWrap/>
            <w:vAlign w:val="center"/>
          </w:tcPr>
          <w:p w14:paraId="05ECA9D2">
            <w:pPr>
              <w:adjustRightInd w:val="0"/>
              <w:snapToGrid w:val="0"/>
              <w:spacing w:before="50" w:line="360" w:lineRule="auto"/>
              <w:ind w:firstLine="422" w:firstLineChars="200"/>
              <w:jc w:val="left"/>
              <w:rPr>
                <w:rFonts w:ascii="宋体" w:hAnsi="宋体" w:cs="宋体"/>
                <w:color w:val="auto"/>
                <w:szCs w:val="21"/>
                <w:highlight w:val="none"/>
              </w:rPr>
            </w:pPr>
            <w:r>
              <w:rPr>
                <w:rFonts w:hint="eastAsia" w:ascii="宋体" w:hAnsi="宋体" w:cs="宋体"/>
                <w:b/>
                <w:color w:val="auto"/>
                <w:szCs w:val="21"/>
                <w:highlight w:val="none"/>
              </w:rPr>
              <w:t>投标人保证：除本合同条款偏离表列出的偏离外，我单位对招标文件的其他商务、合同条款完全响应，无偏离。</w:t>
            </w:r>
          </w:p>
        </w:tc>
      </w:tr>
    </w:tbl>
    <w:p w14:paraId="3D4F6DF5">
      <w:pPr>
        <w:adjustRightInd w:val="0"/>
        <w:snapToGrid w:val="0"/>
        <w:spacing w:before="50" w:line="360" w:lineRule="auto"/>
        <w:ind w:left="-88" w:leftChars="-42"/>
        <w:rPr>
          <w:rFonts w:ascii="宋体" w:hAnsi="宋体" w:cs="宋体"/>
          <w:color w:val="auto"/>
          <w:szCs w:val="21"/>
          <w:highlight w:val="none"/>
        </w:rPr>
      </w:pPr>
      <w:r>
        <w:rPr>
          <w:rFonts w:hint="eastAsia" w:ascii="宋体" w:hAnsi="宋体" w:cs="宋体"/>
          <w:b/>
          <w:color w:val="auto"/>
          <w:szCs w:val="21"/>
          <w:highlight w:val="none"/>
        </w:rPr>
        <w:t>备注</w:t>
      </w:r>
      <w:r>
        <w:rPr>
          <w:rFonts w:hint="eastAsia" w:ascii="宋体" w:hAnsi="宋体" w:cs="宋体"/>
          <w:color w:val="auto"/>
          <w:szCs w:val="21"/>
          <w:highlight w:val="none"/>
        </w:rPr>
        <w:t>：（1）投标人应根据招标文件第五章“采购需求”填写本表；</w:t>
      </w:r>
    </w:p>
    <w:p w14:paraId="2E0E3F8B">
      <w:pPr>
        <w:adjustRightInd w:val="0"/>
        <w:snapToGrid w:val="0"/>
        <w:spacing w:before="50" w:line="360" w:lineRule="auto"/>
        <w:ind w:left="-88" w:leftChars="-42" w:firstLine="420" w:firstLineChars="200"/>
        <w:rPr>
          <w:rFonts w:ascii="宋体" w:hAnsi="宋体" w:cs="宋体"/>
          <w:b/>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投标人如果对招标文件第五章“采购需求”的响应有偏离，应将偏离条款逐条如实应答，并作出说明；</w:t>
      </w:r>
    </w:p>
    <w:p w14:paraId="69AE197E">
      <w:pPr>
        <w:adjustRightInd w:val="0"/>
        <w:snapToGrid w:val="0"/>
        <w:spacing w:before="50" w:line="360" w:lineRule="auto"/>
        <w:ind w:left="-88" w:leftChars="-42" w:firstLine="420" w:firstLineChars="200"/>
        <w:rPr>
          <w:rFonts w:ascii="宋体" w:hAnsi="宋体" w:cs="宋体"/>
          <w:color w:val="auto"/>
          <w:szCs w:val="21"/>
          <w:highlight w:val="none"/>
        </w:rPr>
      </w:pPr>
      <w:r>
        <w:rPr>
          <w:rFonts w:hint="eastAsia" w:ascii="宋体" w:hAnsi="宋体" w:cs="宋体"/>
          <w:color w:val="auto"/>
          <w:szCs w:val="21"/>
          <w:highlight w:val="none"/>
        </w:rPr>
        <w:t>（3）如不提供此表，则视为投标人不满足招标文件第五章的所有条款要求，其</w:t>
      </w:r>
      <w:r>
        <w:rPr>
          <w:rFonts w:hint="eastAsia" w:ascii="宋体" w:hAnsi="宋体" w:cs="宋体"/>
          <w:b/>
          <w:color w:val="auto"/>
          <w:szCs w:val="21"/>
          <w:highlight w:val="none"/>
        </w:rPr>
        <w:t>投标无效</w:t>
      </w:r>
      <w:r>
        <w:rPr>
          <w:rFonts w:hint="eastAsia" w:ascii="宋体" w:hAnsi="宋体" w:cs="宋体"/>
          <w:color w:val="auto"/>
          <w:szCs w:val="21"/>
          <w:highlight w:val="none"/>
        </w:rPr>
        <w:t>。</w:t>
      </w:r>
    </w:p>
    <w:p w14:paraId="0DE8C118">
      <w:pPr>
        <w:adjustRightInd w:val="0"/>
        <w:snapToGrid w:val="0"/>
        <w:spacing w:before="50" w:line="360" w:lineRule="auto"/>
        <w:ind w:left="-88" w:leftChars="-42" w:firstLine="420" w:firstLineChars="200"/>
        <w:rPr>
          <w:rFonts w:ascii="宋体" w:hAnsi="宋体" w:cs="宋体"/>
          <w:color w:val="auto"/>
          <w:szCs w:val="21"/>
          <w:highlight w:val="none"/>
        </w:rPr>
      </w:pPr>
      <w:r>
        <w:rPr>
          <w:rFonts w:hint="eastAsia" w:ascii="宋体" w:hAnsi="宋体" w:cs="宋体"/>
          <w:color w:val="auto"/>
          <w:szCs w:val="21"/>
          <w:highlight w:val="none"/>
        </w:rPr>
        <w:t>（4）在采购人与成交投标人签订合同时，如成交投标人未在投标文件“采购需求偏离表”中列出偏离说明，无论已发生或即将发生任何情形，均视为完全符合招标文件要求，并写入合同。若成交投标人在合同签订前，以上述事项为借口而不履行合同签订手续及执行合同，则视作拒绝与采购人签订合同。</w:t>
      </w:r>
    </w:p>
    <w:p w14:paraId="4812D71F">
      <w:pPr>
        <w:adjustRightInd w:val="0"/>
        <w:snapToGrid w:val="0"/>
        <w:spacing w:before="50" w:line="360" w:lineRule="auto"/>
        <w:rPr>
          <w:rFonts w:ascii="宋体" w:hAnsi="宋体" w:cs="宋体"/>
          <w:color w:val="auto"/>
          <w:szCs w:val="21"/>
          <w:highlight w:val="none"/>
        </w:rPr>
      </w:pPr>
    </w:p>
    <w:p w14:paraId="0D9F7872">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投标人名称（盖单位章）：</w:t>
      </w:r>
    </w:p>
    <w:p w14:paraId="3727DA2B">
      <w:pPr>
        <w:adjustRightInd w:val="0"/>
        <w:snapToGrid w:val="0"/>
        <w:spacing w:line="360" w:lineRule="auto"/>
        <w:rPr>
          <w:rFonts w:ascii="宋体" w:hAnsi="宋体" w:cs="宋体"/>
          <w:color w:val="auto"/>
          <w:szCs w:val="21"/>
          <w:highlight w:val="none"/>
        </w:rPr>
      </w:pPr>
      <w:r>
        <w:rPr>
          <w:rFonts w:hint="eastAsia" w:ascii="宋体" w:hAnsi="宋体" w:cs="宋体"/>
          <w:color w:val="auto"/>
          <w:spacing w:val="-2"/>
          <w:kern w:val="0"/>
          <w:szCs w:val="21"/>
          <w:highlight w:val="none"/>
        </w:rPr>
        <w:t>法</w:t>
      </w:r>
      <w:r>
        <w:rPr>
          <w:rFonts w:hint="eastAsia" w:ascii="宋体" w:hAnsi="宋体" w:cs="宋体"/>
          <w:color w:val="auto"/>
          <w:kern w:val="0"/>
          <w:szCs w:val="21"/>
          <w:highlight w:val="none"/>
        </w:rPr>
        <w:t>定</w:t>
      </w:r>
      <w:r>
        <w:rPr>
          <w:rFonts w:hint="eastAsia" w:ascii="宋体" w:hAnsi="宋体" w:cs="宋体"/>
          <w:color w:val="auto"/>
          <w:spacing w:val="-2"/>
          <w:kern w:val="0"/>
          <w:szCs w:val="21"/>
          <w:highlight w:val="none"/>
        </w:rPr>
        <w:t>代</w:t>
      </w:r>
      <w:r>
        <w:rPr>
          <w:rFonts w:hint="eastAsia" w:ascii="宋体" w:hAnsi="宋体" w:cs="宋体"/>
          <w:color w:val="auto"/>
          <w:kern w:val="0"/>
          <w:szCs w:val="21"/>
          <w:highlight w:val="none"/>
        </w:rPr>
        <w:t>表</w:t>
      </w:r>
      <w:r>
        <w:rPr>
          <w:rFonts w:hint="eastAsia" w:ascii="宋体" w:hAnsi="宋体" w:cs="宋体"/>
          <w:color w:val="auto"/>
          <w:spacing w:val="-2"/>
          <w:kern w:val="0"/>
          <w:szCs w:val="21"/>
          <w:highlight w:val="none"/>
        </w:rPr>
        <w:t>人</w:t>
      </w:r>
      <w:r>
        <w:rPr>
          <w:rFonts w:hint="eastAsia" w:ascii="宋体" w:hAnsi="宋体" w:cs="宋体"/>
          <w:color w:val="auto"/>
          <w:kern w:val="0"/>
          <w:szCs w:val="21"/>
          <w:highlight w:val="none"/>
        </w:rPr>
        <w:t>（</w:t>
      </w:r>
      <w:r>
        <w:rPr>
          <w:rFonts w:hint="eastAsia" w:ascii="宋体" w:hAnsi="宋体" w:cs="宋体"/>
          <w:color w:val="auto"/>
          <w:spacing w:val="-2"/>
          <w:kern w:val="0"/>
          <w:szCs w:val="21"/>
          <w:highlight w:val="none"/>
        </w:rPr>
        <w:t>单</w:t>
      </w:r>
      <w:r>
        <w:rPr>
          <w:rFonts w:hint="eastAsia" w:ascii="宋体" w:hAnsi="宋体" w:cs="宋体"/>
          <w:color w:val="auto"/>
          <w:kern w:val="0"/>
          <w:szCs w:val="21"/>
          <w:highlight w:val="none"/>
        </w:rPr>
        <w:t>位</w:t>
      </w:r>
      <w:r>
        <w:rPr>
          <w:rFonts w:hint="eastAsia" w:ascii="宋体" w:hAnsi="宋体" w:cs="宋体"/>
          <w:color w:val="auto"/>
          <w:spacing w:val="-2"/>
          <w:kern w:val="0"/>
          <w:szCs w:val="21"/>
          <w:highlight w:val="none"/>
        </w:rPr>
        <w:t>负</w:t>
      </w:r>
      <w:r>
        <w:rPr>
          <w:rFonts w:hint="eastAsia" w:ascii="宋体" w:hAnsi="宋体" w:cs="宋体"/>
          <w:color w:val="auto"/>
          <w:kern w:val="0"/>
          <w:szCs w:val="21"/>
          <w:highlight w:val="none"/>
        </w:rPr>
        <w:t>责人</w:t>
      </w:r>
      <w:r>
        <w:rPr>
          <w:rFonts w:hint="eastAsia" w:ascii="宋体" w:hAnsi="宋体" w:cs="宋体"/>
          <w:color w:val="auto"/>
          <w:spacing w:val="-2"/>
          <w:kern w:val="0"/>
          <w:szCs w:val="21"/>
          <w:highlight w:val="none"/>
        </w:rPr>
        <w:t>）</w:t>
      </w:r>
      <w:r>
        <w:rPr>
          <w:rFonts w:hint="eastAsia" w:ascii="宋体" w:hAnsi="宋体" w:cs="宋体"/>
          <w:color w:val="auto"/>
          <w:szCs w:val="21"/>
          <w:highlight w:val="none"/>
        </w:rPr>
        <w:t>或其授权的代理人（签字或印章）：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_</w:t>
      </w:r>
    </w:p>
    <w:p w14:paraId="12D275C1">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0CD7039">
      <w:pPr>
        <w:pStyle w:val="6"/>
        <w:adjustRightInd w:val="0"/>
        <w:snapToGrid w:val="0"/>
        <w:spacing w:before="0" w:after="0" w:line="360" w:lineRule="auto"/>
        <w:jc w:val="center"/>
        <w:rPr>
          <w:rFonts w:ascii="宋体" w:hAnsi="宋体" w:cs="宋体"/>
          <w:color w:val="auto"/>
          <w:szCs w:val="21"/>
          <w:highlight w:val="none"/>
        </w:rPr>
      </w:pPr>
      <w:r>
        <w:rPr>
          <w:rFonts w:hint="eastAsia" w:ascii="宋体" w:hAnsi="宋体" w:cs="宋体"/>
          <w:color w:val="auto"/>
          <w:szCs w:val="21"/>
          <w:highlight w:val="none"/>
        </w:rPr>
        <w:br w:type="page"/>
      </w:r>
      <w:bookmarkStart w:id="127" w:name="_Toc6946"/>
      <w:bookmarkStart w:id="128" w:name="_Toc3846"/>
      <w:bookmarkStart w:id="129" w:name="_Toc25311"/>
      <w:bookmarkStart w:id="130" w:name="_Toc32303"/>
    </w:p>
    <w:p w14:paraId="0C0885A8">
      <w:pPr>
        <w:pStyle w:val="6"/>
        <w:adjustRightInd w:val="0"/>
        <w:snapToGrid w:val="0"/>
        <w:spacing w:before="0"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附件 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-3 合同条款偏离表</w:t>
      </w:r>
    </w:p>
    <w:p w14:paraId="79B7F25D">
      <w:pPr>
        <w:pStyle w:val="6"/>
        <w:adjustRightInd w:val="0"/>
        <w:snapToGrid w:val="0"/>
        <w:spacing w:before="0" w:after="0" w:line="360" w:lineRule="auto"/>
        <w:jc w:val="center"/>
        <w:rPr>
          <w:rFonts w:ascii="宋体" w:hAnsi="宋体" w:cs="宋体"/>
          <w:color w:val="auto"/>
          <w:sz w:val="28"/>
          <w:szCs w:val="28"/>
          <w:highlight w:val="none"/>
        </w:rPr>
      </w:pPr>
    </w:p>
    <w:p w14:paraId="3D95AC14">
      <w:pPr>
        <w:pStyle w:val="6"/>
        <w:adjustRightInd w:val="0"/>
        <w:snapToGrid w:val="0"/>
        <w:spacing w:before="0" w:after="0"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合同条款偏离表</w:t>
      </w:r>
      <w:bookmarkEnd w:id="127"/>
      <w:bookmarkEnd w:id="128"/>
      <w:bookmarkEnd w:id="129"/>
      <w:bookmarkEnd w:id="130"/>
    </w:p>
    <w:p w14:paraId="64762EEF">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CD0AEC4">
      <w:pPr>
        <w:adjustRightInd w:val="0"/>
        <w:snapToGrid w:val="0"/>
        <w:spacing w:before="50" w:line="360" w:lineRule="auto"/>
        <w:rPr>
          <w:rFonts w:ascii="宋体" w:hAnsi="宋体" w:cs="宋体"/>
          <w:b/>
          <w:bCs/>
          <w:color w:val="auto"/>
          <w:szCs w:val="21"/>
          <w:highlight w:val="none"/>
          <w:u w:val="single"/>
        </w:rPr>
      </w:pPr>
      <w:r>
        <w:rPr>
          <w:rFonts w:hint="eastAsia" w:ascii="宋体" w:hAnsi="宋体" w:cs="宋体"/>
          <w:color w:val="auto"/>
          <w:szCs w:val="21"/>
          <w:highlight w:val="none"/>
        </w:rPr>
        <w:t>包号：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包名称：</w:t>
      </w:r>
      <w:r>
        <w:rPr>
          <w:rFonts w:hint="eastAsia" w:ascii="宋体" w:hAnsi="宋体" w:cs="宋体"/>
          <w:color w:val="auto"/>
          <w:szCs w:val="21"/>
          <w:highlight w:val="none"/>
          <w:u w:val="single"/>
        </w:rPr>
        <w:t xml:space="preserve">             </w:t>
      </w:r>
    </w:p>
    <w:tbl>
      <w:tblPr>
        <w:tblStyle w:val="45"/>
        <w:tblW w:w="90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95"/>
        <w:gridCol w:w="2410"/>
        <w:gridCol w:w="1985"/>
        <w:gridCol w:w="2082"/>
        <w:gridCol w:w="1942"/>
      </w:tblGrid>
      <w:tr w14:paraId="3E7A28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4" w:hRule="atLeast"/>
          <w:jc w:val="center"/>
        </w:trPr>
        <w:tc>
          <w:tcPr>
            <w:tcW w:w="595" w:type="dxa"/>
            <w:tcBorders>
              <w:tl2br w:val="nil"/>
              <w:tr2bl w:val="nil"/>
            </w:tcBorders>
            <w:noWrap/>
            <w:vAlign w:val="center"/>
          </w:tcPr>
          <w:p w14:paraId="4376797A">
            <w:pPr>
              <w:adjustRightInd w:val="0"/>
              <w:snapToGrid w:val="0"/>
              <w:spacing w:before="50" w:line="360" w:lineRule="auto"/>
              <w:ind w:left="-88" w:leftChars="-42"/>
              <w:jc w:val="center"/>
              <w:rPr>
                <w:rFonts w:ascii="宋体" w:hAnsi="宋体" w:cs="宋体"/>
                <w:color w:val="auto"/>
                <w:szCs w:val="21"/>
                <w:highlight w:val="none"/>
              </w:rPr>
            </w:pPr>
            <w:r>
              <w:rPr>
                <w:rFonts w:hint="eastAsia" w:ascii="宋体" w:hAnsi="宋体" w:cs="宋体"/>
                <w:bCs/>
                <w:color w:val="auto"/>
                <w:szCs w:val="21"/>
                <w:highlight w:val="none"/>
              </w:rPr>
              <w:t>序</w:t>
            </w:r>
            <w:r>
              <w:rPr>
                <w:rFonts w:hint="eastAsia" w:ascii="宋体" w:hAnsi="宋体" w:cs="宋体"/>
                <w:color w:val="auto"/>
                <w:szCs w:val="21"/>
                <w:highlight w:val="none"/>
              </w:rPr>
              <w:t>号</w:t>
            </w:r>
          </w:p>
        </w:tc>
        <w:tc>
          <w:tcPr>
            <w:tcW w:w="2410" w:type="dxa"/>
            <w:tcBorders>
              <w:tl2br w:val="nil"/>
              <w:tr2bl w:val="nil"/>
            </w:tcBorders>
            <w:noWrap/>
            <w:vAlign w:val="center"/>
          </w:tcPr>
          <w:p w14:paraId="048ACB77">
            <w:pPr>
              <w:adjustRightInd w:val="0"/>
              <w:snapToGrid w:val="0"/>
              <w:spacing w:before="50" w:line="360" w:lineRule="auto"/>
              <w:ind w:left="-88" w:leftChars="-42"/>
              <w:jc w:val="center"/>
              <w:rPr>
                <w:rFonts w:ascii="宋体" w:hAnsi="宋体" w:cs="宋体"/>
                <w:color w:val="auto"/>
                <w:szCs w:val="21"/>
                <w:highlight w:val="none"/>
              </w:rPr>
            </w:pPr>
            <w:r>
              <w:rPr>
                <w:rFonts w:hint="eastAsia" w:ascii="宋体" w:hAnsi="宋体" w:cs="宋体"/>
                <w:color w:val="auto"/>
                <w:szCs w:val="21"/>
                <w:highlight w:val="none"/>
              </w:rPr>
              <w:t>招标文件章节</w:t>
            </w:r>
            <w:r>
              <w:rPr>
                <w:rFonts w:hint="eastAsia" w:ascii="宋体" w:hAnsi="宋体" w:cs="宋体"/>
                <w:bCs/>
                <w:color w:val="auto"/>
                <w:szCs w:val="21"/>
                <w:highlight w:val="none"/>
              </w:rPr>
              <w:t>条</w:t>
            </w:r>
            <w:r>
              <w:rPr>
                <w:rFonts w:hint="eastAsia" w:ascii="宋体" w:hAnsi="宋体" w:cs="宋体"/>
                <w:color w:val="auto"/>
                <w:szCs w:val="21"/>
                <w:highlight w:val="none"/>
              </w:rPr>
              <w:t>款号</w:t>
            </w:r>
          </w:p>
        </w:tc>
        <w:tc>
          <w:tcPr>
            <w:tcW w:w="1985" w:type="dxa"/>
            <w:tcBorders>
              <w:tl2br w:val="nil"/>
              <w:tr2bl w:val="nil"/>
            </w:tcBorders>
            <w:noWrap/>
            <w:vAlign w:val="center"/>
          </w:tcPr>
          <w:p w14:paraId="38F86F4F">
            <w:pPr>
              <w:adjustRightInd w:val="0"/>
              <w:snapToGrid w:val="0"/>
              <w:spacing w:before="50" w:line="360" w:lineRule="auto"/>
              <w:ind w:left="-88" w:leftChars="-42"/>
              <w:jc w:val="center"/>
              <w:rPr>
                <w:rFonts w:ascii="宋体" w:hAnsi="宋体" w:cs="宋体"/>
                <w:color w:val="auto"/>
                <w:szCs w:val="21"/>
                <w:highlight w:val="none"/>
              </w:rPr>
            </w:pPr>
            <w:r>
              <w:rPr>
                <w:rFonts w:hint="eastAsia" w:ascii="宋体" w:hAnsi="宋体" w:cs="宋体"/>
                <w:color w:val="auto"/>
                <w:highlight w:val="none"/>
              </w:rPr>
              <w:t>招标文件要求</w:t>
            </w:r>
          </w:p>
        </w:tc>
        <w:tc>
          <w:tcPr>
            <w:tcW w:w="2082" w:type="dxa"/>
            <w:tcBorders>
              <w:tl2br w:val="nil"/>
              <w:tr2bl w:val="nil"/>
            </w:tcBorders>
            <w:noWrap/>
            <w:vAlign w:val="center"/>
          </w:tcPr>
          <w:p w14:paraId="301C854D">
            <w:pPr>
              <w:adjustRightInd w:val="0"/>
              <w:snapToGrid w:val="0"/>
              <w:spacing w:before="50" w:line="360" w:lineRule="auto"/>
              <w:jc w:val="center"/>
              <w:rPr>
                <w:rFonts w:ascii="宋体" w:hAnsi="宋体" w:cs="宋体"/>
                <w:color w:val="auto"/>
                <w:szCs w:val="21"/>
                <w:highlight w:val="none"/>
              </w:rPr>
            </w:pPr>
            <w:r>
              <w:rPr>
                <w:rFonts w:hint="eastAsia" w:ascii="宋体" w:hAnsi="宋体" w:cs="宋体"/>
                <w:color w:val="auto"/>
                <w:highlight w:val="none"/>
              </w:rPr>
              <w:t>投标文件的应答</w:t>
            </w:r>
          </w:p>
        </w:tc>
        <w:tc>
          <w:tcPr>
            <w:tcW w:w="1942" w:type="dxa"/>
            <w:tcBorders>
              <w:tl2br w:val="nil"/>
              <w:tr2bl w:val="nil"/>
            </w:tcBorders>
            <w:noWrap/>
            <w:vAlign w:val="center"/>
          </w:tcPr>
          <w:p w14:paraId="7F7E150D">
            <w:pPr>
              <w:adjustRightInd w:val="0"/>
              <w:snapToGrid w:val="0"/>
              <w:spacing w:before="50" w:line="360" w:lineRule="auto"/>
              <w:ind w:left="-88" w:leftChars="-42"/>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3CE5D5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595" w:type="dxa"/>
            <w:tcBorders>
              <w:tl2br w:val="nil"/>
              <w:tr2bl w:val="nil"/>
            </w:tcBorders>
            <w:noWrap/>
            <w:vAlign w:val="center"/>
          </w:tcPr>
          <w:p w14:paraId="54FDAB01">
            <w:pPr>
              <w:adjustRightInd w:val="0"/>
              <w:snapToGrid w:val="0"/>
              <w:spacing w:before="50" w:line="360" w:lineRule="auto"/>
              <w:ind w:left="-88" w:leftChars="-42"/>
              <w:jc w:val="center"/>
              <w:rPr>
                <w:rFonts w:ascii="宋体" w:hAnsi="宋体" w:cs="宋体"/>
                <w:color w:val="auto"/>
                <w:szCs w:val="21"/>
                <w:highlight w:val="none"/>
              </w:rPr>
            </w:pPr>
          </w:p>
        </w:tc>
        <w:tc>
          <w:tcPr>
            <w:tcW w:w="2410" w:type="dxa"/>
            <w:tcBorders>
              <w:tl2br w:val="nil"/>
              <w:tr2bl w:val="nil"/>
            </w:tcBorders>
            <w:noWrap/>
            <w:vAlign w:val="center"/>
          </w:tcPr>
          <w:p w14:paraId="0D94B571">
            <w:pPr>
              <w:adjustRightInd w:val="0"/>
              <w:snapToGrid w:val="0"/>
              <w:spacing w:before="50" w:line="360" w:lineRule="auto"/>
              <w:ind w:left="-88" w:leftChars="-42"/>
              <w:jc w:val="center"/>
              <w:rPr>
                <w:rFonts w:ascii="宋体" w:hAnsi="宋体" w:cs="宋体"/>
                <w:color w:val="auto"/>
                <w:szCs w:val="21"/>
                <w:highlight w:val="none"/>
              </w:rPr>
            </w:pPr>
          </w:p>
        </w:tc>
        <w:tc>
          <w:tcPr>
            <w:tcW w:w="1985" w:type="dxa"/>
            <w:tcBorders>
              <w:tl2br w:val="nil"/>
              <w:tr2bl w:val="nil"/>
            </w:tcBorders>
            <w:noWrap/>
          </w:tcPr>
          <w:p w14:paraId="14352052">
            <w:pPr>
              <w:adjustRightInd w:val="0"/>
              <w:snapToGrid w:val="0"/>
              <w:spacing w:before="50" w:line="360" w:lineRule="auto"/>
              <w:rPr>
                <w:rFonts w:ascii="宋体" w:hAnsi="宋体" w:cs="宋体"/>
                <w:color w:val="auto"/>
                <w:highlight w:val="none"/>
              </w:rPr>
            </w:pPr>
          </w:p>
        </w:tc>
        <w:tc>
          <w:tcPr>
            <w:tcW w:w="2082" w:type="dxa"/>
            <w:tcBorders>
              <w:tl2br w:val="nil"/>
              <w:tr2bl w:val="nil"/>
            </w:tcBorders>
            <w:noWrap/>
          </w:tcPr>
          <w:p w14:paraId="115DDAD4">
            <w:pPr>
              <w:adjustRightInd w:val="0"/>
              <w:snapToGrid w:val="0"/>
              <w:spacing w:before="50" w:line="360" w:lineRule="auto"/>
              <w:rPr>
                <w:rFonts w:ascii="宋体" w:hAnsi="宋体" w:cs="宋体"/>
                <w:color w:val="auto"/>
                <w:highlight w:val="none"/>
              </w:rPr>
            </w:pPr>
          </w:p>
        </w:tc>
        <w:tc>
          <w:tcPr>
            <w:tcW w:w="1942" w:type="dxa"/>
            <w:tcBorders>
              <w:tl2br w:val="nil"/>
              <w:tr2bl w:val="nil"/>
            </w:tcBorders>
            <w:noWrap/>
          </w:tcPr>
          <w:p w14:paraId="1269C710">
            <w:pPr>
              <w:adjustRightInd w:val="0"/>
              <w:snapToGrid w:val="0"/>
              <w:spacing w:before="50" w:line="360" w:lineRule="auto"/>
              <w:ind w:left="-88" w:leftChars="-42"/>
              <w:jc w:val="center"/>
              <w:rPr>
                <w:rFonts w:ascii="宋体" w:hAnsi="宋体" w:cs="宋体"/>
                <w:color w:val="auto"/>
                <w:szCs w:val="21"/>
                <w:highlight w:val="none"/>
              </w:rPr>
            </w:pPr>
          </w:p>
        </w:tc>
      </w:tr>
      <w:tr w14:paraId="1E2BA0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595" w:type="dxa"/>
            <w:tcBorders>
              <w:tl2br w:val="nil"/>
              <w:tr2bl w:val="nil"/>
            </w:tcBorders>
            <w:noWrap/>
            <w:vAlign w:val="center"/>
          </w:tcPr>
          <w:p w14:paraId="0A8D6E62">
            <w:pPr>
              <w:adjustRightInd w:val="0"/>
              <w:snapToGrid w:val="0"/>
              <w:spacing w:before="50" w:line="360" w:lineRule="auto"/>
              <w:ind w:left="-88" w:leftChars="-42"/>
              <w:jc w:val="center"/>
              <w:rPr>
                <w:rFonts w:ascii="宋体" w:hAnsi="宋体" w:cs="宋体"/>
                <w:color w:val="auto"/>
                <w:szCs w:val="21"/>
                <w:highlight w:val="none"/>
              </w:rPr>
            </w:pPr>
          </w:p>
        </w:tc>
        <w:tc>
          <w:tcPr>
            <w:tcW w:w="2410" w:type="dxa"/>
            <w:tcBorders>
              <w:tl2br w:val="nil"/>
              <w:tr2bl w:val="nil"/>
            </w:tcBorders>
            <w:noWrap/>
            <w:vAlign w:val="center"/>
          </w:tcPr>
          <w:p w14:paraId="622A80F2">
            <w:pPr>
              <w:adjustRightInd w:val="0"/>
              <w:snapToGrid w:val="0"/>
              <w:spacing w:before="50" w:line="360" w:lineRule="auto"/>
              <w:ind w:left="-88" w:leftChars="-42"/>
              <w:jc w:val="center"/>
              <w:rPr>
                <w:rFonts w:ascii="宋体" w:hAnsi="宋体" w:cs="宋体"/>
                <w:color w:val="auto"/>
                <w:szCs w:val="21"/>
                <w:highlight w:val="none"/>
              </w:rPr>
            </w:pPr>
          </w:p>
        </w:tc>
        <w:tc>
          <w:tcPr>
            <w:tcW w:w="1985" w:type="dxa"/>
            <w:tcBorders>
              <w:tl2br w:val="nil"/>
              <w:tr2bl w:val="nil"/>
            </w:tcBorders>
            <w:noWrap/>
            <w:vAlign w:val="center"/>
          </w:tcPr>
          <w:p w14:paraId="58577141">
            <w:pPr>
              <w:adjustRightInd w:val="0"/>
              <w:snapToGrid w:val="0"/>
              <w:spacing w:before="50" w:line="360" w:lineRule="auto"/>
              <w:ind w:left="-88" w:leftChars="-42"/>
              <w:jc w:val="center"/>
              <w:rPr>
                <w:rFonts w:ascii="宋体" w:hAnsi="宋体" w:cs="宋体"/>
                <w:color w:val="auto"/>
                <w:szCs w:val="21"/>
                <w:highlight w:val="none"/>
              </w:rPr>
            </w:pPr>
          </w:p>
        </w:tc>
        <w:tc>
          <w:tcPr>
            <w:tcW w:w="2082" w:type="dxa"/>
            <w:tcBorders>
              <w:tl2br w:val="nil"/>
              <w:tr2bl w:val="nil"/>
            </w:tcBorders>
            <w:noWrap/>
            <w:vAlign w:val="center"/>
          </w:tcPr>
          <w:p w14:paraId="62290BE7">
            <w:pPr>
              <w:adjustRightInd w:val="0"/>
              <w:snapToGrid w:val="0"/>
              <w:spacing w:before="50" w:line="360" w:lineRule="auto"/>
              <w:ind w:left="-88" w:leftChars="-42"/>
              <w:jc w:val="center"/>
              <w:rPr>
                <w:rFonts w:ascii="宋体" w:hAnsi="宋体" w:cs="宋体"/>
                <w:color w:val="auto"/>
                <w:szCs w:val="21"/>
                <w:highlight w:val="none"/>
              </w:rPr>
            </w:pPr>
          </w:p>
        </w:tc>
        <w:tc>
          <w:tcPr>
            <w:tcW w:w="1942" w:type="dxa"/>
            <w:tcBorders>
              <w:tl2br w:val="nil"/>
              <w:tr2bl w:val="nil"/>
            </w:tcBorders>
            <w:noWrap/>
            <w:vAlign w:val="center"/>
          </w:tcPr>
          <w:p w14:paraId="7203C3E9">
            <w:pPr>
              <w:adjustRightInd w:val="0"/>
              <w:snapToGrid w:val="0"/>
              <w:spacing w:before="50" w:line="360" w:lineRule="auto"/>
              <w:ind w:left="-88" w:leftChars="-42"/>
              <w:jc w:val="center"/>
              <w:rPr>
                <w:rFonts w:ascii="宋体" w:hAnsi="宋体" w:cs="宋体"/>
                <w:color w:val="auto"/>
                <w:szCs w:val="21"/>
                <w:highlight w:val="none"/>
              </w:rPr>
            </w:pPr>
          </w:p>
        </w:tc>
      </w:tr>
      <w:tr w14:paraId="70E1E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595" w:type="dxa"/>
            <w:tcBorders>
              <w:tl2br w:val="nil"/>
              <w:tr2bl w:val="nil"/>
            </w:tcBorders>
            <w:noWrap/>
            <w:vAlign w:val="center"/>
          </w:tcPr>
          <w:p w14:paraId="5C9B903F">
            <w:pPr>
              <w:adjustRightInd w:val="0"/>
              <w:snapToGrid w:val="0"/>
              <w:spacing w:before="50" w:line="360" w:lineRule="auto"/>
              <w:ind w:left="-88" w:leftChars="-42"/>
              <w:jc w:val="center"/>
              <w:rPr>
                <w:rFonts w:ascii="宋体" w:hAnsi="宋体" w:cs="宋体"/>
                <w:color w:val="auto"/>
                <w:szCs w:val="21"/>
                <w:highlight w:val="none"/>
              </w:rPr>
            </w:pPr>
          </w:p>
        </w:tc>
        <w:tc>
          <w:tcPr>
            <w:tcW w:w="2410" w:type="dxa"/>
            <w:tcBorders>
              <w:tl2br w:val="nil"/>
              <w:tr2bl w:val="nil"/>
            </w:tcBorders>
            <w:noWrap/>
            <w:vAlign w:val="center"/>
          </w:tcPr>
          <w:p w14:paraId="796D24E5">
            <w:pPr>
              <w:adjustRightInd w:val="0"/>
              <w:snapToGrid w:val="0"/>
              <w:spacing w:before="50" w:line="360" w:lineRule="auto"/>
              <w:ind w:left="-88" w:leftChars="-42"/>
              <w:jc w:val="center"/>
              <w:rPr>
                <w:rFonts w:ascii="宋体" w:hAnsi="宋体" w:cs="宋体"/>
                <w:color w:val="auto"/>
                <w:szCs w:val="21"/>
                <w:highlight w:val="none"/>
              </w:rPr>
            </w:pPr>
          </w:p>
        </w:tc>
        <w:tc>
          <w:tcPr>
            <w:tcW w:w="1985" w:type="dxa"/>
            <w:tcBorders>
              <w:tl2br w:val="nil"/>
              <w:tr2bl w:val="nil"/>
            </w:tcBorders>
            <w:noWrap/>
            <w:vAlign w:val="center"/>
          </w:tcPr>
          <w:p w14:paraId="06959B70">
            <w:pPr>
              <w:adjustRightInd w:val="0"/>
              <w:snapToGrid w:val="0"/>
              <w:spacing w:before="50" w:line="360" w:lineRule="auto"/>
              <w:ind w:left="-88" w:leftChars="-42"/>
              <w:jc w:val="center"/>
              <w:rPr>
                <w:rFonts w:ascii="宋体" w:hAnsi="宋体" w:cs="宋体"/>
                <w:color w:val="auto"/>
                <w:szCs w:val="21"/>
                <w:highlight w:val="none"/>
              </w:rPr>
            </w:pPr>
          </w:p>
        </w:tc>
        <w:tc>
          <w:tcPr>
            <w:tcW w:w="2082" w:type="dxa"/>
            <w:tcBorders>
              <w:tl2br w:val="nil"/>
              <w:tr2bl w:val="nil"/>
            </w:tcBorders>
            <w:noWrap/>
            <w:vAlign w:val="center"/>
          </w:tcPr>
          <w:p w14:paraId="47157353">
            <w:pPr>
              <w:adjustRightInd w:val="0"/>
              <w:snapToGrid w:val="0"/>
              <w:spacing w:before="50" w:line="360" w:lineRule="auto"/>
              <w:ind w:left="-88" w:leftChars="-42"/>
              <w:jc w:val="center"/>
              <w:rPr>
                <w:rFonts w:ascii="宋体" w:hAnsi="宋体" w:cs="宋体"/>
                <w:color w:val="auto"/>
                <w:szCs w:val="21"/>
                <w:highlight w:val="none"/>
              </w:rPr>
            </w:pPr>
          </w:p>
        </w:tc>
        <w:tc>
          <w:tcPr>
            <w:tcW w:w="1942" w:type="dxa"/>
            <w:tcBorders>
              <w:tl2br w:val="nil"/>
              <w:tr2bl w:val="nil"/>
            </w:tcBorders>
            <w:noWrap/>
            <w:vAlign w:val="center"/>
          </w:tcPr>
          <w:p w14:paraId="7387259E">
            <w:pPr>
              <w:adjustRightInd w:val="0"/>
              <w:snapToGrid w:val="0"/>
              <w:spacing w:before="50" w:line="360" w:lineRule="auto"/>
              <w:ind w:left="-88" w:leftChars="-42"/>
              <w:jc w:val="center"/>
              <w:rPr>
                <w:rFonts w:ascii="宋体" w:hAnsi="宋体" w:cs="宋体"/>
                <w:color w:val="auto"/>
                <w:szCs w:val="21"/>
                <w:highlight w:val="none"/>
              </w:rPr>
            </w:pPr>
          </w:p>
        </w:tc>
      </w:tr>
      <w:tr w14:paraId="716B12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595" w:type="dxa"/>
            <w:tcBorders>
              <w:tl2br w:val="nil"/>
              <w:tr2bl w:val="nil"/>
            </w:tcBorders>
            <w:noWrap/>
            <w:vAlign w:val="center"/>
          </w:tcPr>
          <w:p w14:paraId="1F78DD93">
            <w:pPr>
              <w:adjustRightInd w:val="0"/>
              <w:snapToGrid w:val="0"/>
              <w:spacing w:before="50" w:line="360" w:lineRule="auto"/>
              <w:ind w:left="-88" w:leftChars="-42"/>
              <w:jc w:val="center"/>
              <w:rPr>
                <w:rFonts w:ascii="宋体" w:hAnsi="宋体" w:cs="宋体"/>
                <w:color w:val="auto"/>
                <w:szCs w:val="21"/>
                <w:highlight w:val="none"/>
              </w:rPr>
            </w:pPr>
          </w:p>
        </w:tc>
        <w:tc>
          <w:tcPr>
            <w:tcW w:w="2410" w:type="dxa"/>
            <w:tcBorders>
              <w:tl2br w:val="nil"/>
              <w:tr2bl w:val="nil"/>
            </w:tcBorders>
            <w:noWrap/>
            <w:vAlign w:val="center"/>
          </w:tcPr>
          <w:p w14:paraId="71CE00CD">
            <w:pPr>
              <w:adjustRightInd w:val="0"/>
              <w:snapToGrid w:val="0"/>
              <w:spacing w:before="50" w:line="360" w:lineRule="auto"/>
              <w:ind w:left="-88" w:leftChars="-42"/>
              <w:jc w:val="center"/>
              <w:rPr>
                <w:rFonts w:ascii="宋体" w:hAnsi="宋体" w:cs="宋体"/>
                <w:color w:val="auto"/>
                <w:szCs w:val="21"/>
                <w:highlight w:val="none"/>
              </w:rPr>
            </w:pPr>
          </w:p>
        </w:tc>
        <w:tc>
          <w:tcPr>
            <w:tcW w:w="1985" w:type="dxa"/>
            <w:tcBorders>
              <w:tl2br w:val="nil"/>
              <w:tr2bl w:val="nil"/>
            </w:tcBorders>
            <w:noWrap/>
            <w:vAlign w:val="center"/>
          </w:tcPr>
          <w:p w14:paraId="5DBEFB87">
            <w:pPr>
              <w:adjustRightInd w:val="0"/>
              <w:snapToGrid w:val="0"/>
              <w:spacing w:before="50" w:line="360" w:lineRule="auto"/>
              <w:ind w:left="-88" w:leftChars="-42"/>
              <w:jc w:val="center"/>
              <w:rPr>
                <w:rFonts w:ascii="宋体" w:hAnsi="宋体" w:cs="宋体"/>
                <w:color w:val="auto"/>
                <w:szCs w:val="21"/>
                <w:highlight w:val="none"/>
              </w:rPr>
            </w:pPr>
          </w:p>
        </w:tc>
        <w:tc>
          <w:tcPr>
            <w:tcW w:w="2082" w:type="dxa"/>
            <w:tcBorders>
              <w:tl2br w:val="nil"/>
              <w:tr2bl w:val="nil"/>
            </w:tcBorders>
            <w:noWrap/>
            <w:vAlign w:val="center"/>
          </w:tcPr>
          <w:p w14:paraId="48BCE893">
            <w:pPr>
              <w:adjustRightInd w:val="0"/>
              <w:snapToGrid w:val="0"/>
              <w:spacing w:before="50" w:line="360" w:lineRule="auto"/>
              <w:ind w:left="-88" w:leftChars="-42"/>
              <w:jc w:val="center"/>
              <w:rPr>
                <w:rFonts w:ascii="宋体" w:hAnsi="宋体" w:cs="宋体"/>
                <w:color w:val="auto"/>
                <w:szCs w:val="21"/>
                <w:highlight w:val="none"/>
              </w:rPr>
            </w:pPr>
          </w:p>
        </w:tc>
        <w:tc>
          <w:tcPr>
            <w:tcW w:w="1942" w:type="dxa"/>
            <w:tcBorders>
              <w:tl2br w:val="nil"/>
              <w:tr2bl w:val="nil"/>
            </w:tcBorders>
            <w:noWrap/>
            <w:vAlign w:val="center"/>
          </w:tcPr>
          <w:p w14:paraId="1CA209B1">
            <w:pPr>
              <w:adjustRightInd w:val="0"/>
              <w:snapToGrid w:val="0"/>
              <w:spacing w:before="50" w:line="360" w:lineRule="auto"/>
              <w:ind w:left="-88" w:leftChars="-42"/>
              <w:jc w:val="center"/>
              <w:rPr>
                <w:rFonts w:ascii="宋体" w:hAnsi="宋体" w:cs="宋体"/>
                <w:color w:val="auto"/>
                <w:szCs w:val="21"/>
                <w:highlight w:val="none"/>
              </w:rPr>
            </w:pPr>
          </w:p>
        </w:tc>
      </w:tr>
      <w:tr w14:paraId="3C8267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595" w:type="dxa"/>
            <w:tcBorders>
              <w:tl2br w:val="nil"/>
              <w:tr2bl w:val="nil"/>
            </w:tcBorders>
            <w:noWrap/>
            <w:vAlign w:val="center"/>
          </w:tcPr>
          <w:p w14:paraId="12E4C3B5">
            <w:pPr>
              <w:adjustRightInd w:val="0"/>
              <w:snapToGrid w:val="0"/>
              <w:spacing w:before="50" w:line="360" w:lineRule="auto"/>
              <w:ind w:left="-88" w:leftChars="-42"/>
              <w:jc w:val="center"/>
              <w:rPr>
                <w:rFonts w:ascii="宋体" w:hAnsi="宋体" w:cs="宋体"/>
                <w:color w:val="auto"/>
                <w:szCs w:val="21"/>
                <w:highlight w:val="none"/>
              </w:rPr>
            </w:pPr>
          </w:p>
        </w:tc>
        <w:tc>
          <w:tcPr>
            <w:tcW w:w="2410" w:type="dxa"/>
            <w:tcBorders>
              <w:tl2br w:val="nil"/>
              <w:tr2bl w:val="nil"/>
            </w:tcBorders>
            <w:noWrap/>
            <w:vAlign w:val="center"/>
          </w:tcPr>
          <w:p w14:paraId="05406288">
            <w:pPr>
              <w:adjustRightInd w:val="0"/>
              <w:snapToGrid w:val="0"/>
              <w:spacing w:before="50" w:line="360" w:lineRule="auto"/>
              <w:ind w:left="-88" w:leftChars="-42"/>
              <w:jc w:val="center"/>
              <w:rPr>
                <w:rFonts w:ascii="宋体" w:hAnsi="宋体" w:cs="宋体"/>
                <w:color w:val="auto"/>
                <w:szCs w:val="21"/>
                <w:highlight w:val="none"/>
              </w:rPr>
            </w:pPr>
          </w:p>
        </w:tc>
        <w:tc>
          <w:tcPr>
            <w:tcW w:w="1985" w:type="dxa"/>
            <w:tcBorders>
              <w:tl2br w:val="nil"/>
              <w:tr2bl w:val="nil"/>
            </w:tcBorders>
            <w:noWrap/>
            <w:vAlign w:val="center"/>
          </w:tcPr>
          <w:p w14:paraId="2CF67230">
            <w:pPr>
              <w:adjustRightInd w:val="0"/>
              <w:snapToGrid w:val="0"/>
              <w:spacing w:before="50" w:line="360" w:lineRule="auto"/>
              <w:ind w:left="-88" w:leftChars="-42"/>
              <w:jc w:val="center"/>
              <w:rPr>
                <w:rFonts w:ascii="宋体" w:hAnsi="宋体" w:cs="宋体"/>
                <w:color w:val="auto"/>
                <w:szCs w:val="21"/>
                <w:highlight w:val="none"/>
              </w:rPr>
            </w:pPr>
          </w:p>
        </w:tc>
        <w:tc>
          <w:tcPr>
            <w:tcW w:w="2082" w:type="dxa"/>
            <w:tcBorders>
              <w:tl2br w:val="nil"/>
              <w:tr2bl w:val="nil"/>
            </w:tcBorders>
            <w:noWrap/>
            <w:vAlign w:val="center"/>
          </w:tcPr>
          <w:p w14:paraId="2E0DE0D6">
            <w:pPr>
              <w:adjustRightInd w:val="0"/>
              <w:snapToGrid w:val="0"/>
              <w:spacing w:before="50" w:line="360" w:lineRule="auto"/>
              <w:ind w:left="-88" w:leftChars="-42"/>
              <w:jc w:val="center"/>
              <w:rPr>
                <w:rFonts w:ascii="宋体" w:hAnsi="宋体" w:cs="宋体"/>
                <w:color w:val="auto"/>
                <w:szCs w:val="21"/>
                <w:highlight w:val="none"/>
              </w:rPr>
            </w:pPr>
          </w:p>
        </w:tc>
        <w:tc>
          <w:tcPr>
            <w:tcW w:w="1942" w:type="dxa"/>
            <w:tcBorders>
              <w:tl2br w:val="nil"/>
              <w:tr2bl w:val="nil"/>
            </w:tcBorders>
            <w:noWrap/>
            <w:vAlign w:val="center"/>
          </w:tcPr>
          <w:p w14:paraId="5913204B">
            <w:pPr>
              <w:adjustRightInd w:val="0"/>
              <w:snapToGrid w:val="0"/>
              <w:spacing w:before="50" w:line="360" w:lineRule="auto"/>
              <w:ind w:left="-88" w:leftChars="-42"/>
              <w:jc w:val="center"/>
              <w:rPr>
                <w:rFonts w:ascii="宋体" w:hAnsi="宋体" w:cs="宋体"/>
                <w:color w:val="auto"/>
                <w:szCs w:val="21"/>
                <w:highlight w:val="none"/>
              </w:rPr>
            </w:pPr>
          </w:p>
        </w:tc>
      </w:tr>
      <w:tr w14:paraId="407F41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595" w:type="dxa"/>
            <w:tcBorders>
              <w:tl2br w:val="nil"/>
              <w:tr2bl w:val="nil"/>
            </w:tcBorders>
            <w:noWrap/>
            <w:vAlign w:val="center"/>
          </w:tcPr>
          <w:p w14:paraId="6A045770">
            <w:pPr>
              <w:adjustRightInd w:val="0"/>
              <w:snapToGrid w:val="0"/>
              <w:spacing w:before="50" w:line="360" w:lineRule="auto"/>
              <w:ind w:left="-88" w:leftChars="-42"/>
              <w:jc w:val="center"/>
              <w:rPr>
                <w:rFonts w:ascii="宋体" w:hAnsi="宋体" w:cs="宋体"/>
                <w:color w:val="auto"/>
                <w:szCs w:val="21"/>
                <w:highlight w:val="none"/>
              </w:rPr>
            </w:pPr>
          </w:p>
        </w:tc>
        <w:tc>
          <w:tcPr>
            <w:tcW w:w="2410" w:type="dxa"/>
            <w:tcBorders>
              <w:tl2br w:val="nil"/>
              <w:tr2bl w:val="nil"/>
            </w:tcBorders>
            <w:noWrap/>
            <w:vAlign w:val="center"/>
          </w:tcPr>
          <w:p w14:paraId="436939E1">
            <w:pPr>
              <w:adjustRightInd w:val="0"/>
              <w:snapToGrid w:val="0"/>
              <w:spacing w:before="50" w:line="360" w:lineRule="auto"/>
              <w:ind w:left="-88" w:leftChars="-42"/>
              <w:jc w:val="center"/>
              <w:rPr>
                <w:rFonts w:ascii="宋体" w:hAnsi="宋体" w:cs="宋体"/>
                <w:color w:val="auto"/>
                <w:szCs w:val="21"/>
                <w:highlight w:val="none"/>
              </w:rPr>
            </w:pPr>
          </w:p>
        </w:tc>
        <w:tc>
          <w:tcPr>
            <w:tcW w:w="1985" w:type="dxa"/>
            <w:tcBorders>
              <w:tl2br w:val="nil"/>
              <w:tr2bl w:val="nil"/>
            </w:tcBorders>
            <w:noWrap/>
            <w:vAlign w:val="center"/>
          </w:tcPr>
          <w:p w14:paraId="1312AC02">
            <w:pPr>
              <w:adjustRightInd w:val="0"/>
              <w:snapToGrid w:val="0"/>
              <w:spacing w:before="50" w:line="360" w:lineRule="auto"/>
              <w:ind w:left="-88" w:leftChars="-42"/>
              <w:jc w:val="center"/>
              <w:rPr>
                <w:rFonts w:ascii="宋体" w:hAnsi="宋体" w:cs="宋体"/>
                <w:color w:val="auto"/>
                <w:szCs w:val="21"/>
                <w:highlight w:val="none"/>
              </w:rPr>
            </w:pPr>
          </w:p>
        </w:tc>
        <w:tc>
          <w:tcPr>
            <w:tcW w:w="2082" w:type="dxa"/>
            <w:tcBorders>
              <w:tl2br w:val="nil"/>
              <w:tr2bl w:val="nil"/>
            </w:tcBorders>
            <w:noWrap/>
            <w:vAlign w:val="center"/>
          </w:tcPr>
          <w:p w14:paraId="19EB59C3">
            <w:pPr>
              <w:adjustRightInd w:val="0"/>
              <w:snapToGrid w:val="0"/>
              <w:spacing w:before="50" w:line="360" w:lineRule="auto"/>
              <w:ind w:left="-88" w:leftChars="-42"/>
              <w:jc w:val="center"/>
              <w:rPr>
                <w:rFonts w:ascii="宋体" w:hAnsi="宋体" w:cs="宋体"/>
                <w:color w:val="auto"/>
                <w:szCs w:val="21"/>
                <w:highlight w:val="none"/>
              </w:rPr>
            </w:pPr>
          </w:p>
        </w:tc>
        <w:tc>
          <w:tcPr>
            <w:tcW w:w="1942" w:type="dxa"/>
            <w:tcBorders>
              <w:tl2br w:val="nil"/>
              <w:tr2bl w:val="nil"/>
            </w:tcBorders>
            <w:noWrap/>
            <w:vAlign w:val="center"/>
          </w:tcPr>
          <w:p w14:paraId="2F4E526F">
            <w:pPr>
              <w:adjustRightInd w:val="0"/>
              <w:snapToGrid w:val="0"/>
              <w:spacing w:before="50" w:line="360" w:lineRule="auto"/>
              <w:ind w:left="-88" w:leftChars="-42"/>
              <w:jc w:val="center"/>
              <w:rPr>
                <w:rFonts w:ascii="宋体" w:hAnsi="宋体" w:cs="宋体"/>
                <w:color w:val="auto"/>
                <w:szCs w:val="21"/>
                <w:highlight w:val="none"/>
              </w:rPr>
            </w:pPr>
          </w:p>
        </w:tc>
      </w:tr>
      <w:tr w14:paraId="1A2867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595" w:type="dxa"/>
            <w:tcBorders>
              <w:tl2br w:val="nil"/>
              <w:tr2bl w:val="nil"/>
            </w:tcBorders>
            <w:noWrap/>
            <w:vAlign w:val="center"/>
          </w:tcPr>
          <w:p w14:paraId="133F7747">
            <w:pPr>
              <w:adjustRightInd w:val="0"/>
              <w:snapToGrid w:val="0"/>
              <w:spacing w:before="50" w:line="360" w:lineRule="auto"/>
              <w:ind w:left="-88" w:leftChars="-42"/>
              <w:jc w:val="center"/>
              <w:rPr>
                <w:rFonts w:ascii="宋体" w:hAnsi="宋体" w:cs="宋体"/>
                <w:color w:val="auto"/>
                <w:szCs w:val="21"/>
                <w:highlight w:val="none"/>
              </w:rPr>
            </w:pPr>
          </w:p>
        </w:tc>
        <w:tc>
          <w:tcPr>
            <w:tcW w:w="2410" w:type="dxa"/>
            <w:tcBorders>
              <w:tl2br w:val="nil"/>
              <w:tr2bl w:val="nil"/>
            </w:tcBorders>
            <w:noWrap/>
            <w:vAlign w:val="center"/>
          </w:tcPr>
          <w:p w14:paraId="3AF18651">
            <w:pPr>
              <w:adjustRightInd w:val="0"/>
              <w:snapToGrid w:val="0"/>
              <w:spacing w:before="50" w:line="360" w:lineRule="auto"/>
              <w:ind w:left="-88" w:leftChars="-42"/>
              <w:jc w:val="center"/>
              <w:rPr>
                <w:rFonts w:ascii="宋体" w:hAnsi="宋体" w:cs="宋体"/>
                <w:color w:val="auto"/>
                <w:szCs w:val="21"/>
                <w:highlight w:val="none"/>
              </w:rPr>
            </w:pPr>
          </w:p>
        </w:tc>
        <w:tc>
          <w:tcPr>
            <w:tcW w:w="1985" w:type="dxa"/>
            <w:tcBorders>
              <w:tl2br w:val="nil"/>
              <w:tr2bl w:val="nil"/>
            </w:tcBorders>
            <w:noWrap/>
            <w:vAlign w:val="center"/>
          </w:tcPr>
          <w:p w14:paraId="49DD6C0E">
            <w:pPr>
              <w:adjustRightInd w:val="0"/>
              <w:snapToGrid w:val="0"/>
              <w:spacing w:before="50" w:line="360" w:lineRule="auto"/>
              <w:ind w:left="-88" w:leftChars="-42"/>
              <w:jc w:val="center"/>
              <w:rPr>
                <w:rFonts w:ascii="宋体" w:hAnsi="宋体" w:cs="宋体"/>
                <w:color w:val="auto"/>
                <w:szCs w:val="21"/>
                <w:highlight w:val="none"/>
              </w:rPr>
            </w:pPr>
          </w:p>
        </w:tc>
        <w:tc>
          <w:tcPr>
            <w:tcW w:w="4024" w:type="dxa"/>
            <w:gridSpan w:val="2"/>
            <w:tcBorders>
              <w:tl2br w:val="nil"/>
              <w:tr2bl w:val="nil"/>
            </w:tcBorders>
            <w:noWrap/>
            <w:vAlign w:val="center"/>
          </w:tcPr>
          <w:p w14:paraId="55872A22">
            <w:pPr>
              <w:adjustRightInd w:val="0"/>
              <w:snapToGrid w:val="0"/>
              <w:spacing w:before="50"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投标人保证：除本合同条款偏离表列出的偏离外，我单位对招标文件的其他商务、合同条款完全响应，无偏离。</w:t>
            </w:r>
          </w:p>
        </w:tc>
      </w:tr>
    </w:tbl>
    <w:p w14:paraId="3701005D">
      <w:pPr>
        <w:adjustRightInd w:val="0"/>
        <w:snapToGrid w:val="0"/>
        <w:spacing w:before="50" w:line="360" w:lineRule="auto"/>
        <w:ind w:left="-88" w:leftChars="-42"/>
        <w:rPr>
          <w:rFonts w:ascii="宋体" w:hAnsi="宋体" w:cs="宋体"/>
          <w:color w:val="auto"/>
          <w:szCs w:val="21"/>
          <w:highlight w:val="none"/>
        </w:rPr>
      </w:pPr>
      <w:r>
        <w:rPr>
          <w:rFonts w:hint="eastAsia" w:ascii="宋体" w:hAnsi="宋体" w:cs="宋体"/>
          <w:b/>
          <w:color w:val="auto"/>
          <w:szCs w:val="21"/>
          <w:highlight w:val="none"/>
        </w:rPr>
        <w:t>备注</w:t>
      </w:r>
      <w:r>
        <w:rPr>
          <w:rFonts w:hint="eastAsia" w:ascii="宋体" w:hAnsi="宋体" w:cs="宋体"/>
          <w:color w:val="auto"/>
          <w:szCs w:val="21"/>
          <w:highlight w:val="none"/>
        </w:rPr>
        <w:t>：（1）投标人应根据招标文件第六章“政府采购合同”填写本表；</w:t>
      </w:r>
    </w:p>
    <w:p w14:paraId="55DB8A42">
      <w:pPr>
        <w:adjustRightInd w:val="0"/>
        <w:snapToGrid w:val="0"/>
        <w:spacing w:before="50" w:line="360" w:lineRule="auto"/>
        <w:ind w:left="-88" w:leftChars="-42" w:firstLine="420" w:firstLineChars="200"/>
        <w:rPr>
          <w:rFonts w:ascii="宋体" w:hAnsi="宋体" w:cs="宋体"/>
          <w:b/>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投标人如果对招标文件第六章“政府采购合同”的响应有偏离，应将偏离条款逐条如实应答，并作出说明；</w:t>
      </w:r>
    </w:p>
    <w:p w14:paraId="6753DACB">
      <w:pPr>
        <w:adjustRightInd w:val="0"/>
        <w:snapToGrid w:val="0"/>
        <w:spacing w:before="50" w:line="360" w:lineRule="auto"/>
        <w:ind w:left="-88" w:leftChars="-42" w:firstLine="420" w:firstLineChars="200"/>
        <w:rPr>
          <w:rFonts w:ascii="宋体" w:hAnsi="宋体" w:cs="宋体"/>
          <w:color w:val="auto"/>
          <w:szCs w:val="21"/>
          <w:highlight w:val="none"/>
        </w:rPr>
      </w:pPr>
      <w:r>
        <w:rPr>
          <w:rFonts w:hint="eastAsia" w:ascii="宋体" w:hAnsi="宋体" w:cs="宋体"/>
          <w:color w:val="auto"/>
          <w:szCs w:val="21"/>
          <w:highlight w:val="none"/>
        </w:rPr>
        <w:t>（3）如不提供此表，则视为投标人不满足招标文件第六章的所有条款要求，其</w:t>
      </w:r>
      <w:r>
        <w:rPr>
          <w:rFonts w:hint="eastAsia" w:ascii="宋体" w:hAnsi="宋体" w:cs="宋体"/>
          <w:b/>
          <w:color w:val="auto"/>
          <w:szCs w:val="21"/>
          <w:highlight w:val="none"/>
        </w:rPr>
        <w:t>投标无效</w:t>
      </w:r>
      <w:r>
        <w:rPr>
          <w:rFonts w:hint="eastAsia" w:ascii="宋体" w:hAnsi="宋体" w:cs="宋体"/>
          <w:color w:val="auto"/>
          <w:szCs w:val="21"/>
          <w:highlight w:val="none"/>
        </w:rPr>
        <w:t>。</w:t>
      </w:r>
    </w:p>
    <w:p w14:paraId="688DDDDD">
      <w:pPr>
        <w:adjustRightInd w:val="0"/>
        <w:snapToGrid w:val="0"/>
        <w:spacing w:before="50" w:line="360" w:lineRule="auto"/>
        <w:ind w:left="-88" w:leftChars="-42" w:firstLine="420" w:firstLineChars="200"/>
        <w:rPr>
          <w:rFonts w:ascii="宋体" w:hAnsi="宋体" w:cs="宋体"/>
          <w:color w:val="auto"/>
          <w:szCs w:val="21"/>
          <w:highlight w:val="none"/>
        </w:rPr>
      </w:pPr>
      <w:r>
        <w:rPr>
          <w:rFonts w:hint="eastAsia" w:ascii="宋体" w:hAnsi="宋体" w:cs="宋体"/>
          <w:color w:val="auto"/>
          <w:szCs w:val="21"/>
          <w:highlight w:val="none"/>
        </w:rPr>
        <w:t>（4）在采购人与成交投标人签订合同时，如成交投标人未在投标文件“合同条款偏离表”中列出偏离说明，无论已发生或即将发生任何情形，均视为完全符合招标文件要求，并写入合同。若成交投标人在合同签订前，以上述事项为借口而不履行合同签订手续及执行合同，则视作拒绝与采购人签订合同。</w:t>
      </w:r>
    </w:p>
    <w:p w14:paraId="3870D382">
      <w:pPr>
        <w:adjustRightInd w:val="0"/>
        <w:snapToGrid w:val="0"/>
        <w:spacing w:before="50" w:line="360" w:lineRule="auto"/>
        <w:rPr>
          <w:rFonts w:ascii="宋体" w:hAnsi="宋体" w:cs="宋体"/>
          <w:color w:val="auto"/>
          <w:szCs w:val="21"/>
          <w:highlight w:val="none"/>
        </w:rPr>
      </w:pPr>
    </w:p>
    <w:p w14:paraId="131AB2C0">
      <w:pPr>
        <w:adjustRightInd w:val="0"/>
        <w:snapToGrid w:val="0"/>
        <w:spacing w:before="50" w:line="360" w:lineRule="auto"/>
        <w:rPr>
          <w:rFonts w:ascii="宋体" w:hAnsi="宋体" w:cs="宋体"/>
          <w:color w:val="auto"/>
          <w:szCs w:val="21"/>
          <w:highlight w:val="none"/>
        </w:rPr>
      </w:pPr>
    </w:p>
    <w:p w14:paraId="15A4487F">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投标人名称（盖单位章）：</w:t>
      </w:r>
    </w:p>
    <w:p w14:paraId="2339FB14">
      <w:pPr>
        <w:adjustRightInd w:val="0"/>
        <w:snapToGrid w:val="0"/>
        <w:spacing w:line="360" w:lineRule="auto"/>
        <w:rPr>
          <w:rFonts w:ascii="宋体" w:hAnsi="宋体" w:cs="宋体"/>
          <w:color w:val="auto"/>
          <w:szCs w:val="21"/>
          <w:highlight w:val="none"/>
        </w:rPr>
      </w:pPr>
      <w:r>
        <w:rPr>
          <w:rFonts w:hint="eastAsia" w:ascii="宋体" w:hAnsi="宋体" w:cs="宋体"/>
          <w:color w:val="auto"/>
          <w:spacing w:val="-2"/>
          <w:kern w:val="0"/>
          <w:szCs w:val="21"/>
          <w:highlight w:val="none"/>
        </w:rPr>
        <w:t>法</w:t>
      </w:r>
      <w:r>
        <w:rPr>
          <w:rFonts w:hint="eastAsia" w:ascii="宋体" w:hAnsi="宋体" w:cs="宋体"/>
          <w:color w:val="auto"/>
          <w:kern w:val="0"/>
          <w:szCs w:val="21"/>
          <w:highlight w:val="none"/>
        </w:rPr>
        <w:t>定</w:t>
      </w:r>
      <w:r>
        <w:rPr>
          <w:rFonts w:hint="eastAsia" w:ascii="宋体" w:hAnsi="宋体" w:cs="宋体"/>
          <w:color w:val="auto"/>
          <w:spacing w:val="-2"/>
          <w:kern w:val="0"/>
          <w:szCs w:val="21"/>
          <w:highlight w:val="none"/>
        </w:rPr>
        <w:t>代</w:t>
      </w:r>
      <w:r>
        <w:rPr>
          <w:rFonts w:hint="eastAsia" w:ascii="宋体" w:hAnsi="宋体" w:cs="宋体"/>
          <w:color w:val="auto"/>
          <w:kern w:val="0"/>
          <w:szCs w:val="21"/>
          <w:highlight w:val="none"/>
        </w:rPr>
        <w:t>表</w:t>
      </w:r>
      <w:r>
        <w:rPr>
          <w:rFonts w:hint="eastAsia" w:ascii="宋体" w:hAnsi="宋体" w:cs="宋体"/>
          <w:color w:val="auto"/>
          <w:spacing w:val="-2"/>
          <w:kern w:val="0"/>
          <w:szCs w:val="21"/>
          <w:highlight w:val="none"/>
        </w:rPr>
        <w:t>人</w:t>
      </w:r>
      <w:r>
        <w:rPr>
          <w:rFonts w:hint="eastAsia" w:ascii="宋体" w:hAnsi="宋体" w:cs="宋体"/>
          <w:color w:val="auto"/>
          <w:kern w:val="0"/>
          <w:szCs w:val="21"/>
          <w:highlight w:val="none"/>
        </w:rPr>
        <w:t>（</w:t>
      </w:r>
      <w:r>
        <w:rPr>
          <w:rFonts w:hint="eastAsia" w:ascii="宋体" w:hAnsi="宋体" w:cs="宋体"/>
          <w:color w:val="auto"/>
          <w:spacing w:val="-2"/>
          <w:kern w:val="0"/>
          <w:szCs w:val="21"/>
          <w:highlight w:val="none"/>
        </w:rPr>
        <w:t>单</w:t>
      </w:r>
      <w:r>
        <w:rPr>
          <w:rFonts w:hint="eastAsia" w:ascii="宋体" w:hAnsi="宋体" w:cs="宋体"/>
          <w:color w:val="auto"/>
          <w:kern w:val="0"/>
          <w:szCs w:val="21"/>
          <w:highlight w:val="none"/>
        </w:rPr>
        <w:t>位</w:t>
      </w:r>
      <w:r>
        <w:rPr>
          <w:rFonts w:hint="eastAsia" w:ascii="宋体" w:hAnsi="宋体" w:cs="宋体"/>
          <w:color w:val="auto"/>
          <w:spacing w:val="-2"/>
          <w:kern w:val="0"/>
          <w:szCs w:val="21"/>
          <w:highlight w:val="none"/>
        </w:rPr>
        <w:t>负</w:t>
      </w:r>
      <w:r>
        <w:rPr>
          <w:rFonts w:hint="eastAsia" w:ascii="宋体" w:hAnsi="宋体" w:cs="宋体"/>
          <w:color w:val="auto"/>
          <w:kern w:val="0"/>
          <w:szCs w:val="21"/>
          <w:highlight w:val="none"/>
        </w:rPr>
        <w:t>责人</w:t>
      </w:r>
      <w:r>
        <w:rPr>
          <w:rFonts w:hint="eastAsia" w:ascii="宋体" w:hAnsi="宋体" w:cs="宋体"/>
          <w:color w:val="auto"/>
          <w:spacing w:val="-2"/>
          <w:kern w:val="0"/>
          <w:szCs w:val="21"/>
          <w:highlight w:val="none"/>
        </w:rPr>
        <w:t>）</w:t>
      </w:r>
      <w:r>
        <w:rPr>
          <w:rFonts w:hint="eastAsia" w:ascii="宋体" w:hAnsi="宋体" w:cs="宋体"/>
          <w:color w:val="auto"/>
          <w:szCs w:val="21"/>
          <w:highlight w:val="none"/>
        </w:rPr>
        <w:t>或其授权的代理人（签字或印章）：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_</w:t>
      </w:r>
    </w:p>
    <w:p w14:paraId="6FE7C666">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478B427">
      <w:pPr>
        <w:rPr>
          <w:rFonts w:ascii="宋体" w:hAnsi="宋体" w:cs="宋体"/>
          <w:color w:val="auto"/>
          <w:szCs w:val="21"/>
          <w:highlight w:val="none"/>
        </w:rPr>
      </w:pPr>
    </w:p>
    <w:p w14:paraId="712716EE">
      <w:pPr>
        <w:numPr>
          <w:ilvl w:val="0"/>
          <w:numId w:val="0"/>
        </w:numPr>
        <w:adjustRightInd w:val="0"/>
        <w:snapToGrid w:val="0"/>
        <w:spacing w:beforeLines="50"/>
        <w:jc w:val="center"/>
        <w:rPr>
          <w:rFonts w:hint="eastAsia" w:ascii="宋体" w:hAnsi="宋体" w:eastAsia="黑体" w:cs="宋体"/>
          <w:b/>
          <w:bCs/>
          <w:color w:val="auto"/>
          <w:sz w:val="28"/>
          <w:szCs w:val="28"/>
          <w:highlight w:val="none"/>
          <w:lang w:eastAsia="zh-CN"/>
        </w:rPr>
      </w:pPr>
      <w:r>
        <w:rPr>
          <w:rFonts w:hint="eastAsia" w:ascii="宋体" w:hAnsi="宋体" w:eastAsia="黑体" w:cs="宋体"/>
          <w:b/>
          <w:bCs/>
          <w:color w:val="auto"/>
          <w:sz w:val="28"/>
          <w:szCs w:val="28"/>
          <w:highlight w:val="none"/>
          <w:lang w:eastAsia="zh-CN"/>
        </w:rPr>
        <w:t>十二、整体服务方案</w:t>
      </w:r>
    </w:p>
    <w:p w14:paraId="0CD05C78">
      <w:pPr>
        <w:numPr>
          <w:ilvl w:val="0"/>
          <w:numId w:val="0"/>
        </w:numPr>
        <w:adjustRightInd w:val="0"/>
        <w:snapToGrid w:val="0"/>
        <w:spacing w:beforeLines="50"/>
        <w:ind w:leftChars="300"/>
        <w:rPr>
          <w:rFonts w:hint="eastAsia" w:ascii="宋体" w:hAnsi="宋体" w:eastAsia="宋体" w:cs="宋体"/>
          <w:color w:val="auto"/>
          <w:highlight w:val="none"/>
          <w:lang w:eastAsia="zh-CN"/>
        </w:rPr>
      </w:pPr>
      <w:r>
        <w:rPr>
          <w:rFonts w:hint="eastAsia" w:ascii="宋体" w:hAnsi="宋体" w:eastAsia="宋体" w:cs="宋体"/>
          <w:color w:val="auto"/>
          <w:highlight w:val="none"/>
        </w:rPr>
        <w:t>备注：提供本项目招标文件采购需求及评标方法自行编辑。</w:t>
      </w:r>
    </w:p>
    <w:p w14:paraId="06D5FFBC">
      <w:pPr>
        <w:numPr>
          <w:ilvl w:val="0"/>
          <w:numId w:val="0"/>
        </w:numPr>
        <w:adjustRightInd w:val="0"/>
        <w:snapToGrid w:val="0"/>
        <w:spacing w:beforeLines="50"/>
        <w:jc w:val="both"/>
        <w:rPr>
          <w:rFonts w:hint="eastAsia" w:ascii="宋体" w:hAnsi="宋体" w:eastAsia="黑体" w:cs="宋体"/>
          <w:b/>
          <w:bCs/>
          <w:color w:val="auto"/>
          <w:sz w:val="28"/>
          <w:szCs w:val="28"/>
          <w:highlight w:val="none"/>
          <w:lang w:eastAsia="zh-CN"/>
        </w:rPr>
      </w:pPr>
    </w:p>
    <w:p w14:paraId="76784219">
      <w:pPr>
        <w:numPr>
          <w:ilvl w:val="0"/>
          <w:numId w:val="0"/>
        </w:numPr>
        <w:adjustRightInd w:val="0"/>
        <w:snapToGrid w:val="0"/>
        <w:spacing w:beforeLines="50"/>
        <w:jc w:val="center"/>
        <w:rPr>
          <w:rFonts w:hint="eastAsia" w:ascii="宋体" w:hAnsi="宋体" w:eastAsia="黑体" w:cs="宋体"/>
          <w:b/>
          <w:bCs/>
          <w:color w:val="auto"/>
          <w:sz w:val="28"/>
          <w:szCs w:val="28"/>
          <w:highlight w:val="none"/>
          <w:lang w:eastAsia="zh-CN"/>
        </w:rPr>
      </w:pPr>
    </w:p>
    <w:p w14:paraId="737B062C">
      <w:pPr>
        <w:numPr>
          <w:ilvl w:val="0"/>
          <w:numId w:val="0"/>
        </w:numPr>
        <w:adjustRightInd w:val="0"/>
        <w:snapToGrid w:val="0"/>
        <w:spacing w:beforeLines="50"/>
        <w:jc w:val="center"/>
        <w:rPr>
          <w:rFonts w:hint="eastAsia" w:ascii="宋体" w:hAnsi="宋体" w:eastAsia="黑体" w:cs="宋体"/>
          <w:b/>
          <w:bCs/>
          <w:color w:val="auto"/>
          <w:sz w:val="28"/>
          <w:szCs w:val="28"/>
          <w:highlight w:val="none"/>
          <w:lang w:eastAsia="zh-CN"/>
        </w:rPr>
      </w:pPr>
      <w:r>
        <w:rPr>
          <w:rFonts w:hint="eastAsia" w:ascii="宋体" w:hAnsi="宋体" w:eastAsia="黑体" w:cs="宋体"/>
          <w:b/>
          <w:bCs/>
          <w:color w:val="auto"/>
          <w:sz w:val="28"/>
          <w:szCs w:val="28"/>
          <w:highlight w:val="none"/>
          <w:lang w:eastAsia="zh-CN"/>
        </w:rPr>
        <w:t>十三、卫生保洁服务方案</w:t>
      </w:r>
    </w:p>
    <w:p w14:paraId="30B4C0C9">
      <w:pPr>
        <w:numPr>
          <w:ilvl w:val="0"/>
          <w:numId w:val="0"/>
        </w:numPr>
        <w:adjustRightInd w:val="0"/>
        <w:snapToGrid w:val="0"/>
        <w:spacing w:beforeLines="50"/>
        <w:ind w:leftChars="300"/>
        <w:rPr>
          <w:rFonts w:hint="eastAsia" w:ascii="宋体" w:hAnsi="宋体" w:eastAsia="宋体" w:cs="宋体"/>
          <w:color w:val="auto"/>
          <w:highlight w:val="none"/>
          <w:lang w:eastAsia="zh-CN"/>
        </w:rPr>
      </w:pPr>
      <w:r>
        <w:rPr>
          <w:rFonts w:hint="eastAsia" w:ascii="宋体" w:hAnsi="宋体" w:eastAsia="宋体" w:cs="宋体"/>
          <w:color w:val="auto"/>
          <w:highlight w:val="none"/>
        </w:rPr>
        <w:t>备注：提供本项目招标文件采购需求及评标方法自行编辑。</w:t>
      </w:r>
    </w:p>
    <w:p w14:paraId="325730A3">
      <w:pPr>
        <w:numPr>
          <w:ilvl w:val="0"/>
          <w:numId w:val="0"/>
        </w:numPr>
        <w:adjustRightInd w:val="0"/>
        <w:snapToGrid w:val="0"/>
        <w:spacing w:beforeLines="50"/>
        <w:jc w:val="both"/>
        <w:rPr>
          <w:rFonts w:hint="eastAsia" w:ascii="宋体" w:hAnsi="宋体" w:eastAsia="黑体" w:cs="宋体"/>
          <w:b/>
          <w:bCs/>
          <w:color w:val="auto"/>
          <w:sz w:val="28"/>
          <w:szCs w:val="28"/>
          <w:highlight w:val="none"/>
          <w:lang w:eastAsia="zh-CN"/>
        </w:rPr>
      </w:pPr>
    </w:p>
    <w:p w14:paraId="50185E43">
      <w:pPr>
        <w:numPr>
          <w:ilvl w:val="0"/>
          <w:numId w:val="0"/>
        </w:numPr>
        <w:adjustRightInd w:val="0"/>
        <w:snapToGrid w:val="0"/>
        <w:spacing w:beforeLines="50"/>
        <w:jc w:val="center"/>
        <w:rPr>
          <w:rFonts w:hint="eastAsia" w:ascii="宋体" w:hAnsi="宋体" w:eastAsia="黑体" w:cs="宋体"/>
          <w:b/>
          <w:bCs/>
          <w:color w:val="auto"/>
          <w:sz w:val="28"/>
          <w:szCs w:val="28"/>
          <w:highlight w:val="none"/>
          <w:lang w:eastAsia="zh-CN"/>
        </w:rPr>
      </w:pPr>
    </w:p>
    <w:p w14:paraId="11292FF4">
      <w:pPr>
        <w:numPr>
          <w:ilvl w:val="0"/>
          <w:numId w:val="0"/>
        </w:numPr>
        <w:adjustRightInd w:val="0"/>
        <w:snapToGrid w:val="0"/>
        <w:spacing w:beforeLines="50"/>
        <w:jc w:val="center"/>
        <w:rPr>
          <w:rFonts w:hint="eastAsia" w:ascii="宋体" w:hAnsi="宋体" w:eastAsia="黑体" w:cs="宋体"/>
          <w:b/>
          <w:bCs/>
          <w:color w:val="auto"/>
          <w:sz w:val="28"/>
          <w:szCs w:val="28"/>
          <w:highlight w:val="none"/>
          <w:lang w:eastAsia="zh-CN"/>
        </w:rPr>
      </w:pPr>
      <w:r>
        <w:rPr>
          <w:rFonts w:hint="eastAsia" w:ascii="宋体" w:hAnsi="宋体" w:eastAsia="黑体" w:cs="宋体"/>
          <w:b/>
          <w:bCs/>
          <w:color w:val="auto"/>
          <w:sz w:val="28"/>
          <w:szCs w:val="28"/>
          <w:highlight w:val="none"/>
          <w:lang w:eastAsia="zh-CN"/>
        </w:rPr>
        <w:t>十四、秩序维护管理方案</w:t>
      </w:r>
    </w:p>
    <w:p w14:paraId="6EF86FA4">
      <w:pPr>
        <w:numPr>
          <w:ilvl w:val="0"/>
          <w:numId w:val="0"/>
        </w:numPr>
        <w:adjustRightInd w:val="0"/>
        <w:snapToGrid w:val="0"/>
        <w:spacing w:beforeLines="50"/>
        <w:ind w:leftChars="300"/>
        <w:rPr>
          <w:rFonts w:hint="eastAsia" w:ascii="宋体" w:hAnsi="宋体" w:eastAsia="宋体" w:cs="宋体"/>
          <w:color w:val="auto"/>
          <w:szCs w:val="21"/>
          <w:highlight w:val="none"/>
          <w:lang w:eastAsia="zh-CN"/>
        </w:rPr>
      </w:pPr>
      <w:r>
        <w:rPr>
          <w:rFonts w:hint="eastAsia" w:ascii="宋体" w:hAnsi="宋体" w:cs="宋体"/>
          <w:color w:val="auto"/>
          <w:highlight w:val="none"/>
        </w:rPr>
        <w:t>备注：提供本项目招标文件采购需求及评标方法自行编辑。</w:t>
      </w:r>
    </w:p>
    <w:p w14:paraId="236EE531">
      <w:pPr>
        <w:numPr>
          <w:ilvl w:val="0"/>
          <w:numId w:val="0"/>
        </w:numPr>
        <w:adjustRightInd w:val="0"/>
        <w:snapToGrid w:val="0"/>
        <w:spacing w:beforeLines="50"/>
        <w:jc w:val="both"/>
        <w:rPr>
          <w:rFonts w:hint="eastAsia" w:ascii="宋体" w:hAnsi="宋体" w:eastAsia="黑体" w:cs="宋体"/>
          <w:b/>
          <w:bCs/>
          <w:color w:val="auto"/>
          <w:sz w:val="28"/>
          <w:szCs w:val="28"/>
          <w:highlight w:val="none"/>
          <w:lang w:eastAsia="zh-CN"/>
        </w:rPr>
      </w:pPr>
    </w:p>
    <w:p w14:paraId="3A0F4E4A">
      <w:pPr>
        <w:numPr>
          <w:ilvl w:val="0"/>
          <w:numId w:val="0"/>
        </w:numPr>
        <w:adjustRightInd w:val="0"/>
        <w:snapToGrid w:val="0"/>
        <w:spacing w:beforeLines="50"/>
        <w:jc w:val="center"/>
        <w:rPr>
          <w:rFonts w:hint="eastAsia" w:ascii="宋体" w:hAnsi="宋体" w:eastAsia="黑体" w:cs="宋体"/>
          <w:b/>
          <w:bCs/>
          <w:color w:val="auto"/>
          <w:sz w:val="28"/>
          <w:szCs w:val="28"/>
          <w:highlight w:val="none"/>
          <w:lang w:eastAsia="zh-CN"/>
        </w:rPr>
      </w:pPr>
    </w:p>
    <w:p w14:paraId="2CBDD6D5">
      <w:pPr>
        <w:numPr>
          <w:ilvl w:val="0"/>
          <w:numId w:val="0"/>
        </w:numPr>
        <w:adjustRightInd w:val="0"/>
        <w:snapToGrid w:val="0"/>
        <w:spacing w:beforeLines="50"/>
        <w:jc w:val="center"/>
        <w:rPr>
          <w:rFonts w:hint="eastAsia" w:ascii="宋体" w:hAnsi="宋体" w:eastAsia="黑体" w:cs="宋体"/>
          <w:b/>
          <w:bCs/>
          <w:color w:val="auto"/>
          <w:sz w:val="28"/>
          <w:szCs w:val="28"/>
          <w:highlight w:val="none"/>
          <w:lang w:eastAsia="zh-CN"/>
        </w:rPr>
      </w:pPr>
      <w:r>
        <w:rPr>
          <w:rFonts w:hint="eastAsia" w:ascii="宋体" w:hAnsi="宋体" w:eastAsia="黑体" w:cs="宋体"/>
          <w:b/>
          <w:bCs/>
          <w:color w:val="auto"/>
          <w:sz w:val="28"/>
          <w:szCs w:val="28"/>
          <w:highlight w:val="none"/>
          <w:lang w:eastAsia="zh-CN"/>
        </w:rPr>
        <w:t>十五、设备运行维护方案</w:t>
      </w:r>
    </w:p>
    <w:p w14:paraId="433D309E">
      <w:pPr>
        <w:numPr>
          <w:ilvl w:val="0"/>
          <w:numId w:val="0"/>
        </w:numPr>
        <w:adjustRightInd w:val="0"/>
        <w:snapToGrid w:val="0"/>
        <w:spacing w:beforeLines="50"/>
        <w:ind w:leftChars="300"/>
        <w:rPr>
          <w:rFonts w:hint="eastAsia" w:ascii="宋体" w:hAnsi="宋体" w:eastAsia="宋体" w:cs="宋体"/>
          <w:color w:val="auto"/>
          <w:szCs w:val="21"/>
          <w:highlight w:val="none"/>
          <w:lang w:eastAsia="zh-CN"/>
        </w:rPr>
      </w:pPr>
      <w:r>
        <w:rPr>
          <w:rFonts w:hint="eastAsia" w:ascii="宋体" w:hAnsi="宋体" w:cs="宋体"/>
          <w:color w:val="auto"/>
          <w:highlight w:val="none"/>
        </w:rPr>
        <w:t>备注：提供本项目招标文件采购需求及评标方法自行编辑。</w:t>
      </w:r>
    </w:p>
    <w:p w14:paraId="2242EEA6">
      <w:pPr>
        <w:numPr>
          <w:ilvl w:val="0"/>
          <w:numId w:val="0"/>
        </w:numPr>
        <w:adjustRightInd w:val="0"/>
        <w:snapToGrid w:val="0"/>
        <w:spacing w:beforeLines="50"/>
        <w:jc w:val="both"/>
        <w:rPr>
          <w:rFonts w:hint="eastAsia" w:ascii="宋体" w:hAnsi="宋体" w:eastAsia="黑体" w:cs="宋体"/>
          <w:b/>
          <w:bCs/>
          <w:color w:val="auto"/>
          <w:sz w:val="28"/>
          <w:szCs w:val="28"/>
          <w:highlight w:val="none"/>
          <w:lang w:eastAsia="zh-CN"/>
        </w:rPr>
      </w:pPr>
    </w:p>
    <w:p w14:paraId="5EFCA05A">
      <w:pPr>
        <w:numPr>
          <w:ilvl w:val="0"/>
          <w:numId w:val="0"/>
        </w:numPr>
        <w:adjustRightInd w:val="0"/>
        <w:snapToGrid w:val="0"/>
        <w:spacing w:beforeLines="50"/>
        <w:jc w:val="center"/>
        <w:rPr>
          <w:rFonts w:hint="eastAsia" w:ascii="宋体" w:hAnsi="宋体" w:eastAsia="黑体" w:cs="宋体"/>
          <w:b/>
          <w:bCs/>
          <w:color w:val="auto"/>
          <w:sz w:val="28"/>
          <w:szCs w:val="28"/>
          <w:highlight w:val="none"/>
          <w:lang w:eastAsia="zh-CN"/>
        </w:rPr>
      </w:pPr>
    </w:p>
    <w:p w14:paraId="3EC92911">
      <w:pPr>
        <w:numPr>
          <w:ilvl w:val="0"/>
          <w:numId w:val="0"/>
        </w:numPr>
        <w:adjustRightInd w:val="0"/>
        <w:snapToGrid w:val="0"/>
        <w:spacing w:beforeLines="50"/>
        <w:jc w:val="center"/>
        <w:rPr>
          <w:rFonts w:hint="eastAsia" w:ascii="宋体" w:hAnsi="宋体" w:eastAsia="黑体" w:cs="宋体"/>
          <w:b/>
          <w:bCs/>
          <w:color w:val="auto"/>
          <w:sz w:val="28"/>
          <w:szCs w:val="28"/>
          <w:highlight w:val="none"/>
          <w:lang w:eastAsia="zh-CN"/>
        </w:rPr>
      </w:pPr>
      <w:r>
        <w:rPr>
          <w:rFonts w:hint="eastAsia" w:ascii="宋体" w:hAnsi="宋体" w:eastAsia="黑体" w:cs="宋体"/>
          <w:b/>
          <w:bCs/>
          <w:color w:val="auto"/>
          <w:sz w:val="28"/>
          <w:szCs w:val="28"/>
          <w:highlight w:val="none"/>
          <w:lang w:eastAsia="zh-CN"/>
        </w:rPr>
        <w:t>十六、宿舍管理服务方案</w:t>
      </w:r>
    </w:p>
    <w:p w14:paraId="3F4D1F8C">
      <w:pPr>
        <w:numPr>
          <w:ilvl w:val="0"/>
          <w:numId w:val="0"/>
        </w:numPr>
        <w:adjustRightInd w:val="0"/>
        <w:snapToGrid w:val="0"/>
        <w:spacing w:beforeLines="50"/>
        <w:ind w:leftChars="300"/>
        <w:rPr>
          <w:rFonts w:hint="eastAsia" w:ascii="宋体" w:hAnsi="宋体" w:eastAsia="宋体" w:cs="宋体"/>
          <w:color w:val="auto"/>
          <w:szCs w:val="21"/>
          <w:highlight w:val="none"/>
          <w:lang w:eastAsia="zh-CN"/>
        </w:rPr>
      </w:pPr>
      <w:r>
        <w:rPr>
          <w:rFonts w:hint="eastAsia" w:ascii="宋体" w:hAnsi="宋体" w:cs="宋体"/>
          <w:color w:val="auto"/>
          <w:highlight w:val="none"/>
        </w:rPr>
        <w:t>备注：提供本项目招标文件采购需求及评标方法自行编辑。</w:t>
      </w:r>
    </w:p>
    <w:p w14:paraId="76BC1F42">
      <w:pPr>
        <w:numPr>
          <w:ilvl w:val="0"/>
          <w:numId w:val="0"/>
        </w:numPr>
        <w:adjustRightInd w:val="0"/>
        <w:snapToGrid w:val="0"/>
        <w:spacing w:beforeLines="50"/>
        <w:jc w:val="both"/>
        <w:rPr>
          <w:rFonts w:hint="eastAsia" w:ascii="宋体" w:hAnsi="宋体" w:eastAsia="黑体" w:cs="宋体"/>
          <w:b/>
          <w:bCs/>
          <w:color w:val="auto"/>
          <w:sz w:val="28"/>
          <w:szCs w:val="28"/>
          <w:highlight w:val="none"/>
          <w:lang w:eastAsia="zh-CN"/>
        </w:rPr>
      </w:pPr>
    </w:p>
    <w:p w14:paraId="3CCC82F2">
      <w:pPr>
        <w:numPr>
          <w:ilvl w:val="0"/>
          <w:numId w:val="0"/>
        </w:numPr>
        <w:adjustRightInd w:val="0"/>
        <w:snapToGrid w:val="0"/>
        <w:spacing w:beforeLines="50"/>
        <w:jc w:val="center"/>
        <w:rPr>
          <w:rFonts w:hint="eastAsia" w:ascii="宋体" w:hAnsi="宋体" w:eastAsia="黑体" w:cs="宋体"/>
          <w:b/>
          <w:bCs/>
          <w:color w:val="auto"/>
          <w:sz w:val="28"/>
          <w:szCs w:val="28"/>
          <w:highlight w:val="none"/>
          <w:lang w:eastAsia="zh-CN"/>
        </w:rPr>
      </w:pPr>
    </w:p>
    <w:p w14:paraId="0BC63143">
      <w:pPr>
        <w:numPr>
          <w:ilvl w:val="0"/>
          <w:numId w:val="0"/>
        </w:numPr>
        <w:adjustRightInd w:val="0"/>
        <w:snapToGrid w:val="0"/>
        <w:spacing w:beforeLines="50"/>
        <w:jc w:val="center"/>
        <w:rPr>
          <w:rFonts w:hint="eastAsia" w:ascii="宋体" w:hAnsi="宋体" w:eastAsia="黑体" w:cs="宋体"/>
          <w:b/>
          <w:bCs/>
          <w:color w:val="auto"/>
          <w:sz w:val="28"/>
          <w:szCs w:val="28"/>
          <w:highlight w:val="none"/>
          <w:lang w:eastAsia="zh-CN"/>
        </w:rPr>
      </w:pPr>
      <w:r>
        <w:rPr>
          <w:rFonts w:hint="eastAsia" w:ascii="宋体" w:hAnsi="宋体" w:eastAsia="黑体" w:cs="宋体"/>
          <w:b/>
          <w:bCs/>
          <w:color w:val="auto"/>
          <w:sz w:val="28"/>
          <w:szCs w:val="28"/>
          <w:highlight w:val="none"/>
          <w:lang w:eastAsia="zh-CN"/>
        </w:rPr>
        <w:t>十七、会务服务方案</w:t>
      </w:r>
    </w:p>
    <w:p w14:paraId="7E70E80E">
      <w:pPr>
        <w:numPr>
          <w:ilvl w:val="0"/>
          <w:numId w:val="0"/>
        </w:numPr>
        <w:adjustRightInd w:val="0"/>
        <w:snapToGrid w:val="0"/>
        <w:spacing w:beforeLines="50"/>
        <w:ind w:leftChars="300"/>
        <w:rPr>
          <w:rFonts w:hint="eastAsia" w:ascii="宋体" w:hAnsi="宋体" w:eastAsia="宋体" w:cs="宋体"/>
          <w:color w:val="auto"/>
          <w:szCs w:val="21"/>
          <w:highlight w:val="none"/>
          <w:lang w:eastAsia="zh-CN"/>
        </w:rPr>
      </w:pPr>
      <w:r>
        <w:rPr>
          <w:rFonts w:hint="eastAsia" w:ascii="宋体" w:hAnsi="宋体" w:cs="宋体"/>
          <w:color w:val="auto"/>
          <w:highlight w:val="none"/>
        </w:rPr>
        <w:t>备注：提供本项目招标文件采购需求及评标方法自行编辑。</w:t>
      </w:r>
    </w:p>
    <w:p w14:paraId="34F8FCD3">
      <w:pPr>
        <w:numPr>
          <w:ilvl w:val="0"/>
          <w:numId w:val="0"/>
        </w:numPr>
        <w:adjustRightInd w:val="0"/>
        <w:snapToGrid w:val="0"/>
        <w:spacing w:beforeLines="50"/>
        <w:jc w:val="both"/>
        <w:rPr>
          <w:rFonts w:hint="eastAsia" w:ascii="宋体" w:hAnsi="宋体" w:eastAsia="黑体" w:cs="宋体"/>
          <w:b/>
          <w:bCs/>
          <w:color w:val="auto"/>
          <w:sz w:val="28"/>
          <w:szCs w:val="28"/>
          <w:highlight w:val="none"/>
          <w:lang w:eastAsia="zh-CN"/>
        </w:rPr>
      </w:pPr>
    </w:p>
    <w:p w14:paraId="6FB4271E">
      <w:pPr>
        <w:numPr>
          <w:ilvl w:val="0"/>
          <w:numId w:val="0"/>
        </w:numPr>
        <w:adjustRightInd w:val="0"/>
        <w:snapToGrid w:val="0"/>
        <w:spacing w:beforeLines="50"/>
        <w:jc w:val="center"/>
        <w:rPr>
          <w:rFonts w:hint="eastAsia" w:ascii="宋体" w:hAnsi="宋体" w:eastAsia="黑体" w:cs="宋体"/>
          <w:b/>
          <w:bCs/>
          <w:color w:val="auto"/>
          <w:sz w:val="28"/>
          <w:szCs w:val="28"/>
          <w:highlight w:val="none"/>
          <w:lang w:eastAsia="zh-CN"/>
        </w:rPr>
      </w:pPr>
    </w:p>
    <w:p w14:paraId="4C1B6C24">
      <w:pPr>
        <w:numPr>
          <w:ilvl w:val="0"/>
          <w:numId w:val="0"/>
        </w:numPr>
        <w:adjustRightInd w:val="0"/>
        <w:snapToGrid w:val="0"/>
        <w:spacing w:beforeLines="50"/>
        <w:jc w:val="center"/>
        <w:rPr>
          <w:rFonts w:hint="eastAsia" w:ascii="宋体" w:hAnsi="宋体" w:eastAsia="黑体" w:cs="宋体"/>
          <w:b/>
          <w:bCs/>
          <w:color w:val="auto"/>
          <w:sz w:val="28"/>
          <w:szCs w:val="28"/>
          <w:highlight w:val="none"/>
          <w:lang w:eastAsia="zh-CN"/>
        </w:rPr>
      </w:pPr>
      <w:r>
        <w:rPr>
          <w:rFonts w:hint="eastAsia" w:ascii="宋体" w:hAnsi="宋体" w:eastAsia="黑体" w:cs="宋体"/>
          <w:b/>
          <w:bCs/>
          <w:color w:val="auto"/>
          <w:sz w:val="28"/>
          <w:szCs w:val="28"/>
          <w:highlight w:val="none"/>
          <w:lang w:eastAsia="zh-CN"/>
        </w:rPr>
        <w:t>十八、应急管理方案</w:t>
      </w:r>
    </w:p>
    <w:p w14:paraId="582511B3">
      <w:pPr>
        <w:numPr>
          <w:ilvl w:val="0"/>
          <w:numId w:val="0"/>
        </w:numPr>
        <w:adjustRightInd w:val="0"/>
        <w:snapToGrid w:val="0"/>
        <w:spacing w:beforeLines="50"/>
        <w:ind w:leftChars="300"/>
        <w:rPr>
          <w:rFonts w:hint="eastAsia" w:ascii="宋体" w:hAnsi="宋体" w:eastAsia="宋体" w:cs="宋体"/>
          <w:color w:val="auto"/>
          <w:szCs w:val="21"/>
          <w:highlight w:val="none"/>
          <w:lang w:eastAsia="zh-CN"/>
        </w:rPr>
      </w:pPr>
      <w:r>
        <w:rPr>
          <w:rFonts w:hint="eastAsia" w:ascii="宋体" w:hAnsi="宋体" w:cs="宋体"/>
          <w:color w:val="auto"/>
          <w:highlight w:val="none"/>
        </w:rPr>
        <w:t>备注：提供本项目招标文件采购需求及评标方法自行编辑。</w:t>
      </w:r>
    </w:p>
    <w:p w14:paraId="40D0E878">
      <w:pPr>
        <w:numPr>
          <w:ilvl w:val="0"/>
          <w:numId w:val="0"/>
        </w:numPr>
        <w:adjustRightInd w:val="0"/>
        <w:snapToGrid w:val="0"/>
        <w:spacing w:beforeLines="50"/>
        <w:jc w:val="center"/>
        <w:rPr>
          <w:rFonts w:hint="eastAsia" w:ascii="宋体" w:hAnsi="宋体" w:eastAsia="黑体" w:cs="宋体"/>
          <w:b/>
          <w:bCs/>
          <w:color w:val="auto"/>
          <w:sz w:val="28"/>
          <w:szCs w:val="28"/>
          <w:highlight w:val="none"/>
          <w:lang w:eastAsia="zh-CN"/>
        </w:rPr>
      </w:pPr>
    </w:p>
    <w:p w14:paraId="069A63CF">
      <w:pPr>
        <w:numPr>
          <w:ilvl w:val="0"/>
          <w:numId w:val="0"/>
        </w:numPr>
        <w:adjustRightInd w:val="0"/>
        <w:snapToGrid w:val="0"/>
        <w:spacing w:beforeLines="50"/>
        <w:jc w:val="center"/>
        <w:rPr>
          <w:rFonts w:hint="eastAsia" w:ascii="宋体" w:hAnsi="宋体" w:eastAsia="黑体" w:cs="宋体"/>
          <w:b/>
          <w:bCs/>
          <w:color w:val="auto"/>
          <w:sz w:val="28"/>
          <w:szCs w:val="28"/>
          <w:highlight w:val="none"/>
          <w:lang w:eastAsia="zh-CN"/>
        </w:rPr>
      </w:pPr>
      <w:r>
        <w:rPr>
          <w:rFonts w:hint="eastAsia" w:ascii="宋体" w:hAnsi="宋体" w:eastAsia="黑体" w:cs="宋体"/>
          <w:b/>
          <w:bCs/>
          <w:color w:val="auto"/>
          <w:sz w:val="28"/>
          <w:szCs w:val="28"/>
          <w:highlight w:val="none"/>
          <w:lang w:eastAsia="zh-CN"/>
        </w:rPr>
        <w:t>十九、节能管理服务</w:t>
      </w:r>
    </w:p>
    <w:p w14:paraId="2DE6AC75">
      <w:pPr>
        <w:adjustRightInd w:val="0"/>
        <w:snapToGrid w:val="0"/>
        <w:spacing w:beforeLines="50"/>
        <w:ind w:firstLine="630" w:firstLineChars="300"/>
        <w:rPr>
          <w:rFonts w:hint="eastAsia" w:ascii="宋体" w:hAnsi="宋体" w:eastAsia="宋体" w:cs="宋体"/>
          <w:color w:val="auto"/>
          <w:szCs w:val="21"/>
          <w:highlight w:val="none"/>
          <w:lang w:eastAsia="zh-CN"/>
        </w:rPr>
      </w:pPr>
      <w:r>
        <w:rPr>
          <w:rFonts w:hint="eastAsia" w:ascii="宋体" w:hAnsi="宋体" w:cs="宋体"/>
          <w:color w:val="auto"/>
          <w:highlight w:val="none"/>
        </w:rPr>
        <w:t>备注：提供本项目招标文件采购需求及评标方法自行编辑。</w:t>
      </w:r>
    </w:p>
    <w:p w14:paraId="5A13B720">
      <w:pPr>
        <w:numPr>
          <w:ilvl w:val="0"/>
          <w:numId w:val="0"/>
        </w:numPr>
        <w:adjustRightInd w:val="0"/>
        <w:snapToGrid w:val="0"/>
        <w:spacing w:beforeLines="50"/>
        <w:jc w:val="both"/>
        <w:rPr>
          <w:rFonts w:hint="eastAsia" w:ascii="宋体" w:hAnsi="宋体" w:eastAsia="黑体" w:cs="宋体"/>
          <w:b/>
          <w:bCs/>
          <w:color w:val="auto"/>
          <w:sz w:val="28"/>
          <w:szCs w:val="28"/>
          <w:highlight w:val="none"/>
          <w:lang w:eastAsia="zh-CN"/>
        </w:rPr>
      </w:pPr>
    </w:p>
    <w:p w14:paraId="651B3145">
      <w:pPr>
        <w:numPr>
          <w:ilvl w:val="0"/>
          <w:numId w:val="0"/>
        </w:numPr>
        <w:adjustRightInd w:val="0"/>
        <w:snapToGrid w:val="0"/>
        <w:spacing w:beforeLines="50"/>
        <w:jc w:val="center"/>
        <w:rPr>
          <w:rFonts w:hint="eastAsia" w:ascii="宋体" w:hAnsi="宋体" w:eastAsia="黑体" w:cs="宋体"/>
          <w:b/>
          <w:bCs/>
          <w:color w:val="auto"/>
          <w:sz w:val="28"/>
          <w:szCs w:val="28"/>
          <w:highlight w:val="none"/>
          <w:lang w:eastAsia="zh-CN"/>
        </w:rPr>
      </w:pPr>
    </w:p>
    <w:p w14:paraId="3558D0DF">
      <w:pPr>
        <w:pStyle w:val="44"/>
        <w:numPr>
          <w:ilvl w:val="0"/>
          <w:numId w:val="0"/>
        </w:numPr>
        <w:ind w:leftChars="400"/>
        <w:rPr>
          <w:rFonts w:hint="eastAsia"/>
          <w:color w:val="auto"/>
          <w:highlight w:val="none"/>
          <w:lang w:eastAsia="zh-CN"/>
        </w:rPr>
      </w:pPr>
    </w:p>
    <w:sectPr>
      <w:footerReference r:id="rId12" w:type="default"/>
      <w:pgSz w:w="11905" w:h="16838"/>
      <w:pgMar w:top="1440" w:right="1587" w:bottom="1440" w:left="1587" w:header="1020" w:footer="567" w:gutter="0"/>
      <w:pgBorders>
        <w:top w:val="none" w:sz="0" w:space="0"/>
        <w:left w:val="none" w:sz="0" w:space="0"/>
        <w:bottom w:val="none" w:sz="0" w:space="0"/>
        <w:right w:val="none" w:sz="0" w:space="0"/>
      </w:pgBorders>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imesNewRomanPSMT">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7B1DC">
    <w:pPr>
      <w:pStyle w:val="30"/>
      <w:ind w:left="180" w:right="359" w:rightChars="171" w:hanging="180" w:hangingChars="100"/>
      <w:rPr>
        <w:rFonts w:eastAsia="楷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E806A">
    <w:pPr>
      <w:pBdr>
        <w:bottom w:val="single" w:color="auto" w:sz="4" w:space="1"/>
      </w:pBdr>
      <w:rPr>
        <w:rFonts w:ascii="宋体" w:hAnsi="宋体" w:cs="宋体"/>
      </w:rPr>
    </w:pPr>
    <w:r>
      <w:rPr>
        <w:rFonts w:ascii="宋体" w:hAnsi="宋体" w:cs="宋体"/>
      </w:rPr>
      <w:pict>
        <v:shape id="_x0000_s3076" o:spid="_x0000_s3076" o:spt="202" type="#_x0000_t202" style="position:absolute;left:0pt;margin-top:6.25pt;height:21.95pt;width:8.15pt;mso-position-horizontal:center;mso-position-horizontal-relative:margin;mso-wrap-style:none;z-index:251663360;mso-width-relative:page;mso-height-relative:page;" filled="f" stroked="f" coordsize="21600,21600" o:gfxdata="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MaWcbSAAAABQEAAA8AAAAAAAAAAQAgAAAAIgAA&#10;AGRycy9kb3ducmV2LnhtbFBLAQIUABQAAAAIAIdO4kCt2UOJDgIAABAEAAAOAAAAAAAAAAEAIAAA&#10;ACEBAABkcnMvZTJvRG9jLnhtbFBLBQYAAAAABgAGAFkBAAChBQAAAAA=&#10;">
          <v:path/>
          <v:fill on="f" focussize="0,0"/>
          <v:stroke on="f" joinstyle="miter"/>
          <v:imagedata o:title=""/>
          <o:lock v:ext="edit"/>
          <v:textbox inset="0mm,0mm,0mm,0mm" style="mso-fit-shape-to-text:t;">
            <w:txbxContent>
              <w:p w14:paraId="436EEAE2">
                <w:pPr>
                  <w:snapToGrid w:val="0"/>
                  <w:rPr>
                    <w:sz w:val="18"/>
                  </w:rPr>
                </w:pPr>
              </w:p>
              <w:p w14:paraId="6A6E950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w:r>
  </w:p>
  <w:p w14:paraId="4185C21F">
    <w:pPr>
      <w:pStyle w:val="30"/>
      <w:rPr>
        <w:rFonts w:ascii="宋体" w:hAnsi="宋体" w:cs="宋体"/>
      </w:rPr>
    </w:pPr>
    <w:r>
      <w:rPr>
        <w:rFonts w:ascii="宋体" w:hAnsi="宋体" w:cs="宋体"/>
      </w:rPr>
      <w:pict>
        <v:shape id="_x0000_s3077" o:spid="_x0000_s3077" o:spt="202" type="#_x0000_t202" style="position:absolute;left:0pt;margin-left:192.8pt;margin-top:3.95pt;height:12.8pt;width:9.05pt;mso-position-horizontal-relative:margin;mso-wrap-style:none;z-index:251662336;mso-width-relative:page;mso-height-relative:page;" filled="f" stroked="f" coordsize="21600,21600" o:gfxdata="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mOf0v1QAAAAgBAAAPAAAAAAAAAAEAIAAA&#10;ACIAAABkcnMvZG93bnJldi54bWxQSwECFAAUAAAACACHTuJA4Qt+0A8CAAAQBAAADgAAAAAAAAAB&#10;ACAAAAAkAQAAZHJzL2Uyb0RvYy54bWxQSwUGAAAAAAYABgBZAQAApQUAAAAA&#10;">
          <v:path/>
          <v:fill on="f" focussize="0,0"/>
          <v:stroke on="f" joinstyle="miter"/>
          <v:imagedata o:title=""/>
          <o:lock v:ext="edit"/>
          <v:textbox inset="0mm,0mm,0mm,0mm" style="mso-fit-shape-to-text:t;">
            <w:txbxContent>
              <w:p w14:paraId="2ABCA41F"/>
            </w:txbxContent>
          </v:textbox>
        </v:shape>
      </w:pict>
    </w:r>
    <w:r>
      <w:rPr>
        <w:rFonts w:hint="eastAsia" w:ascii="宋体" w:hAnsi="宋体" w:cs="宋体"/>
      </w:rPr>
      <w:t>湖南万达项目管理有限公司                              地址：株洲市天元区长江中央商务大厦A座五楼</w:t>
    </w:r>
  </w:p>
  <w:p w14:paraId="733E16FD">
    <w:pPr>
      <w:pStyle w:val="30"/>
      <w:rPr>
        <w:rFonts w:ascii="宋体" w:hAnsi="宋体" w:cs="宋体"/>
      </w:rPr>
    </w:pPr>
    <w:r>
      <w:rPr>
        <w:rFonts w:hint="eastAsia" w:ascii="宋体" w:hAnsi="宋体" w:cs="宋体"/>
      </w:rPr>
      <w:t>邮编：412007                                          电话：0731-</w:t>
    </w:r>
    <w:r>
      <w:rPr>
        <w:rFonts w:hint="eastAsia" w:cs="宋体"/>
      </w:rPr>
      <w:t>22861466</w:t>
    </w:r>
  </w:p>
  <w:p w14:paraId="74A37702">
    <w:pPr>
      <w:pStyle w:val="30"/>
      <w:rPr>
        <w:rFonts w:ascii="宋体" w:hAnsi="宋体" w:cs="宋体"/>
      </w:rPr>
    </w:pPr>
    <w:r>
      <w:rPr>
        <w:rFonts w:hint="eastAsia" w:ascii="宋体" w:hAnsi="宋体" w:cs="宋体"/>
      </w:rPr>
      <w:t>E-mail：HNWD88888@163.com                             传真：0731-22885223</w:t>
    </w:r>
  </w:p>
  <w:p w14:paraId="2A9BEFAF">
    <w:pPr>
      <w:pStyle w:val="30"/>
      <w:ind w:left="180" w:right="359" w:rightChars="171" w:hanging="180" w:hangingChars="100"/>
      <w:rPr>
        <w:rFonts w:eastAsia="楷体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00733">
    <w:pPr>
      <w:pBdr>
        <w:bottom w:val="single" w:color="auto" w:sz="4" w:space="1"/>
      </w:pBdr>
      <w:rPr>
        <w:rFonts w:ascii="宋体" w:hAnsi="宋体" w:cs="宋体"/>
      </w:rPr>
    </w:pPr>
    <w:r>
      <w:rPr>
        <w:rFonts w:ascii="宋体" w:hAnsi="宋体" w:cs="宋体"/>
      </w:rPr>
      <w:pict>
        <v:shape id="_x0000_s3074" o:spid="_x0000_s3074" o:spt="202" type="#_x0000_t202" style="position:absolute;left:0pt;margin-top:6.25pt;height:21.95pt;width:8.15pt;mso-position-horizontal:center;mso-position-horizontal-relative:margin;mso-wrap-style:none;z-index:251660288;mso-width-relative:page;mso-height-relative:page;" filled="f" stroked="f" coordsize="21600,21600" o:gfxdata="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zGlnG0gAAAAUBAAAPAAAAAAAAAAEAIAAAACIA&#10;AABkcnMvZG93bnJldi54bWxQSwECFAAUAAAACACHTuJA7FBmiQ8CAAASBAAADgAAAAAAAAABACAA&#10;AAAhAQAAZHJzL2Uyb0RvYy54bWxQSwUGAAAAAAYABgBZAQAAogUAAAAA&#10;">
          <v:path/>
          <v:fill on="f" focussize="0,0"/>
          <v:stroke on="f" joinstyle="miter"/>
          <v:imagedata o:title=""/>
          <o:lock v:ext="edit"/>
          <v:textbox inset="0mm,0mm,0mm,0mm" style="mso-fit-shape-to-text:t;">
            <w:txbxContent>
              <w:p w14:paraId="7A8EAB68">
                <w:pPr>
                  <w:snapToGrid w:val="0"/>
                  <w:rPr>
                    <w:sz w:val="18"/>
                  </w:rPr>
                </w:pPr>
              </w:p>
              <w:p w14:paraId="20FAE6A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51</w:t>
                </w:r>
                <w:r>
                  <w:rPr>
                    <w:rFonts w:hint="eastAsia"/>
                    <w:sz w:val="18"/>
                  </w:rPr>
                  <w:fldChar w:fldCharType="end"/>
                </w:r>
              </w:p>
            </w:txbxContent>
          </v:textbox>
        </v:shape>
      </w:pict>
    </w:r>
  </w:p>
  <w:p w14:paraId="2A1FFC10">
    <w:pPr>
      <w:pStyle w:val="30"/>
      <w:rPr>
        <w:rFonts w:ascii="宋体" w:hAnsi="宋体" w:cs="宋体"/>
      </w:rPr>
    </w:pPr>
    <w:r>
      <w:rPr>
        <w:rFonts w:ascii="宋体" w:hAnsi="宋体" w:cs="宋体"/>
      </w:rPr>
      <w:pict>
        <v:shape id="_x0000_s3073" o:spid="_x0000_s3073" o:spt="202" type="#_x0000_t202" style="position:absolute;left:0pt;margin-left:192.8pt;margin-top:3.95pt;height:12.8pt;width:9.05pt;mso-position-horizontal-relative:margin;mso-wrap-style:none;z-index:251659264;mso-width-relative:page;mso-height-relative:page;" filled="f" stroked="f" coordsize="21600,21600" o:gfxdata="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mOf0v1QAAAAgBAAAPAAAAAAAAAAEAIAAA&#10;ACIAAABkcnMvZG93bnJldi54bWxQSwECFAAUAAAACACHTuJAdlKFWg8CAAASBAAADgAAAAAAAAAB&#10;ACAAAAAkAQAAZHJzL2Uyb0RvYy54bWxQSwUGAAAAAAYABgBZAQAApQUAAAAA&#10;">
          <v:path/>
          <v:fill on="f" focussize="0,0"/>
          <v:stroke on="f" joinstyle="miter"/>
          <v:imagedata o:title=""/>
          <o:lock v:ext="edit"/>
          <v:textbox inset="0mm,0mm,0mm,0mm" style="mso-fit-shape-to-text:t;">
            <w:txbxContent>
              <w:p w14:paraId="26C30BF7"/>
            </w:txbxContent>
          </v:textbox>
        </v:shape>
      </w:pict>
    </w:r>
    <w:r>
      <w:rPr>
        <w:rFonts w:hint="eastAsia" w:ascii="宋体" w:hAnsi="宋体" w:cs="宋体"/>
      </w:rPr>
      <w:t>湖南万达项目管理有限公司                              地址：株洲市天元区长江中央商务大厦A座五楼</w:t>
    </w:r>
  </w:p>
  <w:p w14:paraId="45CDF1A1">
    <w:pPr>
      <w:pStyle w:val="30"/>
      <w:rPr>
        <w:rFonts w:ascii="宋体" w:hAnsi="宋体" w:cs="宋体"/>
      </w:rPr>
    </w:pPr>
    <w:r>
      <w:rPr>
        <w:rFonts w:hint="eastAsia" w:ascii="宋体" w:hAnsi="宋体" w:cs="宋体"/>
      </w:rPr>
      <w:t>邮编：412007                                          电话：0731-22885118</w:t>
    </w:r>
  </w:p>
  <w:p w14:paraId="04005C03">
    <w:pPr>
      <w:pStyle w:val="30"/>
      <w:rPr>
        <w:rFonts w:ascii="宋体" w:hAnsi="宋体" w:cs="宋体"/>
      </w:rPr>
    </w:pPr>
    <w:r>
      <w:rPr>
        <w:rFonts w:hint="eastAsia" w:ascii="宋体" w:hAnsi="宋体" w:cs="宋体"/>
      </w:rPr>
      <w:t>E-mail：HNWD88888@163.com                             传真：0731-22885223</w:t>
    </w:r>
  </w:p>
  <w:p w14:paraId="76C1833A">
    <w:pPr>
      <w:pStyle w:val="30"/>
      <w:ind w:left="180" w:right="359" w:rightChars="171" w:hanging="180" w:hangingChars="100"/>
      <w:rPr>
        <w:rFonts w:eastAsia="楷体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7DB8D">
    <w:pPr>
      <w:pBdr>
        <w:bottom w:val="single" w:color="auto" w:sz="4" w:space="1"/>
      </w:pBdr>
      <w:rPr>
        <w:rFonts w:ascii="宋体" w:hAnsi="宋体" w:cs="宋体"/>
      </w:rPr>
    </w:pPr>
    <w:r>
      <w:rPr>
        <w:rFonts w:ascii="宋体" w:hAnsi="宋体" w:cs="宋体"/>
      </w:rPr>
      <w:pict>
        <v:shape id="_x0000_s3080" o:spid="_x0000_s3080" o:spt="202" type="#_x0000_t202" style="position:absolute;left:0pt;margin-top:6.25pt;height:21.95pt;width:8.15pt;mso-position-horizontal:center;mso-position-horizontal-relative:margin;mso-wrap-style:none;z-index:251665408;mso-width-relative:page;mso-height-relative:page;" filled="f" stroked="f" coordsize="21600,21600" o:gfxdata="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zGlnG0gAAAAUBAAAPAAAAAAAAAAEAIAAAACIA&#10;AABkcnMvZG93bnJldi54bWxQSwECFAAUAAAACACHTuJA7FBmiQ8CAAASBAAADgAAAAAAAAABACAA&#10;AAAhAQAAZHJzL2Uyb0RvYy54bWxQSwUGAAAAAAYABgBZAQAAogUAAAAA&#10;">
          <v:path/>
          <v:fill on="f" focussize="0,0"/>
          <v:stroke on="f" joinstyle="miter"/>
          <v:imagedata o:title=""/>
          <o:lock v:ext="edit"/>
          <v:textbox inset="0mm,0mm,0mm,0mm" style="mso-fit-shape-to-text:t;">
            <w:txbxContent>
              <w:p w14:paraId="5A53FE43">
                <w:pPr>
                  <w:snapToGrid w:val="0"/>
                  <w:rPr>
                    <w:sz w:val="18"/>
                  </w:rPr>
                </w:pPr>
              </w:p>
              <w:p w14:paraId="75C5616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51</w:t>
                </w:r>
                <w:r>
                  <w:rPr>
                    <w:rFonts w:hint="eastAsia"/>
                    <w:sz w:val="18"/>
                  </w:rPr>
                  <w:fldChar w:fldCharType="end"/>
                </w:r>
              </w:p>
            </w:txbxContent>
          </v:textbox>
        </v:shape>
      </w:pict>
    </w:r>
  </w:p>
  <w:p w14:paraId="05DADB55">
    <w:pPr>
      <w:pStyle w:val="30"/>
      <w:rPr>
        <w:rFonts w:ascii="宋体" w:hAnsi="宋体" w:cs="宋体"/>
      </w:rPr>
    </w:pPr>
    <w:r>
      <w:rPr>
        <w:rFonts w:ascii="宋体" w:hAnsi="宋体" w:cs="宋体"/>
      </w:rPr>
      <w:pict>
        <v:shape id="_x0000_s3081" o:spid="_x0000_s3081" o:spt="202" type="#_x0000_t202" style="position:absolute;left:0pt;margin-left:192.8pt;margin-top:3.95pt;height:12.8pt;width:9.05pt;mso-position-horizontal-relative:margin;mso-wrap-style:none;z-index:251664384;mso-width-relative:page;mso-height-relative:page;" filled="f" stroked="f" coordsize="21600,21600" o:gfxdata="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mOf0v1QAAAAgBAAAPAAAAAAAAAAEAIAAA&#10;ACIAAABkcnMvZG93bnJldi54bWxQSwECFAAUAAAACACHTuJAdlKFWg8CAAASBAAADgAAAAAAAAAB&#10;ACAAAAAkAQAAZHJzL2Uyb0RvYy54bWxQSwUGAAAAAAYABgBZAQAApQUAAAAA&#10;">
          <v:path/>
          <v:fill on="f" focussize="0,0"/>
          <v:stroke on="f" joinstyle="miter"/>
          <v:imagedata o:title=""/>
          <o:lock v:ext="edit"/>
          <v:textbox inset="0mm,0mm,0mm,0mm" style="mso-fit-shape-to-text:t;">
            <w:txbxContent>
              <w:p w14:paraId="0B9B2D47"/>
            </w:txbxContent>
          </v:textbox>
        </v:shape>
      </w:pict>
    </w:r>
    <w:r>
      <w:rPr>
        <w:rFonts w:hint="eastAsia" w:ascii="宋体" w:hAnsi="宋体" w:cs="宋体"/>
      </w:rPr>
      <w:t xml:space="preserve">湖南万达项目管理有限公司                           </w:t>
    </w:r>
    <w:r>
      <w:rPr>
        <w:rFonts w:hint="eastAsia" w:ascii="宋体" w:hAnsi="宋体" w:cs="宋体"/>
        <w:lang w:val="en-US" w:eastAsia="zh-CN"/>
      </w:rPr>
      <w:t xml:space="preserve">                                               </w:t>
    </w:r>
    <w:r>
      <w:rPr>
        <w:rFonts w:hint="eastAsia" w:ascii="宋体" w:hAnsi="宋体" w:cs="宋体"/>
      </w:rPr>
      <w:t xml:space="preserve">   地址：株洲市天元区长江中央商务大厦A座五楼</w:t>
    </w:r>
  </w:p>
  <w:p w14:paraId="7590C294">
    <w:pPr>
      <w:pStyle w:val="30"/>
      <w:rPr>
        <w:rFonts w:ascii="宋体" w:hAnsi="宋体" w:cs="宋体"/>
      </w:rPr>
    </w:pPr>
    <w:r>
      <w:rPr>
        <w:rFonts w:hint="eastAsia" w:ascii="宋体" w:hAnsi="宋体" w:cs="宋体"/>
      </w:rPr>
      <w:t xml:space="preserve">邮编：412007                                       </w:t>
    </w:r>
    <w:r>
      <w:rPr>
        <w:rFonts w:hint="eastAsia" w:ascii="宋体" w:hAnsi="宋体" w:cs="宋体"/>
        <w:lang w:val="en-US" w:eastAsia="zh-CN"/>
      </w:rPr>
      <w:t xml:space="preserve">                                                  </w:t>
    </w:r>
    <w:r>
      <w:rPr>
        <w:rFonts w:hint="eastAsia" w:ascii="宋体" w:hAnsi="宋体" w:cs="宋体"/>
      </w:rPr>
      <w:t>电话：0731-</w:t>
    </w:r>
    <w:r>
      <w:rPr>
        <w:rFonts w:hint="eastAsia" w:cs="宋体"/>
      </w:rPr>
      <w:t>22861466</w:t>
    </w:r>
  </w:p>
  <w:p w14:paraId="6B0AD640">
    <w:pPr>
      <w:pStyle w:val="30"/>
      <w:rPr>
        <w:rFonts w:ascii="宋体" w:hAnsi="宋体" w:cs="宋体"/>
      </w:rPr>
    </w:pPr>
    <w:r>
      <w:rPr>
        <w:rFonts w:hint="eastAsia" w:ascii="宋体" w:hAnsi="宋体" w:cs="宋体"/>
      </w:rPr>
      <w:t xml:space="preserve">E-mail：HNWD88888@163.com                            </w:t>
    </w:r>
    <w:r>
      <w:rPr>
        <w:rFonts w:hint="eastAsia" w:ascii="宋体" w:hAnsi="宋体" w:cs="宋体"/>
        <w:lang w:val="en-US" w:eastAsia="zh-CN"/>
      </w:rPr>
      <w:t xml:space="preserve">                                               </w:t>
    </w:r>
    <w:r>
      <w:rPr>
        <w:rFonts w:hint="eastAsia" w:ascii="宋体" w:hAnsi="宋体" w:cs="宋体"/>
      </w:rPr>
      <w:t xml:space="preserve"> 传真：0731-22885223</w:t>
    </w:r>
  </w:p>
  <w:p w14:paraId="3295358C">
    <w:pPr>
      <w:pStyle w:val="30"/>
      <w:ind w:left="180" w:right="359" w:rightChars="171" w:hanging="180" w:hangingChars="100"/>
      <w:rPr>
        <w:rFonts w:hint="eastAsia" w:eastAsia="楷体_GB2312"/>
        <w:lang w:val="en-US" w:eastAsia="zh-CN"/>
      </w:rPr>
    </w:pPr>
    <w:r>
      <w:rPr>
        <w:rFonts w:hint="eastAsia" w:eastAsia="楷体_GB2312"/>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1DFD5">
    <w:pPr>
      <w:pBdr>
        <w:bottom w:val="single" w:color="auto" w:sz="4" w:space="1"/>
      </w:pBdr>
      <w:rPr>
        <w:rFonts w:ascii="宋体" w:hAnsi="宋体" w:cs="宋体"/>
      </w:rPr>
    </w:pPr>
    <w:r>
      <w:rPr>
        <w:rFonts w:ascii="宋体" w:hAnsi="宋体" w:cs="宋体"/>
      </w:rPr>
      <w:pict>
        <v:shape id="_x0000_s3086" o:spid="_x0000_s3086" o:spt="202" type="#_x0000_t202" style="position:absolute;left:0pt;margin-top:6.25pt;height:21.95pt;width:8.15pt;mso-position-horizontal:center;mso-position-horizontal-relative:margin;mso-wrap-style:none;z-index:251669504;mso-width-relative:page;mso-height-relative:page;" filled="f" stroked="f" coordsize="21600,21600" o:gfxdata="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zGlnG0gAAAAUBAAAPAAAAAAAAAAEAIAAAACIA&#10;AABkcnMvZG93bnJldi54bWxQSwECFAAUAAAACACHTuJA7FBmiQ8CAAASBAAADgAAAAAAAAABACAA&#10;AAAhAQAAZHJzL2Uyb0RvYy54bWxQSwUGAAAAAAYABgBZAQAAogUAAAAA&#10;">
          <v:path/>
          <v:fill on="f" focussize="0,0"/>
          <v:stroke on="f" joinstyle="miter"/>
          <v:imagedata o:title=""/>
          <o:lock v:ext="edit"/>
          <v:textbox inset="0mm,0mm,0mm,0mm" style="mso-fit-shape-to-text:t;">
            <w:txbxContent>
              <w:p w14:paraId="28B3DDE9">
                <w:pPr>
                  <w:snapToGrid w:val="0"/>
                  <w:rPr>
                    <w:sz w:val="18"/>
                  </w:rPr>
                </w:pPr>
              </w:p>
              <w:p w14:paraId="0E2CD76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51</w:t>
                </w:r>
                <w:r>
                  <w:rPr>
                    <w:rFonts w:hint="eastAsia"/>
                    <w:sz w:val="18"/>
                  </w:rPr>
                  <w:fldChar w:fldCharType="end"/>
                </w:r>
              </w:p>
            </w:txbxContent>
          </v:textbox>
        </v:shape>
      </w:pict>
    </w:r>
  </w:p>
  <w:p w14:paraId="70CB7C24">
    <w:pPr>
      <w:pStyle w:val="30"/>
      <w:rPr>
        <w:rFonts w:ascii="宋体" w:hAnsi="宋体" w:cs="宋体"/>
      </w:rPr>
    </w:pPr>
    <w:r>
      <w:rPr>
        <w:rFonts w:ascii="宋体" w:hAnsi="宋体" w:cs="宋体"/>
      </w:rPr>
      <w:pict>
        <v:shape id="_x0000_s3087" o:spid="_x0000_s3087" o:spt="202" type="#_x0000_t202" style="position:absolute;left:0pt;margin-left:192.8pt;margin-top:3.95pt;height:12.8pt;width:9.05pt;mso-position-horizontal-relative:margin;mso-wrap-style:none;z-index:251668480;mso-width-relative:page;mso-height-relative:page;" filled="f" stroked="f" coordsize="21600,21600" o:gfxdata="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mOf0v1QAAAAgBAAAPAAAAAAAAAAEAIAAA&#10;ACIAAABkcnMvZG93bnJldi54bWxQSwECFAAUAAAACACHTuJAdlKFWg8CAAASBAAADgAAAAAAAAAB&#10;ACAAAAAkAQAAZHJzL2Uyb0RvYy54bWxQSwUGAAAAAAYABgBZAQAApQUAAAAA&#10;">
          <v:path/>
          <v:fill on="f" focussize="0,0"/>
          <v:stroke on="f" joinstyle="miter"/>
          <v:imagedata o:title=""/>
          <o:lock v:ext="edit"/>
          <v:textbox inset="0mm,0mm,0mm,0mm" style="mso-fit-shape-to-text:t;">
            <w:txbxContent>
              <w:p w14:paraId="5CFF590A"/>
            </w:txbxContent>
          </v:textbox>
        </v:shape>
      </w:pict>
    </w:r>
    <w:r>
      <w:rPr>
        <w:rFonts w:hint="eastAsia" w:ascii="宋体" w:hAnsi="宋体" w:cs="宋体"/>
      </w:rPr>
      <w:t>湖南万达项目管理有限公司                              地址：株洲市天元区长江中央商务大厦A座五楼</w:t>
    </w:r>
  </w:p>
  <w:p w14:paraId="3EC20242">
    <w:pPr>
      <w:pStyle w:val="30"/>
      <w:rPr>
        <w:rFonts w:ascii="宋体" w:hAnsi="宋体" w:cs="宋体"/>
      </w:rPr>
    </w:pPr>
    <w:r>
      <w:rPr>
        <w:rFonts w:hint="eastAsia" w:ascii="宋体" w:hAnsi="宋体" w:cs="宋体"/>
      </w:rPr>
      <w:t>邮编：412007                                          电话：0731-</w:t>
    </w:r>
    <w:r>
      <w:rPr>
        <w:rFonts w:hint="eastAsia" w:cs="宋体"/>
      </w:rPr>
      <w:t>22861466</w:t>
    </w:r>
  </w:p>
  <w:p w14:paraId="1741F221">
    <w:pPr>
      <w:pStyle w:val="30"/>
      <w:rPr>
        <w:rFonts w:ascii="宋体" w:hAnsi="宋体" w:cs="宋体"/>
      </w:rPr>
    </w:pPr>
    <w:r>
      <w:rPr>
        <w:rFonts w:hint="eastAsia" w:ascii="宋体" w:hAnsi="宋体" w:cs="宋体"/>
      </w:rPr>
      <w:t>E-mail：HNWD88888@163.com                             传真：0731-22885223</w:t>
    </w:r>
  </w:p>
  <w:p w14:paraId="41CC16D3">
    <w:pPr>
      <w:pStyle w:val="30"/>
      <w:ind w:left="180" w:right="359" w:rightChars="171" w:hanging="180" w:hangingChars="100"/>
      <w:rPr>
        <w:rFonts w:hint="eastAsia" w:eastAsia="楷体_GB2312"/>
        <w:lang w:val="en-US" w:eastAsia="zh-CN"/>
      </w:rPr>
    </w:pPr>
    <w:r>
      <w:rPr>
        <w:rFonts w:hint="eastAsia" w:eastAsia="楷体_GB2312"/>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F8FA1">
    <w:pPr>
      <w:pBdr>
        <w:bottom w:val="single" w:color="auto" w:sz="4" w:space="1"/>
      </w:pBdr>
      <w:rPr>
        <w:rFonts w:ascii="宋体" w:hAnsi="宋体" w:cs="宋体"/>
      </w:rPr>
    </w:pPr>
    <w:r>
      <w:rPr>
        <w:rFonts w:ascii="宋体" w:hAnsi="宋体" w:cs="宋体"/>
      </w:rPr>
      <w:pict>
        <v:shape id="_x0000_s3082" o:spid="_x0000_s3082" o:spt="202" type="#_x0000_t202" style="position:absolute;left:0pt;margin-top:6.25pt;height:21.95pt;width:8.15pt;mso-position-horizontal:center;mso-position-horizontal-relative:margin;mso-wrap-style:none;z-index:251667456;mso-width-relative:page;mso-height-relative:page;" filled="f" stroked="f" coordsize="21600,21600" o:gfxdata="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zGlnG0gAAAAUBAAAPAAAAAAAAAAEAIAAAACIA&#10;AABkcnMvZG93bnJldi54bWxQSwECFAAUAAAACACHTuJA7FBmiQ8CAAASBAAADgAAAAAAAAABACAA&#10;AAAhAQAAZHJzL2Uyb0RvYy54bWxQSwUGAAAAAAYABgBZAQAAogUAAAAA&#10;">
          <v:path/>
          <v:fill on="f" focussize="0,0"/>
          <v:stroke on="f" joinstyle="miter"/>
          <v:imagedata o:title=""/>
          <o:lock v:ext="edit"/>
          <v:textbox inset="0mm,0mm,0mm,0mm" style="mso-fit-shape-to-text:t;">
            <w:txbxContent>
              <w:p w14:paraId="54F80F06">
                <w:pPr>
                  <w:snapToGrid w:val="0"/>
                  <w:rPr>
                    <w:sz w:val="18"/>
                  </w:rPr>
                </w:pPr>
              </w:p>
              <w:p w14:paraId="5F9D414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51</w:t>
                </w:r>
                <w:r>
                  <w:rPr>
                    <w:rFonts w:hint="eastAsia"/>
                    <w:sz w:val="18"/>
                  </w:rPr>
                  <w:fldChar w:fldCharType="end"/>
                </w:r>
              </w:p>
            </w:txbxContent>
          </v:textbox>
        </v:shape>
      </w:pict>
    </w:r>
  </w:p>
  <w:p w14:paraId="00D384CF">
    <w:pPr>
      <w:pStyle w:val="30"/>
      <w:rPr>
        <w:rFonts w:ascii="宋体" w:hAnsi="宋体" w:cs="宋体"/>
      </w:rPr>
    </w:pPr>
    <w:r>
      <w:rPr>
        <w:rFonts w:ascii="宋体" w:hAnsi="宋体" w:cs="宋体"/>
      </w:rPr>
      <w:pict>
        <v:shape id="_x0000_s3083" o:spid="_x0000_s3083" o:spt="202" type="#_x0000_t202" style="position:absolute;left:0pt;margin-left:192.8pt;margin-top:3.95pt;height:12.8pt;width:9.05pt;mso-position-horizontal-relative:margin;mso-wrap-style:none;z-index:251666432;mso-width-relative:page;mso-height-relative:page;" filled="f" stroked="f" coordsize="21600,21600" o:gfxdata="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mOf0v1QAAAAgBAAAPAAAAAAAAAAEAIAAA&#10;ACIAAABkcnMvZG93bnJldi54bWxQSwECFAAUAAAACACHTuJAdlKFWg8CAAASBAAADgAAAAAAAAAB&#10;ACAAAAAkAQAAZHJzL2Uyb0RvYy54bWxQSwUGAAAAAAYABgBZAQAApQUAAAAA&#10;">
          <v:path/>
          <v:fill on="f" focussize="0,0"/>
          <v:stroke on="f" joinstyle="miter"/>
          <v:imagedata o:title=""/>
          <o:lock v:ext="edit"/>
          <v:textbox inset="0mm,0mm,0mm,0mm" style="mso-fit-shape-to-text:t;">
            <w:txbxContent>
              <w:p w14:paraId="72D45E86"/>
            </w:txbxContent>
          </v:textbox>
        </v:shape>
      </w:pict>
    </w:r>
    <w:r>
      <w:rPr>
        <w:rFonts w:hint="eastAsia" w:ascii="宋体" w:hAnsi="宋体" w:cs="宋体"/>
      </w:rPr>
      <w:t>湖南万达项目管理有限公司                              地址：株洲市天元区长江中央商务大厦A座五楼</w:t>
    </w:r>
  </w:p>
  <w:p w14:paraId="24239E82">
    <w:pPr>
      <w:pStyle w:val="30"/>
      <w:rPr>
        <w:rFonts w:ascii="宋体" w:hAnsi="宋体" w:cs="宋体"/>
      </w:rPr>
    </w:pPr>
    <w:r>
      <w:rPr>
        <w:rFonts w:hint="eastAsia" w:ascii="宋体" w:hAnsi="宋体" w:cs="宋体"/>
      </w:rPr>
      <w:t>邮编：412007                                          电话：0731-</w:t>
    </w:r>
    <w:r>
      <w:rPr>
        <w:rFonts w:hint="eastAsia" w:cs="宋体"/>
      </w:rPr>
      <w:t>22861466</w:t>
    </w:r>
  </w:p>
  <w:p w14:paraId="2366DB34">
    <w:pPr>
      <w:pStyle w:val="30"/>
      <w:rPr>
        <w:rFonts w:ascii="宋体" w:hAnsi="宋体" w:cs="宋体"/>
      </w:rPr>
    </w:pPr>
    <w:r>
      <w:rPr>
        <w:rFonts w:hint="eastAsia" w:ascii="宋体" w:hAnsi="宋体" w:cs="宋体"/>
      </w:rPr>
      <w:t>E-mail：HNWD88888@163.com                             传真：0731-22885223</w:t>
    </w:r>
  </w:p>
  <w:p w14:paraId="52924A55">
    <w:pPr>
      <w:pStyle w:val="30"/>
      <w:ind w:left="180" w:right="359" w:rightChars="171" w:hanging="180" w:hangingChars="100"/>
      <w:rPr>
        <w:rFonts w:eastAsia="楷体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ABA27">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1FD65">
    <w:pPr>
      <w:pStyle w:val="31"/>
      <w:pBdr>
        <w:bottom w:val="none" w:color="auto" w:sz="0" w:space="0"/>
      </w:pBdr>
      <w:jc w:val="both"/>
      <w:rPr>
        <w:u w:val="single"/>
      </w:rPr>
    </w:pPr>
    <w:r>
      <w:rPr>
        <w:rFonts w:hint="eastAsia"/>
        <w:u w:val="single"/>
        <w:lang w:eastAsia="zh-CN"/>
      </w:rPr>
      <w:t>2024年-2026年度物业服务采购项目</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lang w:val="en-US" w:eastAsia="zh-CN"/>
      </w:rPr>
      <w:t xml:space="preserve">                                              </w:t>
    </w:r>
    <w:r>
      <w:rPr>
        <w:rFonts w:hint="eastAsia" w:ascii="宋体" w:hAnsi="宋体"/>
        <w:szCs w:val="21"/>
        <w:u w:val="single"/>
      </w:rPr>
      <w:t>招标文件</w:t>
    </w:r>
  </w:p>
  <w:p w14:paraId="30ED7316">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0C788">
    <w:pPr>
      <w:pStyle w:val="31"/>
      <w:pBdr>
        <w:bottom w:val="none" w:color="auto" w:sz="0" w:space="0"/>
      </w:pBdr>
      <w:jc w:val="both"/>
      <w:rPr>
        <w:u w:val="single"/>
      </w:rPr>
    </w:pPr>
    <w:r>
      <w:rPr>
        <w:rFonts w:hint="eastAsia"/>
        <w:u w:val="single"/>
        <w:lang w:eastAsia="zh-CN"/>
      </w:rPr>
      <w:t>2024年-2026年度物业服务采购项目</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lang w:val="en-US" w:eastAsia="zh-CN"/>
      </w:rPr>
      <w:t xml:space="preserve">                                                                                            </w:t>
    </w:r>
    <w:r>
      <w:rPr>
        <w:rFonts w:hint="eastAsia" w:ascii="宋体" w:hAnsi="宋体"/>
        <w:szCs w:val="21"/>
        <w:u w:val="single"/>
      </w:rPr>
      <w:t>招标文件</w:t>
    </w:r>
  </w:p>
  <w:p w14:paraId="0A71134A">
    <w:pPr>
      <w:pStyle w:val="3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53A72">
    <w:pPr>
      <w:pStyle w:val="31"/>
      <w:pBdr>
        <w:bottom w:val="none" w:color="auto" w:sz="0" w:space="0"/>
      </w:pBdr>
      <w:jc w:val="both"/>
      <w:rPr>
        <w:u w:val="single"/>
      </w:rPr>
    </w:pPr>
    <w:r>
      <w:rPr>
        <w:rFonts w:hint="eastAsia"/>
        <w:u w:val="single"/>
        <w:lang w:eastAsia="zh-CN"/>
      </w:rPr>
      <w:t>2024年-2026年度物业服务采购项目</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lang w:val="en-US" w:eastAsia="zh-CN"/>
      </w:rPr>
      <w:t xml:space="preserve">                                 </w:t>
    </w:r>
    <w:r>
      <w:rPr>
        <w:rFonts w:hint="eastAsia" w:ascii="宋体" w:hAnsi="宋体"/>
        <w:szCs w:val="21"/>
        <w:u w:val="single"/>
      </w:rPr>
      <w:t>招标文件</w:t>
    </w:r>
  </w:p>
  <w:p w14:paraId="6C005F0D">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83AB5"/>
    <w:multiLevelType w:val="singleLevel"/>
    <w:tmpl w:val="88483AB5"/>
    <w:lvl w:ilvl="0" w:tentative="0">
      <w:start w:val="1"/>
      <w:numFmt w:val="decimal"/>
      <w:lvlText w:val="(%1)"/>
      <w:lvlJc w:val="left"/>
      <w:pPr>
        <w:ind w:left="425" w:hanging="425"/>
      </w:pPr>
      <w:rPr>
        <w:rFonts w:hint="default"/>
      </w:rPr>
    </w:lvl>
  </w:abstractNum>
  <w:abstractNum w:abstractNumId="1">
    <w:nsid w:val="CCD19F58"/>
    <w:multiLevelType w:val="singleLevel"/>
    <w:tmpl w:val="CCD19F58"/>
    <w:lvl w:ilvl="0" w:tentative="0">
      <w:start w:val="1"/>
      <w:numFmt w:val="upperLetter"/>
      <w:lvlText w:val="%1."/>
      <w:lvlJc w:val="left"/>
      <w:pPr>
        <w:ind w:left="425" w:hanging="425"/>
      </w:pPr>
      <w:rPr>
        <w:rFonts w:hint="default"/>
      </w:rPr>
    </w:lvl>
  </w:abstractNum>
  <w:abstractNum w:abstractNumId="2">
    <w:nsid w:val="DA4994EF"/>
    <w:multiLevelType w:val="singleLevel"/>
    <w:tmpl w:val="DA4994EF"/>
    <w:lvl w:ilvl="0" w:tentative="0">
      <w:start w:val="3"/>
      <w:numFmt w:val="decimal"/>
      <w:suff w:val="nothing"/>
      <w:lvlText w:val="%1、"/>
      <w:lvlJc w:val="left"/>
    </w:lvl>
  </w:abstractNum>
  <w:abstractNum w:abstractNumId="3">
    <w:nsid w:val="E607C699"/>
    <w:multiLevelType w:val="singleLevel"/>
    <w:tmpl w:val="E607C699"/>
    <w:lvl w:ilvl="0" w:tentative="0">
      <w:start w:val="1"/>
      <w:numFmt w:val="upperLetter"/>
      <w:lvlText w:val="%1."/>
      <w:lvlJc w:val="left"/>
      <w:pPr>
        <w:ind w:left="425" w:hanging="425"/>
      </w:pPr>
      <w:rPr>
        <w:rFonts w:hint="default"/>
      </w:rPr>
    </w:lvl>
  </w:abstractNum>
  <w:abstractNum w:abstractNumId="4">
    <w:nsid w:val="EB6398B9"/>
    <w:multiLevelType w:val="singleLevel"/>
    <w:tmpl w:val="EB6398B9"/>
    <w:lvl w:ilvl="0" w:tentative="0">
      <w:start w:val="1"/>
      <w:numFmt w:val="decimal"/>
      <w:lvlText w:val="(%1)"/>
      <w:lvlJc w:val="left"/>
      <w:pPr>
        <w:ind w:left="425" w:hanging="425"/>
      </w:pPr>
      <w:rPr>
        <w:rFonts w:hint="default"/>
      </w:rPr>
    </w:lvl>
  </w:abstractNum>
  <w:abstractNum w:abstractNumId="5">
    <w:nsid w:val="0508294C"/>
    <w:multiLevelType w:val="multilevel"/>
    <w:tmpl w:val="0508294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64108E3"/>
    <w:multiLevelType w:val="multilevel"/>
    <w:tmpl w:val="064108E3"/>
    <w:lvl w:ilvl="0" w:tentative="0">
      <w:start w:val="1"/>
      <w:numFmt w:val="decimal"/>
      <w:lvlText w:val="%1."/>
      <w:lvlJc w:val="left"/>
      <w:pPr>
        <w:ind w:left="1271" w:hanging="420"/>
      </w:pPr>
      <w:rPr>
        <w:rFonts w:hint="default" w:ascii="Times New Roman" w:hAnsi="Times New Roman" w:cs="Times New Roman"/>
      </w:rPr>
    </w:lvl>
    <w:lvl w:ilvl="1" w:tentative="0">
      <w:start w:val="1"/>
      <w:numFmt w:val="decimal"/>
      <w:lvlText w:val="%2."/>
      <w:lvlJc w:val="left"/>
      <w:pPr>
        <w:ind w:left="1890" w:hanging="420"/>
      </w:pPr>
      <w:rPr>
        <w:rFonts w:hint="default" w:ascii="Times New Roman" w:hAnsi="Times New Roman" w:cs="Times New Roman"/>
      </w:rPr>
    </w:lvl>
    <w:lvl w:ilvl="2" w:tentative="0">
      <w:start w:val="1"/>
      <w:numFmt w:val="lowerRoman"/>
      <w:lvlText w:val="%3."/>
      <w:lvlJc w:val="right"/>
      <w:pPr>
        <w:ind w:left="2111" w:hanging="420"/>
      </w:pPr>
      <w:rPr>
        <w:rFonts w:hint="default" w:ascii="Times New Roman" w:hAnsi="Times New Roman" w:cs="Times New Roman"/>
      </w:rPr>
    </w:lvl>
    <w:lvl w:ilvl="3" w:tentative="0">
      <w:start w:val="1"/>
      <w:numFmt w:val="decimal"/>
      <w:lvlText w:val="%4."/>
      <w:lvlJc w:val="left"/>
      <w:pPr>
        <w:ind w:left="2531" w:hanging="420"/>
      </w:pPr>
      <w:rPr>
        <w:rFonts w:hint="default" w:ascii="Times New Roman" w:hAnsi="Times New Roman" w:cs="Times New Roman"/>
      </w:rPr>
    </w:lvl>
    <w:lvl w:ilvl="4" w:tentative="0">
      <w:start w:val="1"/>
      <w:numFmt w:val="lowerLetter"/>
      <w:lvlText w:val="%5)"/>
      <w:lvlJc w:val="left"/>
      <w:pPr>
        <w:ind w:left="2951" w:hanging="420"/>
      </w:pPr>
      <w:rPr>
        <w:rFonts w:hint="default" w:ascii="Times New Roman" w:hAnsi="Times New Roman" w:cs="Times New Roman"/>
      </w:rPr>
    </w:lvl>
    <w:lvl w:ilvl="5" w:tentative="0">
      <w:start w:val="1"/>
      <w:numFmt w:val="lowerRoman"/>
      <w:lvlText w:val="%6."/>
      <w:lvlJc w:val="right"/>
      <w:pPr>
        <w:ind w:left="3371" w:hanging="420"/>
      </w:pPr>
      <w:rPr>
        <w:rFonts w:hint="default" w:ascii="Times New Roman" w:hAnsi="Times New Roman" w:cs="Times New Roman"/>
      </w:rPr>
    </w:lvl>
    <w:lvl w:ilvl="6" w:tentative="0">
      <w:start w:val="1"/>
      <w:numFmt w:val="decimal"/>
      <w:lvlText w:val="%7."/>
      <w:lvlJc w:val="left"/>
      <w:pPr>
        <w:ind w:left="3791" w:hanging="420"/>
      </w:pPr>
      <w:rPr>
        <w:rFonts w:hint="default" w:ascii="Times New Roman" w:hAnsi="Times New Roman" w:cs="Times New Roman"/>
      </w:rPr>
    </w:lvl>
    <w:lvl w:ilvl="7" w:tentative="0">
      <w:start w:val="1"/>
      <w:numFmt w:val="lowerLetter"/>
      <w:lvlText w:val="%8)"/>
      <w:lvlJc w:val="left"/>
      <w:pPr>
        <w:ind w:left="4211" w:hanging="420"/>
      </w:pPr>
      <w:rPr>
        <w:rFonts w:hint="default" w:ascii="Times New Roman" w:hAnsi="Times New Roman" w:cs="Times New Roman"/>
      </w:rPr>
    </w:lvl>
    <w:lvl w:ilvl="8" w:tentative="0">
      <w:start w:val="1"/>
      <w:numFmt w:val="lowerRoman"/>
      <w:lvlText w:val="%9."/>
      <w:lvlJc w:val="right"/>
      <w:pPr>
        <w:ind w:left="4631" w:hanging="420"/>
      </w:pPr>
      <w:rPr>
        <w:rFonts w:hint="default" w:ascii="Times New Roman" w:hAnsi="Times New Roman" w:cs="Times New Roman"/>
      </w:rPr>
    </w:lvl>
  </w:abstractNum>
  <w:abstractNum w:abstractNumId="7">
    <w:nsid w:val="06621CD4"/>
    <w:multiLevelType w:val="multilevel"/>
    <w:tmpl w:val="06621CD4"/>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087B1468"/>
    <w:multiLevelType w:val="singleLevel"/>
    <w:tmpl w:val="087B1468"/>
    <w:lvl w:ilvl="0" w:tentative="0">
      <w:start w:val="4"/>
      <w:numFmt w:val="decimal"/>
      <w:suff w:val="space"/>
      <w:lvlText w:val="%1."/>
      <w:lvlJc w:val="left"/>
    </w:lvl>
  </w:abstractNum>
  <w:abstractNum w:abstractNumId="9">
    <w:nsid w:val="0FDB72A2"/>
    <w:multiLevelType w:val="singleLevel"/>
    <w:tmpl w:val="0FDB72A2"/>
    <w:lvl w:ilvl="0" w:tentative="0">
      <w:start w:val="2"/>
      <w:numFmt w:val="decimal"/>
      <w:suff w:val="nothing"/>
      <w:lvlText w:val="（%1）"/>
      <w:lvlJc w:val="left"/>
    </w:lvl>
  </w:abstractNum>
  <w:abstractNum w:abstractNumId="10">
    <w:nsid w:val="1162324F"/>
    <w:multiLevelType w:val="singleLevel"/>
    <w:tmpl w:val="1162324F"/>
    <w:lvl w:ilvl="0" w:tentative="0">
      <w:start w:val="1"/>
      <w:numFmt w:val="decimal"/>
      <w:suff w:val="nothing"/>
      <w:lvlText w:val="%1、"/>
      <w:lvlJc w:val="left"/>
    </w:lvl>
  </w:abstractNum>
  <w:abstractNum w:abstractNumId="11">
    <w:nsid w:val="18BB7A9E"/>
    <w:multiLevelType w:val="multilevel"/>
    <w:tmpl w:val="18BB7A9E"/>
    <w:lvl w:ilvl="0" w:tentative="0">
      <w:start w:val="1"/>
      <w:numFmt w:val="decimal"/>
      <w:lvlText w:val="(%1)"/>
      <w:lvlJc w:val="left"/>
      <w:pPr>
        <w:ind w:left="1260" w:hanging="420"/>
      </w:pPr>
      <w:rPr>
        <w:rFonts w:hint="eastAsia" w:ascii="宋体" w:hAnsi="宋体" w:eastAsia="宋体" w:cs="Times New Roman"/>
      </w:rPr>
    </w:lvl>
    <w:lvl w:ilvl="1" w:tentative="0">
      <w:start w:val="1"/>
      <w:numFmt w:val="lowerLetter"/>
      <w:lvlText w:val="%2)"/>
      <w:lvlJc w:val="left"/>
      <w:pPr>
        <w:ind w:left="1680" w:hanging="420"/>
      </w:pPr>
      <w:rPr>
        <w:rFonts w:hint="default" w:ascii="Times New Roman" w:hAnsi="Times New Roman" w:cs="Times New Roman"/>
      </w:rPr>
    </w:lvl>
    <w:lvl w:ilvl="2" w:tentative="0">
      <w:start w:val="1"/>
      <w:numFmt w:val="lowerRoman"/>
      <w:lvlText w:val="%3."/>
      <w:lvlJc w:val="right"/>
      <w:pPr>
        <w:ind w:left="2100" w:hanging="420"/>
      </w:pPr>
      <w:rPr>
        <w:rFonts w:hint="default" w:ascii="Times New Roman" w:hAnsi="Times New Roman" w:cs="Times New Roman"/>
      </w:rPr>
    </w:lvl>
    <w:lvl w:ilvl="3" w:tentative="0">
      <w:start w:val="1"/>
      <w:numFmt w:val="decimal"/>
      <w:lvlText w:val="%4."/>
      <w:lvlJc w:val="left"/>
      <w:pPr>
        <w:ind w:left="2520" w:hanging="420"/>
      </w:pPr>
      <w:rPr>
        <w:rFonts w:hint="default" w:ascii="Times New Roman" w:hAnsi="Times New Roman" w:cs="Times New Roman"/>
      </w:rPr>
    </w:lvl>
    <w:lvl w:ilvl="4" w:tentative="0">
      <w:start w:val="1"/>
      <w:numFmt w:val="lowerLetter"/>
      <w:lvlText w:val="%5)"/>
      <w:lvlJc w:val="left"/>
      <w:pPr>
        <w:ind w:left="2940" w:hanging="420"/>
      </w:pPr>
      <w:rPr>
        <w:rFonts w:hint="default" w:ascii="Times New Roman" w:hAnsi="Times New Roman" w:cs="Times New Roman"/>
      </w:rPr>
    </w:lvl>
    <w:lvl w:ilvl="5" w:tentative="0">
      <w:start w:val="1"/>
      <w:numFmt w:val="lowerRoman"/>
      <w:lvlText w:val="%6."/>
      <w:lvlJc w:val="right"/>
      <w:pPr>
        <w:ind w:left="3360" w:hanging="420"/>
      </w:pPr>
      <w:rPr>
        <w:rFonts w:hint="default" w:ascii="Times New Roman" w:hAnsi="Times New Roman" w:cs="Times New Roman"/>
      </w:rPr>
    </w:lvl>
    <w:lvl w:ilvl="6" w:tentative="0">
      <w:start w:val="1"/>
      <w:numFmt w:val="decimal"/>
      <w:lvlText w:val="%7."/>
      <w:lvlJc w:val="left"/>
      <w:pPr>
        <w:ind w:left="3780" w:hanging="420"/>
      </w:pPr>
      <w:rPr>
        <w:rFonts w:hint="default" w:ascii="Times New Roman" w:hAnsi="Times New Roman" w:cs="Times New Roman"/>
      </w:rPr>
    </w:lvl>
    <w:lvl w:ilvl="7" w:tentative="0">
      <w:start w:val="1"/>
      <w:numFmt w:val="lowerLetter"/>
      <w:lvlText w:val="%8)"/>
      <w:lvlJc w:val="left"/>
      <w:pPr>
        <w:ind w:left="4200" w:hanging="420"/>
      </w:pPr>
      <w:rPr>
        <w:rFonts w:hint="default" w:ascii="Times New Roman" w:hAnsi="Times New Roman" w:cs="Times New Roman"/>
      </w:rPr>
    </w:lvl>
    <w:lvl w:ilvl="8" w:tentative="0">
      <w:start w:val="1"/>
      <w:numFmt w:val="lowerRoman"/>
      <w:lvlText w:val="%9."/>
      <w:lvlJc w:val="right"/>
      <w:pPr>
        <w:ind w:left="4620" w:hanging="420"/>
      </w:pPr>
      <w:rPr>
        <w:rFonts w:hint="default" w:ascii="Times New Roman" w:hAnsi="Times New Roman" w:cs="Times New Roman"/>
      </w:rPr>
    </w:lvl>
  </w:abstractNum>
  <w:abstractNum w:abstractNumId="12">
    <w:nsid w:val="18D9DFFA"/>
    <w:multiLevelType w:val="singleLevel"/>
    <w:tmpl w:val="18D9DFFA"/>
    <w:lvl w:ilvl="0" w:tentative="0">
      <w:start w:val="1"/>
      <w:numFmt w:val="upperLetter"/>
      <w:lvlText w:val="%1."/>
      <w:lvlJc w:val="left"/>
      <w:pPr>
        <w:ind w:left="425" w:hanging="425"/>
      </w:pPr>
      <w:rPr>
        <w:rFonts w:hint="default"/>
      </w:rPr>
    </w:lvl>
  </w:abstractNum>
  <w:abstractNum w:abstractNumId="13">
    <w:nsid w:val="193420D2"/>
    <w:multiLevelType w:val="multilevel"/>
    <w:tmpl w:val="193420D2"/>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1DF31874"/>
    <w:multiLevelType w:val="multilevel"/>
    <w:tmpl w:val="1DF31874"/>
    <w:lvl w:ilvl="0" w:tentative="0">
      <w:start w:val="1"/>
      <w:numFmt w:val="decimal"/>
      <w:lvlText w:val="%1."/>
      <w:lvlJc w:val="left"/>
      <w:pPr>
        <w:ind w:left="420" w:hanging="420"/>
      </w:pPr>
      <w:rPr>
        <w:rFonts w:hint="default" w:ascii="Times New Roman" w:hAnsi="Times New Roman" w:cs="Times New Roman"/>
      </w:rPr>
    </w:lvl>
    <w:lvl w:ilvl="1" w:tentative="0">
      <w:start w:val="1"/>
      <w:numFmt w:val="decimal"/>
      <w:isLgl/>
      <w:lvlText w:val="%1.%2"/>
      <w:lvlJc w:val="left"/>
      <w:pPr>
        <w:ind w:left="1200" w:hanging="840"/>
      </w:pPr>
      <w:rPr>
        <w:rFonts w:hint="eastAsia" w:ascii="宋体" w:hAnsi="宋体" w:eastAsia="宋体" w:cs="Times New Roman"/>
      </w:rPr>
    </w:lvl>
    <w:lvl w:ilvl="2" w:tentative="0">
      <w:start w:val="1"/>
      <w:numFmt w:val="decimal"/>
      <w:isLgl/>
      <w:lvlText w:val="%1.%2.%3"/>
      <w:lvlJc w:val="left"/>
      <w:pPr>
        <w:ind w:left="1560" w:hanging="840"/>
      </w:pPr>
      <w:rPr>
        <w:rFonts w:hint="eastAsia" w:ascii="宋体" w:hAnsi="宋体" w:eastAsia="宋体" w:cs="Times New Roman"/>
      </w:rPr>
    </w:lvl>
    <w:lvl w:ilvl="3" w:tentative="0">
      <w:start w:val="1"/>
      <w:numFmt w:val="decimal"/>
      <w:isLgl/>
      <w:lvlText w:val="%1.%2.%3.%4"/>
      <w:lvlJc w:val="left"/>
      <w:pPr>
        <w:ind w:left="2160" w:hanging="1080"/>
      </w:pPr>
      <w:rPr>
        <w:rFonts w:hint="eastAsia" w:ascii="宋体" w:hAnsi="宋体" w:eastAsia="宋体" w:cs="Times New Roman"/>
      </w:rPr>
    </w:lvl>
    <w:lvl w:ilvl="4" w:tentative="0">
      <w:start w:val="1"/>
      <w:numFmt w:val="decimal"/>
      <w:isLgl/>
      <w:lvlText w:val="%1.%2.%3.%4.%5"/>
      <w:lvlJc w:val="left"/>
      <w:pPr>
        <w:ind w:left="2520" w:hanging="1080"/>
      </w:pPr>
      <w:rPr>
        <w:rFonts w:hint="eastAsia" w:ascii="宋体" w:hAnsi="宋体" w:eastAsia="宋体" w:cs="Times New Roman"/>
      </w:rPr>
    </w:lvl>
    <w:lvl w:ilvl="5" w:tentative="0">
      <w:start w:val="1"/>
      <w:numFmt w:val="decimal"/>
      <w:isLgl/>
      <w:lvlText w:val="%1.%2.%3.%4.%5.%6"/>
      <w:lvlJc w:val="left"/>
      <w:pPr>
        <w:ind w:left="3240" w:hanging="1440"/>
      </w:pPr>
      <w:rPr>
        <w:rFonts w:hint="eastAsia" w:ascii="宋体" w:hAnsi="宋体" w:eastAsia="宋体" w:cs="Times New Roman"/>
      </w:rPr>
    </w:lvl>
    <w:lvl w:ilvl="6" w:tentative="0">
      <w:start w:val="1"/>
      <w:numFmt w:val="decimal"/>
      <w:isLgl/>
      <w:lvlText w:val="%1.%2.%3.%4.%5.%6.%7"/>
      <w:lvlJc w:val="left"/>
      <w:pPr>
        <w:ind w:left="3960" w:hanging="1800"/>
      </w:pPr>
      <w:rPr>
        <w:rFonts w:hint="eastAsia" w:ascii="宋体" w:hAnsi="宋体" w:eastAsia="宋体" w:cs="Times New Roman"/>
      </w:rPr>
    </w:lvl>
    <w:lvl w:ilvl="7" w:tentative="0">
      <w:start w:val="1"/>
      <w:numFmt w:val="decimal"/>
      <w:isLgl/>
      <w:lvlText w:val="%1.%2.%3.%4.%5.%6.%7.%8"/>
      <w:lvlJc w:val="left"/>
      <w:pPr>
        <w:ind w:left="4320" w:hanging="1800"/>
      </w:pPr>
      <w:rPr>
        <w:rFonts w:hint="eastAsia" w:ascii="宋体" w:hAnsi="宋体" w:eastAsia="宋体" w:cs="Times New Roman"/>
      </w:rPr>
    </w:lvl>
    <w:lvl w:ilvl="8" w:tentative="0">
      <w:start w:val="1"/>
      <w:numFmt w:val="decimal"/>
      <w:isLgl/>
      <w:lvlText w:val="%1.%2.%3.%4.%5.%6.%7.%8.%9"/>
      <w:lvlJc w:val="left"/>
      <w:pPr>
        <w:ind w:left="5040" w:hanging="2160"/>
      </w:pPr>
      <w:rPr>
        <w:rFonts w:hint="eastAsia" w:ascii="宋体" w:hAnsi="宋体" w:eastAsia="宋体" w:cs="Times New Roman"/>
      </w:rPr>
    </w:lvl>
  </w:abstractNum>
  <w:abstractNum w:abstractNumId="15">
    <w:nsid w:val="1F24B73C"/>
    <w:multiLevelType w:val="multilevel"/>
    <w:tmpl w:val="1F24B73C"/>
    <w:lvl w:ilvl="0" w:tentative="0">
      <w:start w:val="1"/>
      <w:numFmt w:val="decimal"/>
      <w:lvlText w:val="%1."/>
      <w:lvlJc w:val="left"/>
      <w:pPr>
        <w:ind w:left="0" w:leftChars="0" w:firstLine="0" w:firstLineChars="0"/>
      </w:pPr>
      <w:rPr>
        <w:rFonts w:hint="default" w:ascii="Times New Roman" w:hAnsi="Times New Roman" w:cs="Times New Roman"/>
      </w:rPr>
    </w:lvl>
    <w:lvl w:ilvl="1" w:tentative="0">
      <w:start w:val="1"/>
      <w:numFmt w:val="lowerLetter"/>
      <w:lvlText w:val="%2)"/>
      <w:lvlJc w:val="left"/>
      <w:pPr>
        <w:ind w:left="1440" w:hanging="420"/>
      </w:pPr>
      <w:rPr>
        <w:rFonts w:hint="default" w:ascii="Times New Roman" w:hAnsi="Times New Roman" w:cs="Times New Roman"/>
      </w:rPr>
    </w:lvl>
    <w:lvl w:ilvl="2" w:tentative="0">
      <w:start w:val="1"/>
      <w:numFmt w:val="lowerRoman"/>
      <w:lvlText w:val="%3."/>
      <w:lvlJc w:val="right"/>
      <w:pPr>
        <w:ind w:left="1860" w:hanging="420"/>
      </w:pPr>
      <w:rPr>
        <w:rFonts w:hint="default" w:ascii="Times New Roman" w:hAnsi="Times New Roman" w:cs="Times New Roman"/>
      </w:rPr>
    </w:lvl>
    <w:lvl w:ilvl="3" w:tentative="0">
      <w:start w:val="1"/>
      <w:numFmt w:val="decimal"/>
      <w:lvlText w:val="%4."/>
      <w:lvlJc w:val="left"/>
      <w:pPr>
        <w:ind w:left="2280" w:hanging="420"/>
      </w:pPr>
      <w:rPr>
        <w:rFonts w:hint="default" w:ascii="Times New Roman" w:hAnsi="Times New Roman" w:cs="Times New Roman"/>
      </w:rPr>
    </w:lvl>
    <w:lvl w:ilvl="4" w:tentative="0">
      <w:start w:val="1"/>
      <w:numFmt w:val="lowerLetter"/>
      <w:lvlText w:val="%5)"/>
      <w:lvlJc w:val="left"/>
      <w:pPr>
        <w:ind w:left="2700" w:hanging="420"/>
      </w:pPr>
      <w:rPr>
        <w:rFonts w:hint="default" w:ascii="Times New Roman" w:hAnsi="Times New Roman" w:cs="Times New Roman"/>
      </w:rPr>
    </w:lvl>
    <w:lvl w:ilvl="5" w:tentative="0">
      <w:start w:val="1"/>
      <w:numFmt w:val="lowerRoman"/>
      <w:lvlText w:val="%6."/>
      <w:lvlJc w:val="right"/>
      <w:pPr>
        <w:ind w:left="3120" w:hanging="420"/>
      </w:pPr>
      <w:rPr>
        <w:rFonts w:hint="default" w:ascii="Times New Roman" w:hAnsi="Times New Roman" w:cs="Times New Roman"/>
      </w:rPr>
    </w:lvl>
    <w:lvl w:ilvl="6" w:tentative="0">
      <w:start w:val="1"/>
      <w:numFmt w:val="decimal"/>
      <w:lvlText w:val="%7."/>
      <w:lvlJc w:val="left"/>
      <w:pPr>
        <w:ind w:left="3540" w:hanging="420"/>
      </w:pPr>
      <w:rPr>
        <w:rFonts w:hint="default" w:ascii="Times New Roman" w:hAnsi="Times New Roman" w:cs="Times New Roman"/>
      </w:rPr>
    </w:lvl>
    <w:lvl w:ilvl="7" w:tentative="0">
      <w:start w:val="1"/>
      <w:numFmt w:val="lowerLetter"/>
      <w:lvlText w:val="%8)"/>
      <w:lvlJc w:val="left"/>
      <w:pPr>
        <w:ind w:left="3960" w:hanging="420"/>
      </w:pPr>
      <w:rPr>
        <w:rFonts w:hint="default" w:ascii="Times New Roman" w:hAnsi="Times New Roman" w:cs="Times New Roman"/>
      </w:rPr>
    </w:lvl>
    <w:lvl w:ilvl="8" w:tentative="0">
      <w:start w:val="1"/>
      <w:numFmt w:val="lowerRoman"/>
      <w:lvlText w:val="%9."/>
      <w:lvlJc w:val="right"/>
      <w:pPr>
        <w:ind w:left="4380" w:hanging="420"/>
      </w:pPr>
      <w:rPr>
        <w:rFonts w:hint="default" w:ascii="Times New Roman" w:hAnsi="Times New Roman" w:cs="Times New Roman"/>
      </w:rPr>
    </w:lvl>
  </w:abstractNum>
  <w:abstractNum w:abstractNumId="16">
    <w:nsid w:val="2BAE6961"/>
    <w:multiLevelType w:val="multilevel"/>
    <w:tmpl w:val="2BAE6961"/>
    <w:lvl w:ilvl="0" w:tentative="0">
      <w:start w:val="1"/>
      <w:numFmt w:val="decimal"/>
      <w:lvlText w:val="(%1)"/>
      <w:lvlJc w:val="left"/>
      <w:pPr>
        <w:ind w:left="1260" w:hanging="420"/>
      </w:pPr>
      <w:rPr>
        <w:rFonts w:hint="eastAsia" w:ascii="宋体" w:hAnsi="宋体" w:eastAsia="宋体" w:cs="Times New Roman"/>
      </w:rPr>
    </w:lvl>
    <w:lvl w:ilvl="1" w:tentative="0">
      <w:start w:val="1"/>
      <w:numFmt w:val="lowerLetter"/>
      <w:lvlText w:val="%2)"/>
      <w:lvlJc w:val="left"/>
      <w:pPr>
        <w:ind w:left="1680" w:hanging="420"/>
      </w:pPr>
      <w:rPr>
        <w:rFonts w:hint="default" w:ascii="Times New Roman" w:hAnsi="Times New Roman" w:cs="Times New Roman"/>
      </w:rPr>
    </w:lvl>
    <w:lvl w:ilvl="2" w:tentative="0">
      <w:start w:val="1"/>
      <w:numFmt w:val="lowerRoman"/>
      <w:lvlText w:val="%3."/>
      <w:lvlJc w:val="right"/>
      <w:pPr>
        <w:ind w:left="2100" w:hanging="420"/>
      </w:pPr>
      <w:rPr>
        <w:rFonts w:hint="default" w:ascii="Times New Roman" w:hAnsi="Times New Roman" w:cs="Times New Roman"/>
      </w:rPr>
    </w:lvl>
    <w:lvl w:ilvl="3" w:tentative="0">
      <w:start w:val="1"/>
      <w:numFmt w:val="decimal"/>
      <w:lvlText w:val="%4."/>
      <w:lvlJc w:val="left"/>
      <w:pPr>
        <w:ind w:left="2520" w:hanging="420"/>
      </w:pPr>
      <w:rPr>
        <w:rFonts w:hint="default" w:ascii="Times New Roman" w:hAnsi="Times New Roman" w:cs="Times New Roman"/>
      </w:rPr>
    </w:lvl>
    <w:lvl w:ilvl="4" w:tentative="0">
      <w:start w:val="1"/>
      <w:numFmt w:val="lowerLetter"/>
      <w:lvlText w:val="%5)"/>
      <w:lvlJc w:val="left"/>
      <w:pPr>
        <w:ind w:left="2940" w:hanging="420"/>
      </w:pPr>
      <w:rPr>
        <w:rFonts w:hint="default" w:ascii="Times New Roman" w:hAnsi="Times New Roman" w:cs="Times New Roman"/>
      </w:rPr>
    </w:lvl>
    <w:lvl w:ilvl="5" w:tentative="0">
      <w:start w:val="1"/>
      <w:numFmt w:val="lowerRoman"/>
      <w:lvlText w:val="%6."/>
      <w:lvlJc w:val="right"/>
      <w:pPr>
        <w:ind w:left="3360" w:hanging="420"/>
      </w:pPr>
      <w:rPr>
        <w:rFonts w:hint="default" w:ascii="Times New Roman" w:hAnsi="Times New Roman" w:cs="Times New Roman"/>
      </w:rPr>
    </w:lvl>
    <w:lvl w:ilvl="6" w:tentative="0">
      <w:start w:val="1"/>
      <w:numFmt w:val="decimal"/>
      <w:lvlText w:val="%7."/>
      <w:lvlJc w:val="left"/>
      <w:pPr>
        <w:ind w:left="3780" w:hanging="420"/>
      </w:pPr>
      <w:rPr>
        <w:rFonts w:hint="default" w:ascii="Times New Roman" w:hAnsi="Times New Roman" w:cs="Times New Roman"/>
      </w:rPr>
    </w:lvl>
    <w:lvl w:ilvl="7" w:tentative="0">
      <w:start w:val="1"/>
      <w:numFmt w:val="lowerLetter"/>
      <w:lvlText w:val="%8)"/>
      <w:lvlJc w:val="left"/>
      <w:pPr>
        <w:ind w:left="4200" w:hanging="420"/>
      </w:pPr>
      <w:rPr>
        <w:rFonts w:hint="default" w:ascii="Times New Roman" w:hAnsi="Times New Roman" w:cs="Times New Roman"/>
      </w:rPr>
    </w:lvl>
    <w:lvl w:ilvl="8" w:tentative="0">
      <w:start w:val="1"/>
      <w:numFmt w:val="lowerRoman"/>
      <w:lvlText w:val="%9."/>
      <w:lvlJc w:val="right"/>
      <w:pPr>
        <w:ind w:left="4620" w:hanging="420"/>
      </w:pPr>
      <w:rPr>
        <w:rFonts w:hint="default" w:ascii="Times New Roman" w:hAnsi="Times New Roman" w:cs="Times New Roman"/>
      </w:rPr>
    </w:lvl>
  </w:abstractNum>
  <w:abstractNum w:abstractNumId="17">
    <w:nsid w:val="435025FC"/>
    <w:multiLevelType w:val="multilevel"/>
    <w:tmpl w:val="435025FC"/>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8">
    <w:nsid w:val="4FD90BE1"/>
    <w:multiLevelType w:val="multilevel"/>
    <w:tmpl w:val="4FD90BE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556A29D2"/>
    <w:multiLevelType w:val="singleLevel"/>
    <w:tmpl w:val="556A29D2"/>
    <w:lvl w:ilvl="0" w:tentative="0">
      <w:start w:val="1"/>
      <w:numFmt w:val="upperLetter"/>
      <w:lvlText w:val="%1."/>
      <w:lvlJc w:val="left"/>
      <w:pPr>
        <w:ind w:left="425" w:hanging="425"/>
      </w:pPr>
      <w:rPr>
        <w:rFonts w:hint="default"/>
      </w:rPr>
    </w:lvl>
  </w:abstractNum>
  <w:abstractNum w:abstractNumId="20">
    <w:nsid w:val="557191E9"/>
    <w:multiLevelType w:val="singleLevel"/>
    <w:tmpl w:val="557191E9"/>
    <w:lvl w:ilvl="0" w:tentative="0">
      <w:start w:val="1"/>
      <w:numFmt w:val="decimal"/>
      <w:suff w:val="nothing"/>
      <w:lvlText w:val="%1、"/>
      <w:lvlJc w:val="left"/>
    </w:lvl>
  </w:abstractNum>
  <w:abstractNum w:abstractNumId="21">
    <w:nsid w:val="557192D4"/>
    <w:multiLevelType w:val="singleLevel"/>
    <w:tmpl w:val="557192D4"/>
    <w:lvl w:ilvl="0" w:tentative="0">
      <w:start w:val="1"/>
      <w:numFmt w:val="decimal"/>
      <w:suff w:val="nothing"/>
      <w:lvlText w:val="%1、"/>
      <w:lvlJc w:val="left"/>
    </w:lvl>
  </w:abstractNum>
  <w:abstractNum w:abstractNumId="22">
    <w:nsid w:val="5BCB995D"/>
    <w:multiLevelType w:val="singleLevel"/>
    <w:tmpl w:val="5BCB995D"/>
    <w:lvl w:ilvl="0" w:tentative="0">
      <w:start w:val="1"/>
      <w:numFmt w:val="decimal"/>
      <w:suff w:val="nothing"/>
      <w:lvlText w:val="（%1）"/>
      <w:lvlJc w:val="left"/>
    </w:lvl>
  </w:abstractNum>
  <w:abstractNum w:abstractNumId="23">
    <w:nsid w:val="73461C4C"/>
    <w:multiLevelType w:val="multilevel"/>
    <w:tmpl w:val="73461C4C"/>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4">
    <w:nsid w:val="7548EDEC"/>
    <w:multiLevelType w:val="singleLevel"/>
    <w:tmpl w:val="7548EDEC"/>
    <w:lvl w:ilvl="0" w:tentative="0">
      <w:start w:val="1"/>
      <w:numFmt w:val="upperLetter"/>
      <w:lvlText w:val="%1."/>
      <w:lvlJc w:val="left"/>
      <w:pPr>
        <w:ind w:left="425" w:hanging="425"/>
      </w:pPr>
      <w:rPr>
        <w:rFonts w:hint="default"/>
      </w:rPr>
    </w:lvl>
  </w:abstractNum>
  <w:abstractNum w:abstractNumId="25">
    <w:nsid w:val="7CE36DC8"/>
    <w:multiLevelType w:val="multilevel"/>
    <w:tmpl w:val="7CE36DC8"/>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7D4C8EDD"/>
    <w:multiLevelType w:val="singleLevel"/>
    <w:tmpl w:val="7D4C8EDD"/>
    <w:lvl w:ilvl="0" w:tentative="0">
      <w:start w:val="1"/>
      <w:numFmt w:val="decimal"/>
      <w:lvlText w:val="(%1)"/>
      <w:lvlJc w:val="left"/>
      <w:pPr>
        <w:ind w:left="425" w:hanging="425"/>
      </w:pPr>
      <w:rPr>
        <w:rFonts w:hint="default"/>
      </w:rPr>
    </w:lvl>
  </w:abstractNum>
  <w:abstractNum w:abstractNumId="27">
    <w:nsid w:val="7E636388"/>
    <w:multiLevelType w:val="multilevel"/>
    <w:tmpl w:val="7E636388"/>
    <w:lvl w:ilvl="0" w:tentative="0">
      <w:start w:val="4"/>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0"/>
  </w:num>
  <w:num w:numId="3">
    <w:abstractNumId w:val="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5"/>
  </w:num>
  <w:num w:numId="13">
    <w:abstractNumId w:val="1"/>
  </w:num>
  <w:num w:numId="14">
    <w:abstractNumId w:val="19"/>
  </w:num>
  <w:num w:numId="15">
    <w:abstractNumId w:val="3"/>
  </w:num>
  <w:num w:numId="16">
    <w:abstractNumId w:val="12"/>
  </w:num>
  <w:num w:numId="17">
    <w:abstractNumId w:val="24"/>
  </w:num>
  <w:num w:numId="18">
    <w:abstractNumId w:val="0"/>
  </w:num>
  <w:num w:numId="19">
    <w:abstractNumId w:val="26"/>
  </w:num>
  <w:num w:numId="20">
    <w:abstractNumId w:val="9"/>
  </w:num>
  <w:num w:numId="21">
    <w:abstractNumId w:val="13"/>
  </w:num>
  <w:num w:numId="22">
    <w:abstractNumId w:val="25"/>
  </w:num>
  <w:num w:numId="23">
    <w:abstractNumId w:val="17"/>
  </w:num>
  <w:num w:numId="24">
    <w:abstractNumId w:val="7"/>
  </w:num>
  <w:num w:numId="25">
    <w:abstractNumId w:val="23"/>
  </w:num>
  <w:num w:numId="26">
    <w:abstractNumId w:val="20"/>
  </w:num>
  <w:num w:numId="27">
    <w:abstractNumId w:val="2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210"/>
  <w:drawingGridVerticalSpacing w:val="161"/>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BkZGFhNzcyMWIwNDYxYTg2ZmExZTFjYjJmYTQ0YjIifQ=="/>
  </w:docVars>
  <w:rsids>
    <w:rsidRoot w:val="007434B4"/>
    <w:rsid w:val="00000A61"/>
    <w:rsid w:val="00000A83"/>
    <w:rsid w:val="000013FE"/>
    <w:rsid w:val="0000186F"/>
    <w:rsid w:val="00001A03"/>
    <w:rsid w:val="00002568"/>
    <w:rsid w:val="00002840"/>
    <w:rsid w:val="000037DE"/>
    <w:rsid w:val="00003D23"/>
    <w:rsid w:val="00004EAF"/>
    <w:rsid w:val="00006552"/>
    <w:rsid w:val="0001024D"/>
    <w:rsid w:val="00010382"/>
    <w:rsid w:val="00013365"/>
    <w:rsid w:val="00013466"/>
    <w:rsid w:val="00013574"/>
    <w:rsid w:val="00013923"/>
    <w:rsid w:val="00014A82"/>
    <w:rsid w:val="00015858"/>
    <w:rsid w:val="00015A29"/>
    <w:rsid w:val="0001617A"/>
    <w:rsid w:val="00017581"/>
    <w:rsid w:val="000175E8"/>
    <w:rsid w:val="00017CF0"/>
    <w:rsid w:val="00017F9C"/>
    <w:rsid w:val="000252F0"/>
    <w:rsid w:val="00025EED"/>
    <w:rsid w:val="00027D0F"/>
    <w:rsid w:val="00030A53"/>
    <w:rsid w:val="00031705"/>
    <w:rsid w:val="00031BBE"/>
    <w:rsid w:val="00031C52"/>
    <w:rsid w:val="00032D53"/>
    <w:rsid w:val="000333AE"/>
    <w:rsid w:val="00033EFF"/>
    <w:rsid w:val="00035663"/>
    <w:rsid w:val="000358FA"/>
    <w:rsid w:val="00035B2B"/>
    <w:rsid w:val="00040247"/>
    <w:rsid w:val="00040313"/>
    <w:rsid w:val="00040E14"/>
    <w:rsid w:val="0004234C"/>
    <w:rsid w:val="0004444E"/>
    <w:rsid w:val="00045B4B"/>
    <w:rsid w:val="00046881"/>
    <w:rsid w:val="00047440"/>
    <w:rsid w:val="0004759C"/>
    <w:rsid w:val="0005019F"/>
    <w:rsid w:val="000508AD"/>
    <w:rsid w:val="0005168D"/>
    <w:rsid w:val="0005208E"/>
    <w:rsid w:val="00052DBD"/>
    <w:rsid w:val="00053BE1"/>
    <w:rsid w:val="00053C94"/>
    <w:rsid w:val="000566BD"/>
    <w:rsid w:val="0005701C"/>
    <w:rsid w:val="000606A2"/>
    <w:rsid w:val="00060C04"/>
    <w:rsid w:val="00061310"/>
    <w:rsid w:val="00061914"/>
    <w:rsid w:val="000620A1"/>
    <w:rsid w:val="000638C9"/>
    <w:rsid w:val="000662FC"/>
    <w:rsid w:val="000666F2"/>
    <w:rsid w:val="000675E6"/>
    <w:rsid w:val="000677C7"/>
    <w:rsid w:val="00067D0B"/>
    <w:rsid w:val="000709FB"/>
    <w:rsid w:val="00070B21"/>
    <w:rsid w:val="00070F95"/>
    <w:rsid w:val="00072573"/>
    <w:rsid w:val="0007343D"/>
    <w:rsid w:val="000745C1"/>
    <w:rsid w:val="0007473A"/>
    <w:rsid w:val="00074CB8"/>
    <w:rsid w:val="00076502"/>
    <w:rsid w:val="000775DD"/>
    <w:rsid w:val="000777C0"/>
    <w:rsid w:val="00082346"/>
    <w:rsid w:val="000841E5"/>
    <w:rsid w:val="00085204"/>
    <w:rsid w:val="00087CA6"/>
    <w:rsid w:val="000904BC"/>
    <w:rsid w:val="000909AB"/>
    <w:rsid w:val="00090D47"/>
    <w:rsid w:val="00091751"/>
    <w:rsid w:val="000917F5"/>
    <w:rsid w:val="000921D2"/>
    <w:rsid w:val="00092E61"/>
    <w:rsid w:val="00094343"/>
    <w:rsid w:val="0009483A"/>
    <w:rsid w:val="0009530E"/>
    <w:rsid w:val="00095A0E"/>
    <w:rsid w:val="00096239"/>
    <w:rsid w:val="00096A68"/>
    <w:rsid w:val="00097FB9"/>
    <w:rsid w:val="000A0CD6"/>
    <w:rsid w:val="000A2575"/>
    <w:rsid w:val="000A25D2"/>
    <w:rsid w:val="000A2631"/>
    <w:rsid w:val="000A3313"/>
    <w:rsid w:val="000A3BB4"/>
    <w:rsid w:val="000A4283"/>
    <w:rsid w:val="000A4354"/>
    <w:rsid w:val="000A6658"/>
    <w:rsid w:val="000B0390"/>
    <w:rsid w:val="000B0F6F"/>
    <w:rsid w:val="000B1637"/>
    <w:rsid w:val="000B1715"/>
    <w:rsid w:val="000B2722"/>
    <w:rsid w:val="000B320F"/>
    <w:rsid w:val="000B33DF"/>
    <w:rsid w:val="000B3A4F"/>
    <w:rsid w:val="000B4504"/>
    <w:rsid w:val="000B48CB"/>
    <w:rsid w:val="000B5D7D"/>
    <w:rsid w:val="000B67D9"/>
    <w:rsid w:val="000B6A6A"/>
    <w:rsid w:val="000B7DF1"/>
    <w:rsid w:val="000C035B"/>
    <w:rsid w:val="000C0714"/>
    <w:rsid w:val="000C188C"/>
    <w:rsid w:val="000C245B"/>
    <w:rsid w:val="000C2AE6"/>
    <w:rsid w:val="000C354A"/>
    <w:rsid w:val="000C4FD9"/>
    <w:rsid w:val="000C52A0"/>
    <w:rsid w:val="000C6B2C"/>
    <w:rsid w:val="000C70C2"/>
    <w:rsid w:val="000C7812"/>
    <w:rsid w:val="000D04C8"/>
    <w:rsid w:val="000D0769"/>
    <w:rsid w:val="000D0E5E"/>
    <w:rsid w:val="000D1018"/>
    <w:rsid w:val="000D211B"/>
    <w:rsid w:val="000D2A3F"/>
    <w:rsid w:val="000D344B"/>
    <w:rsid w:val="000D5249"/>
    <w:rsid w:val="000D6185"/>
    <w:rsid w:val="000D6514"/>
    <w:rsid w:val="000E166F"/>
    <w:rsid w:val="000E3DCC"/>
    <w:rsid w:val="000E4525"/>
    <w:rsid w:val="000E46D9"/>
    <w:rsid w:val="000E4E95"/>
    <w:rsid w:val="000E50DD"/>
    <w:rsid w:val="000E640C"/>
    <w:rsid w:val="000E7308"/>
    <w:rsid w:val="000E7417"/>
    <w:rsid w:val="000E741F"/>
    <w:rsid w:val="000F1A45"/>
    <w:rsid w:val="000F1AF9"/>
    <w:rsid w:val="000F21C8"/>
    <w:rsid w:val="000F3713"/>
    <w:rsid w:val="000F376A"/>
    <w:rsid w:val="000F37AB"/>
    <w:rsid w:val="000F4155"/>
    <w:rsid w:val="000F44CB"/>
    <w:rsid w:val="000F4F2F"/>
    <w:rsid w:val="000F5866"/>
    <w:rsid w:val="000F620C"/>
    <w:rsid w:val="000F7591"/>
    <w:rsid w:val="001000C3"/>
    <w:rsid w:val="0010071B"/>
    <w:rsid w:val="001047E3"/>
    <w:rsid w:val="00104908"/>
    <w:rsid w:val="00104D5D"/>
    <w:rsid w:val="00105A9C"/>
    <w:rsid w:val="00106446"/>
    <w:rsid w:val="00107077"/>
    <w:rsid w:val="00107FD9"/>
    <w:rsid w:val="00110169"/>
    <w:rsid w:val="00110B4B"/>
    <w:rsid w:val="001113FC"/>
    <w:rsid w:val="00111596"/>
    <w:rsid w:val="00111CC9"/>
    <w:rsid w:val="00112A3D"/>
    <w:rsid w:val="001133AC"/>
    <w:rsid w:val="00113C61"/>
    <w:rsid w:val="00114B15"/>
    <w:rsid w:val="00117058"/>
    <w:rsid w:val="00117143"/>
    <w:rsid w:val="00120369"/>
    <w:rsid w:val="00121A30"/>
    <w:rsid w:val="001228FD"/>
    <w:rsid w:val="001232B6"/>
    <w:rsid w:val="00124345"/>
    <w:rsid w:val="00125769"/>
    <w:rsid w:val="00125F48"/>
    <w:rsid w:val="00126231"/>
    <w:rsid w:val="001264B5"/>
    <w:rsid w:val="001264DC"/>
    <w:rsid w:val="00127083"/>
    <w:rsid w:val="0013172D"/>
    <w:rsid w:val="001322EF"/>
    <w:rsid w:val="001324B3"/>
    <w:rsid w:val="001345E9"/>
    <w:rsid w:val="00134894"/>
    <w:rsid w:val="001348D3"/>
    <w:rsid w:val="00135375"/>
    <w:rsid w:val="001370E3"/>
    <w:rsid w:val="00137DBD"/>
    <w:rsid w:val="00137DCD"/>
    <w:rsid w:val="00140DA3"/>
    <w:rsid w:val="001413DF"/>
    <w:rsid w:val="00141BEE"/>
    <w:rsid w:val="00143121"/>
    <w:rsid w:val="00144141"/>
    <w:rsid w:val="00144F97"/>
    <w:rsid w:val="00145791"/>
    <w:rsid w:val="0014699B"/>
    <w:rsid w:val="00146D14"/>
    <w:rsid w:val="00151BA6"/>
    <w:rsid w:val="0015269F"/>
    <w:rsid w:val="00153C89"/>
    <w:rsid w:val="00156049"/>
    <w:rsid w:val="001564DB"/>
    <w:rsid w:val="00156F75"/>
    <w:rsid w:val="00160E3C"/>
    <w:rsid w:val="001617E9"/>
    <w:rsid w:val="00162175"/>
    <w:rsid w:val="00162403"/>
    <w:rsid w:val="0016254E"/>
    <w:rsid w:val="00162F23"/>
    <w:rsid w:val="001637C1"/>
    <w:rsid w:val="0016451E"/>
    <w:rsid w:val="00164C0D"/>
    <w:rsid w:val="001655DB"/>
    <w:rsid w:val="0016583A"/>
    <w:rsid w:val="00166A7A"/>
    <w:rsid w:val="00166F38"/>
    <w:rsid w:val="00167313"/>
    <w:rsid w:val="00167763"/>
    <w:rsid w:val="001708E8"/>
    <w:rsid w:val="0017148D"/>
    <w:rsid w:val="0017284E"/>
    <w:rsid w:val="0017334A"/>
    <w:rsid w:val="00173713"/>
    <w:rsid w:val="00173A95"/>
    <w:rsid w:val="00173D83"/>
    <w:rsid w:val="0017404D"/>
    <w:rsid w:val="00175C3F"/>
    <w:rsid w:val="00175FE2"/>
    <w:rsid w:val="0017633E"/>
    <w:rsid w:val="001773C6"/>
    <w:rsid w:val="0017741D"/>
    <w:rsid w:val="001810E9"/>
    <w:rsid w:val="00181D2E"/>
    <w:rsid w:val="001828D3"/>
    <w:rsid w:val="001846F2"/>
    <w:rsid w:val="001850A4"/>
    <w:rsid w:val="00185B43"/>
    <w:rsid w:val="00186927"/>
    <w:rsid w:val="001870D2"/>
    <w:rsid w:val="00190053"/>
    <w:rsid w:val="00190101"/>
    <w:rsid w:val="00190C8F"/>
    <w:rsid w:val="00191A57"/>
    <w:rsid w:val="00192075"/>
    <w:rsid w:val="00193526"/>
    <w:rsid w:val="00195771"/>
    <w:rsid w:val="00197441"/>
    <w:rsid w:val="001A053D"/>
    <w:rsid w:val="001A101A"/>
    <w:rsid w:val="001A12A4"/>
    <w:rsid w:val="001A130A"/>
    <w:rsid w:val="001A2976"/>
    <w:rsid w:val="001A3AA5"/>
    <w:rsid w:val="001A3AFC"/>
    <w:rsid w:val="001A3BCB"/>
    <w:rsid w:val="001A4D9B"/>
    <w:rsid w:val="001A561A"/>
    <w:rsid w:val="001A58C6"/>
    <w:rsid w:val="001A59EB"/>
    <w:rsid w:val="001B0B82"/>
    <w:rsid w:val="001B2294"/>
    <w:rsid w:val="001B313B"/>
    <w:rsid w:val="001B383C"/>
    <w:rsid w:val="001B4531"/>
    <w:rsid w:val="001B4F01"/>
    <w:rsid w:val="001B5907"/>
    <w:rsid w:val="001C2072"/>
    <w:rsid w:val="001C274B"/>
    <w:rsid w:val="001C3481"/>
    <w:rsid w:val="001C4E4C"/>
    <w:rsid w:val="001C5444"/>
    <w:rsid w:val="001C737E"/>
    <w:rsid w:val="001C7B25"/>
    <w:rsid w:val="001D0F5F"/>
    <w:rsid w:val="001D1A86"/>
    <w:rsid w:val="001D26DC"/>
    <w:rsid w:val="001D300D"/>
    <w:rsid w:val="001D302B"/>
    <w:rsid w:val="001D574C"/>
    <w:rsid w:val="001D5B75"/>
    <w:rsid w:val="001E1D4A"/>
    <w:rsid w:val="001E3396"/>
    <w:rsid w:val="001E3A6E"/>
    <w:rsid w:val="001E3AF6"/>
    <w:rsid w:val="001E3D6A"/>
    <w:rsid w:val="001E4458"/>
    <w:rsid w:val="001E59F7"/>
    <w:rsid w:val="001E6A66"/>
    <w:rsid w:val="001F075D"/>
    <w:rsid w:val="001F130D"/>
    <w:rsid w:val="001F1819"/>
    <w:rsid w:val="001F3A23"/>
    <w:rsid w:val="001F4878"/>
    <w:rsid w:val="001F5321"/>
    <w:rsid w:val="001F534E"/>
    <w:rsid w:val="001F5B18"/>
    <w:rsid w:val="001F7AFA"/>
    <w:rsid w:val="00200789"/>
    <w:rsid w:val="002008A9"/>
    <w:rsid w:val="00200C39"/>
    <w:rsid w:val="00200D09"/>
    <w:rsid w:val="002018AB"/>
    <w:rsid w:val="002023F0"/>
    <w:rsid w:val="0020308E"/>
    <w:rsid w:val="00203EA6"/>
    <w:rsid w:val="00205CF8"/>
    <w:rsid w:val="00206018"/>
    <w:rsid w:val="00207D02"/>
    <w:rsid w:val="00210EE8"/>
    <w:rsid w:val="00210F21"/>
    <w:rsid w:val="00211F38"/>
    <w:rsid w:val="0021548B"/>
    <w:rsid w:val="002157B6"/>
    <w:rsid w:val="00215C17"/>
    <w:rsid w:val="00215D98"/>
    <w:rsid w:val="00216282"/>
    <w:rsid w:val="00216FA2"/>
    <w:rsid w:val="002203CE"/>
    <w:rsid w:val="00221240"/>
    <w:rsid w:val="00221600"/>
    <w:rsid w:val="00221BE4"/>
    <w:rsid w:val="00223541"/>
    <w:rsid w:val="00223B66"/>
    <w:rsid w:val="002240A4"/>
    <w:rsid w:val="0022478B"/>
    <w:rsid w:val="00225547"/>
    <w:rsid w:val="00226CCD"/>
    <w:rsid w:val="002303FF"/>
    <w:rsid w:val="00230B4C"/>
    <w:rsid w:val="00231C9E"/>
    <w:rsid w:val="0023235C"/>
    <w:rsid w:val="00232836"/>
    <w:rsid w:val="00232D80"/>
    <w:rsid w:val="0023339C"/>
    <w:rsid w:val="00234309"/>
    <w:rsid w:val="00235123"/>
    <w:rsid w:val="002416E2"/>
    <w:rsid w:val="002419D0"/>
    <w:rsid w:val="00242897"/>
    <w:rsid w:val="00242A62"/>
    <w:rsid w:val="002444EA"/>
    <w:rsid w:val="00244B2A"/>
    <w:rsid w:val="00245EF6"/>
    <w:rsid w:val="00250A62"/>
    <w:rsid w:val="0025131F"/>
    <w:rsid w:val="00253669"/>
    <w:rsid w:val="00255AC7"/>
    <w:rsid w:val="002569C5"/>
    <w:rsid w:val="00256A84"/>
    <w:rsid w:val="00257F4D"/>
    <w:rsid w:val="00260902"/>
    <w:rsid w:val="00260A71"/>
    <w:rsid w:val="0026198C"/>
    <w:rsid w:val="00261AC6"/>
    <w:rsid w:val="00262FCB"/>
    <w:rsid w:val="00263AB2"/>
    <w:rsid w:val="002643E5"/>
    <w:rsid w:val="00264503"/>
    <w:rsid w:val="00264EB2"/>
    <w:rsid w:val="00265009"/>
    <w:rsid w:val="0026705D"/>
    <w:rsid w:val="00267C83"/>
    <w:rsid w:val="00270DBF"/>
    <w:rsid w:val="00272498"/>
    <w:rsid w:val="002725B6"/>
    <w:rsid w:val="002726B5"/>
    <w:rsid w:val="00276030"/>
    <w:rsid w:val="00276AC4"/>
    <w:rsid w:val="00276F7B"/>
    <w:rsid w:val="0027767A"/>
    <w:rsid w:val="002815E4"/>
    <w:rsid w:val="0028240A"/>
    <w:rsid w:val="00282892"/>
    <w:rsid w:val="00283506"/>
    <w:rsid w:val="00283A43"/>
    <w:rsid w:val="002842BF"/>
    <w:rsid w:val="002842C9"/>
    <w:rsid w:val="00284301"/>
    <w:rsid w:val="00284647"/>
    <w:rsid w:val="0028487B"/>
    <w:rsid w:val="002849EB"/>
    <w:rsid w:val="002859F4"/>
    <w:rsid w:val="00285A81"/>
    <w:rsid w:val="00285BDF"/>
    <w:rsid w:val="00285F61"/>
    <w:rsid w:val="002862E3"/>
    <w:rsid w:val="002868A8"/>
    <w:rsid w:val="00287BB6"/>
    <w:rsid w:val="00287E12"/>
    <w:rsid w:val="00290DAB"/>
    <w:rsid w:val="00291042"/>
    <w:rsid w:val="00291C24"/>
    <w:rsid w:val="00292441"/>
    <w:rsid w:val="00292F73"/>
    <w:rsid w:val="00293A07"/>
    <w:rsid w:val="002950BC"/>
    <w:rsid w:val="002958E2"/>
    <w:rsid w:val="00295CE8"/>
    <w:rsid w:val="002962B1"/>
    <w:rsid w:val="002965AD"/>
    <w:rsid w:val="00297B75"/>
    <w:rsid w:val="002A0C4E"/>
    <w:rsid w:val="002A15D6"/>
    <w:rsid w:val="002A1672"/>
    <w:rsid w:val="002A22D6"/>
    <w:rsid w:val="002A3505"/>
    <w:rsid w:val="002A3741"/>
    <w:rsid w:val="002A4AAB"/>
    <w:rsid w:val="002A5B29"/>
    <w:rsid w:val="002A5CB2"/>
    <w:rsid w:val="002A5E44"/>
    <w:rsid w:val="002A65E2"/>
    <w:rsid w:val="002A7BBC"/>
    <w:rsid w:val="002B00AE"/>
    <w:rsid w:val="002B12E2"/>
    <w:rsid w:val="002B1662"/>
    <w:rsid w:val="002B3F03"/>
    <w:rsid w:val="002B4148"/>
    <w:rsid w:val="002B469A"/>
    <w:rsid w:val="002B51EA"/>
    <w:rsid w:val="002B5C26"/>
    <w:rsid w:val="002B7974"/>
    <w:rsid w:val="002C0DD0"/>
    <w:rsid w:val="002C1AB9"/>
    <w:rsid w:val="002C2D6E"/>
    <w:rsid w:val="002C3042"/>
    <w:rsid w:val="002C33EB"/>
    <w:rsid w:val="002C363B"/>
    <w:rsid w:val="002C465A"/>
    <w:rsid w:val="002C666B"/>
    <w:rsid w:val="002C6C07"/>
    <w:rsid w:val="002C6E3F"/>
    <w:rsid w:val="002C7157"/>
    <w:rsid w:val="002D13DD"/>
    <w:rsid w:val="002D1777"/>
    <w:rsid w:val="002D2F30"/>
    <w:rsid w:val="002D47DE"/>
    <w:rsid w:val="002D54FF"/>
    <w:rsid w:val="002D5C40"/>
    <w:rsid w:val="002D61AB"/>
    <w:rsid w:val="002D7BB2"/>
    <w:rsid w:val="002E1F2C"/>
    <w:rsid w:val="002E273F"/>
    <w:rsid w:val="002E28E9"/>
    <w:rsid w:val="002E348F"/>
    <w:rsid w:val="002E36ED"/>
    <w:rsid w:val="002E466F"/>
    <w:rsid w:val="002E6BFE"/>
    <w:rsid w:val="002F1878"/>
    <w:rsid w:val="002F4310"/>
    <w:rsid w:val="002F4865"/>
    <w:rsid w:val="002F499D"/>
    <w:rsid w:val="002F654F"/>
    <w:rsid w:val="002F7B60"/>
    <w:rsid w:val="0030203A"/>
    <w:rsid w:val="00306A74"/>
    <w:rsid w:val="00311CEC"/>
    <w:rsid w:val="00313325"/>
    <w:rsid w:val="00313A4D"/>
    <w:rsid w:val="00313F34"/>
    <w:rsid w:val="00314DB9"/>
    <w:rsid w:val="0031707F"/>
    <w:rsid w:val="00321E2F"/>
    <w:rsid w:val="003246F2"/>
    <w:rsid w:val="00324865"/>
    <w:rsid w:val="00324B01"/>
    <w:rsid w:val="00324E36"/>
    <w:rsid w:val="0032557C"/>
    <w:rsid w:val="00326478"/>
    <w:rsid w:val="0032788A"/>
    <w:rsid w:val="00331031"/>
    <w:rsid w:val="00331281"/>
    <w:rsid w:val="003333CF"/>
    <w:rsid w:val="003347D8"/>
    <w:rsid w:val="003347F8"/>
    <w:rsid w:val="003348AD"/>
    <w:rsid w:val="003350FF"/>
    <w:rsid w:val="0033575A"/>
    <w:rsid w:val="003359F2"/>
    <w:rsid w:val="00340374"/>
    <w:rsid w:val="003405B0"/>
    <w:rsid w:val="00340734"/>
    <w:rsid w:val="0034095A"/>
    <w:rsid w:val="00340B45"/>
    <w:rsid w:val="0034287E"/>
    <w:rsid w:val="00342E44"/>
    <w:rsid w:val="00343125"/>
    <w:rsid w:val="00343334"/>
    <w:rsid w:val="00346F10"/>
    <w:rsid w:val="00347DC8"/>
    <w:rsid w:val="00350642"/>
    <w:rsid w:val="0035087B"/>
    <w:rsid w:val="00352E5D"/>
    <w:rsid w:val="003538B4"/>
    <w:rsid w:val="00353D3F"/>
    <w:rsid w:val="003546A7"/>
    <w:rsid w:val="00354E41"/>
    <w:rsid w:val="00355F7D"/>
    <w:rsid w:val="00356C0C"/>
    <w:rsid w:val="00357A18"/>
    <w:rsid w:val="00357CAE"/>
    <w:rsid w:val="0036003D"/>
    <w:rsid w:val="003601EE"/>
    <w:rsid w:val="0036092F"/>
    <w:rsid w:val="0036212C"/>
    <w:rsid w:val="00364709"/>
    <w:rsid w:val="00365849"/>
    <w:rsid w:val="00365CEB"/>
    <w:rsid w:val="0036608F"/>
    <w:rsid w:val="00367761"/>
    <w:rsid w:val="00371061"/>
    <w:rsid w:val="003723EC"/>
    <w:rsid w:val="003725C2"/>
    <w:rsid w:val="00373228"/>
    <w:rsid w:val="0037398C"/>
    <w:rsid w:val="00373BCB"/>
    <w:rsid w:val="00373DDA"/>
    <w:rsid w:val="003751D4"/>
    <w:rsid w:val="003765C9"/>
    <w:rsid w:val="0037765F"/>
    <w:rsid w:val="0037789B"/>
    <w:rsid w:val="003805C3"/>
    <w:rsid w:val="003808DC"/>
    <w:rsid w:val="003812EE"/>
    <w:rsid w:val="00381353"/>
    <w:rsid w:val="003817D3"/>
    <w:rsid w:val="00381AD3"/>
    <w:rsid w:val="00382023"/>
    <w:rsid w:val="00382317"/>
    <w:rsid w:val="00382748"/>
    <w:rsid w:val="0038366B"/>
    <w:rsid w:val="00383E27"/>
    <w:rsid w:val="00384A33"/>
    <w:rsid w:val="00384F53"/>
    <w:rsid w:val="0038718B"/>
    <w:rsid w:val="00390037"/>
    <w:rsid w:val="003908CB"/>
    <w:rsid w:val="00390F51"/>
    <w:rsid w:val="00391805"/>
    <w:rsid w:val="00392780"/>
    <w:rsid w:val="003965DB"/>
    <w:rsid w:val="003966A4"/>
    <w:rsid w:val="00397EA7"/>
    <w:rsid w:val="003A131A"/>
    <w:rsid w:val="003A1873"/>
    <w:rsid w:val="003A3153"/>
    <w:rsid w:val="003A389D"/>
    <w:rsid w:val="003A4099"/>
    <w:rsid w:val="003A4572"/>
    <w:rsid w:val="003A48A3"/>
    <w:rsid w:val="003A4DEB"/>
    <w:rsid w:val="003A56B4"/>
    <w:rsid w:val="003A63A3"/>
    <w:rsid w:val="003A7CE9"/>
    <w:rsid w:val="003A7D94"/>
    <w:rsid w:val="003B074C"/>
    <w:rsid w:val="003B304F"/>
    <w:rsid w:val="003B36FD"/>
    <w:rsid w:val="003B52E3"/>
    <w:rsid w:val="003B6EB4"/>
    <w:rsid w:val="003C0A14"/>
    <w:rsid w:val="003C1256"/>
    <w:rsid w:val="003C1404"/>
    <w:rsid w:val="003C229B"/>
    <w:rsid w:val="003C2F63"/>
    <w:rsid w:val="003C4815"/>
    <w:rsid w:val="003C5D94"/>
    <w:rsid w:val="003C7A73"/>
    <w:rsid w:val="003D061C"/>
    <w:rsid w:val="003D16A0"/>
    <w:rsid w:val="003D1765"/>
    <w:rsid w:val="003D188B"/>
    <w:rsid w:val="003D3B9A"/>
    <w:rsid w:val="003D42BA"/>
    <w:rsid w:val="003D4669"/>
    <w:rsid w:val="003D5E2A"/>
    <w:rsid w:val="003D6B57"/>
    <w:rsid w:val="003E0880"/>
    <w:rsid w:val="003E0893"/>
    <w:rsid w:val="003E0C00"/>
    <w:rsid w:val="003E3CBC"/>
    <w:rsid w:val="003E4724"/>
    <w:rsid w:val="003E5316"/>
    <w:rsid w:val="003E5B81"/>
    <w:rsid w:val="003E63DA"/>
    <w:rsid w:val="003E6E9A"/>
    <w:rsid w:val="003E7A91"/>
    <w:rsid w:val="003F0052"/>
    <w:rsid w:val="003F080A"/>
    <w:rsid w:val="003F2BA3"/>
    <w:rsid w:val="003F4609"/>
    <w:rsid w:val="003F47E7"/>
    <w:rsid w:val="003F4887"/>
    <w:rsid w:val="003F6718"/>
    <w:rsid w:val="003F7A91"/>
    <w:rsid w:val="00400ACB"/>
    <w:rsid w:val="004014AC"/>
    <w:rsid w:val="00401EA9"/>
    <w:rsid w:val="00402BA3"/>
    <w:rsid w:val="004041BB"/>
    <w:rsid w:val="0040556F"/>
    <w:rsid w:val="00405C57"/>
    <w:rsid w:val="0040634B"/>
    <w:rsid w:val="00406717"/>
    <w:rsid w:val="00406F15"/>
    <w:rsid w:val="00407DF5"/>
    <w:rsid w:val="004112B7"/>
    <w:rsid w:val="004113F2"/>
    <w:rsid w:val="0041189C"/>
    <w:rsid w:val="00412846"/>
    <w:rsid w:val="0041286B"/>
    <w:rsid w:val="00412E55"/>
    <w:rsid w:val="00412EDA"/>
    <w:rsid w:val="00413ED6"/>
    <w:rsid w:val="0041470D"/>
    <w:rsid w:val="00415306"/>
    <w:rsid w:val="004153E5"/>
    <w:rsid w:val="00416293"/>
    <w:rsid w:val="004165A5"/>
    <w:rsid w:val="004165E0"/>
    <w:rsid w:val="0042020F"/>
    <w:rsid w:val="004209AD"/>
    <w:rsid w:val="00420E26"/>
    <w:rsid w:val="00423265"/>
    <w:rsid w:val="00423AB0"/>
    <w:rsid w:val="004241CA"/>
    <w:rsid w:val="00424DB7"/>
    <w:rsid w:val="0042508B"/>
    <w:rsid w:val="004255AF"/>
    <w:rsid w:val="00425EF9"/>
    <w:rsid w:val="00426293"/>
    <w:rsid w:val="0043056E"/>
    <w:rsid w:val="0043102C"/>
    <w:rsid w:val="00431770"/>
    <w:rsid w:val="00431D80"/>
    <w:rsid w:val="0043264C"/>
    <w:rsid w:val="00432EDE"/>
    <w:rsid w:val="00433361"/>
    <w:rsid w:val="00433970"/>
    <w:rsid w:val="004346A4"/>
    <w:rsid w:val="00434E74"/>
    <w:rsid w:val="00435970"/>
    <w:rsid w:val="004366AC"/>
    <w:rsid w:val="00436879"/>
    <w:rsid w:val="00437C0C"/>
    <w:rsid w:val="00437DC8"/>
    <w:rsid w:val="00440935"/>
    <w:rsid w:val="0044137D"/>
    <w:rsid w:val="00441DE0"/>
    <w:rsid w:val="004428F8"/>
    <w:rsid w:val="004438EC"/>
    <w:rsid w:val="00445686"/>
    <w:rsid w:val="00446471"/>
    <w:rsid w:val="004470BD"/>
    <w:rsid w:val="00447425"/>
    <w:rsid w:val="00447F68"/>
    <w:rsid w:val="004508EB"/>
    <w:rsid w:val="004515F1"/>
    <w:rsid w:val="00453947"/>
    <w:rsid w:val="00456A2C"/>
    <w:rsid w:val="00457B50"/>
    <w:rsid w:val="00460668"/>
    <w:rsid w:val="004611C1"/>
    <w:rsid w:val="00462B72"/>
    <w:rsid w:val="00465AF5"/>
    <w:rsid w:val="004661B0"/>
    <w:rsid w:val="00466FEA"/>
    <w:rsid w:val="004702BD"/>
    <w:rsid w:val="00470775"/>
    <w:rsid w:val="0047091D"/>
    <w:rsid w:val="00472D5C"/>
    <w:rsid w:val="00473A7F"/>
    <w:rsid w:val="0047596E"/>
    <w:rsid w:val="00477865"/>
    <w:rsid w:val="00480F9B"/>
    <w:rsid w:val="00482A44"/>
    <w:rsid w:val="004838AA"/>
    <w:rsid w:val="00484599"/>
    <w:rsid w:val="004851C5"/>
    <w:rsid w:val="00485335"/>
    <w:rsid w:val="00485F0D"/>
    <w:rsid w:val="00487EFD"/>
    <w:rsid w:val="004911DC"/>
    <w:rsid w:val="004920BD"/>
    <w:rsid w:val="004944B6"/>
    <w:rsid w:val="00494A80"/>
    <w:rsid w:val="004A3B8B"/>
    <w:rsid w:val="004A4630"/>
    <w:rsid w:val="004A4CC2"/>
    <w:rsid w:val="004A5AEC"/>
    <w:rsid w:val="004A7952"/>
    <w:rsid w:val="004A7AFF"/>
    <w:rsid w:val="004B1465"/>
    <w:rsid w:val="004B268D"/>
    <w:rsid w:val="004B5555"/>
    <w:rsid w:val="004B6A9B"/>
    <w:rsid w:val="004C0A57"/>
    <w:rsid w:val="004C159B"/>
    <w:rsid w:val="004C1CEC"/>
    <w:rsid w:val="004C4320"/>
    <w:rsid w:val="004C5584"/>
    <w:rsid w:val="004C6B9E"/>
    <w:rsid w:val="004C6C6E"/>
    <w:rsid w:val="004C780E"/>
    <w:rsid w:val="004D090D"/>
    <w:rsid w:val="004D14D8"/>
    <w:rsid w:val="004D2C1C"/>
    <w:rsid w:val="004D3D91"/>
    <w:rsid w:val="004D4549"/>
    <w:rsid w:val="004D462B"/>
    <w:rsid w:val="004D5ACE"/>
    <w:rsid w:val="004D5BB9"/>
    <w:rsid w:val="004D7834"/>
    <w:rsid w:val="004D7BF8"/>
    <w:rsid w:val="004E01E1"/>
    <w:rsid w:val="004E0B7A"/>
    <w:rsid w:val="004E0B8E"/>
    <w:rsid w:val="004E1894"/>
    <w:rsid w:val="004E2CF6"/>
    <w:rsid w:val="004E3BBF"/>
    <w:rsid w:val="004E4CC2"/>
    <w:rsid w:val="004E518C"/>
    <w:rsid w:val="004E6F94"/>
    <w:rsid w:val="004E7578"/>
    <w:rsid w:val="004E7F43"/>
    <w:rsid w:val="004F0107"/>
    <w:rsid w:val="004F1699"/>
    <w:rsid w:val="004F17FB"/>
    <w:rsid w:val="004F3090"/>
    <w:rsid w:val="004F4346"/>
    <w:rsid w:val="004F489A"/>
    <w:rsid w:val="004F4A39"/>
    <w:rsid w:val="004F4D75"/>
    <w:rsid w:val="004F5F21"/>
    <w:rsid w:val="004F66D0"/>
    <w:rsid w:val="004F6747"/>
    <w:rsid w:val="00500332"/>
    <w:rsid w:val="00500F88"/>
    <w:rsid w:val="00504154"/>
    <w:rsid w:val="00504223"/>
    <w:rsid w:val="0050477B"/>
    <w:rsid w:val="005057CC"/>
    <w:rsid w:val="00505858"/>
    <w:rsid w:val="00505A9A"/>
    <w:rsid w:val="00505F80"/>
    <w:rsid w:val="00506735"/>
    <w:rsid w:val="005069A5"/>
    <w:rsid w:val="00507E86"/>
    <w:rsid w:val="0051089D"/>
    <w:rsid w:val="005115F3"/>
    <w:rsid w:val="00512BF2"/>
    <w:rsid w:val="00513834"/>
    <w:rsid w:val="00514908"/>
    <w:rsid w:val="00514A6D"/>
    <w:rsid w:val="00515EB7"/>
    <w:rsid w:val="00520518"/>
    <w:rsid w:val="005208EB"/>
    <w:rsid w:val="005209D7"/>
    <w:rsid w:val="00520CD4"/>
    <w:rsid w:val="0052205A"/>
    <w:rsid w:val="00523D1E"/>
    <w:rsid w:val="0052537E"/>
    <w:rsid w:val="00525F48"/>
    <w:rsid w:val="0052611C"/>
    <w:rsid w:val="005261F1"/>
    <w:rsid w:val="00526784"/>
    <w:rsid w:val="00526E2C"/>
    <w:rsid w:val="00527268"/>
    <w:rsid w:val="00527CD2"/>
    <w:rsid w:val="00531527"/>
    <w:rsid w:val="005316B6"/>
    <w:rsid w:val="00533FFC"/>
    <w:rsid w:val="0053539D"/>
    <w:rsid w:val="005361E0"/>
    <w:rsid w:val="005378EF"/>
    <w:rsid w:val="00540570"/>
    <w:rsid w:val="005437CF"/>
    <w:rsid w:val="0054482C"/>
    <w:rsid w:val="00547B5A"/>
    <w:rsid w:val="00550282"/>
    <w:rsid w:val="0055130D"/>
    <w:rsid w:val="005550DD"/>
    <w:rsid w:val="00555359"/>
    <w:rsid w:val="005575BA"/>
    <w:rsid w:val="00557DC5"/>
    <w:rsid w:val="00560F77"/>
    <w:rsid w:val="00561EA3"/>
    <w:rsid w:val="005624A0"/>
    <w:rsid w:val="005634AE"/>
    <w:rsid w:val="005635C8"/>
    <w:rsid w:val="0056458B"/>
    <w:rsid w:val="00564B12"/>
    <w:rsid w:val="0056550D"/>
    <w:rsid w:val="005659AC"/>
    <w:rsid w:val="00566122"/>
    <w:rsid w:val="005665E1"/>
    <w:rsid w:val="00567592"/>
    <w:rsid w:val="00567730"/>
    <w:rsid w:val="00567B55"/>
    <w:rsid w:val="005701BB"/>
    <w:rsid w:val="005709B5"/>
    <w:rsid w:val="00570BB9"/>
    <w:rsid w:val="005712A8"/>
    <w:rsid w:val="00572418"/>
    <w:rsid w:val="00572A77"/>
    <w:rsid w:val="00573BE5"/>
    <w:rsid w:val="00574301"/>
    <w:rsid w:val="00574806"/>
    <w:rsid w:val="005752A3"/>
    <w:rsid w:val="00575CB7"/>
    <w:rsid w:val="00580F55"/>
    <w:rsid w:val="00583F70"/>
    <w:rsid w:val="00584D05"/>
    <w:rsid w:val="0058523D"/>
    <w:rsid w:val="00586934"/>
    <w:rsid w:val="00587C00"/>
    <w:rsid w:val="00587E4F"/>
    <w:rsid w:val="0059033F"/>
    <w:rsid w:val="00591BBD"/>
    <w:rsid w:val="0059449D"/>
    <w:rsid w:val="00597E4B"/>
    <w:rsid w:val="005A1260"/>
    <w:rsid w:val="005A2328"/>
    <w:rsid w:val="005A2FA1"/>
    <w:rsid w:val="005A3014"/>
    <w:rsid w:val="005A35B6"/>
    <w:rsid w:val="005A4232"/>
    <w:rsid w:val="005A50A0"/>
    <w:rsid w:val="005A6740"/>
    <w:rsid w:val="005A6767"/>
    <w:rsid w:val="005A77C9"/>
    <w:rsid w:val="005A7A37"/>
    <w:rsid w:val="005B016E"/>
    <w:rsid w:val="005B03C3"/>
    <w:rsid w:val="005B0807"/>
    <w:rsid w:val="005B0C96"/>
    <w:rsid w:val="005B1244"/>
    <w:rsid w:val="005B214B"/>
    <w:rsid w:val="005B2CA3"/>
    <w:rsid w:val="005B3314"/>
    <w:rsid w:val="005B3467"/>
    <w:rsid w:val="005B5AF6"/>
    <w:rsid w:val="005B61FE"/>
    <w:rsid w:val="005B6687"/>
    <w:rsid w:val="005C09B3"/>
    <w:rsid w:val="005C0D7E"/>
    <w:rsid w:val="005C0DE7"/>
    <w:rsid w:val="005C0F07"/>
    <w:rsid w:val="005C177B"/>
    <w:rsid w:val="005C1CA1"/>
    <w:rsid w:val="005C2DE6"/>
    <w:rsid w:val="005C3E05"/>
    <w:rsid w:val="005C4EBF"/>
    <w:rsid w:val="005C5098"/>
    <w:rsid w:val="005C58EB"/>
    <w:rsid w:val="005C5977"/>
    <w:rsid w:val="005C7ED7"/>
    <w:rsid w:val="005D01A4"/>
    <w:rsid w:val="005D088D"/>
    <w:rsid w:val="005D0D39"/>
    <w:rsid w:val="005D1A7D"/>
    <w:rsid w:val="005D1D9B"/>
    <w:rsid w:val="005D1F21"/>
    <w:rsid w:val="005D392F"/>
    <w:rsid w:val="005D57AA"/>
    <w:rsid w:val="005D5D39"/>
    <w:rsid w:val="005D78A2"/>
    <w:rsid w:val="005E1C52"/>
    <w:rsid w:val="005E2E68"/>
    <w:rsid w:val="005E33D2"/>
    <w:rsid w:val="005E41E1"/>
    <w:rsid w:val="005E4442"/>
    <w:rsid w:val="005E4BD2"/>
    <w:rsid w:val="005E501E"/>
    <w:rsid w:val="005E50F3"/>
    <w:rsid w:val="005E5490"/>
    <w:rsid w:val="005E5F00"/>
    <w:rsid w:val="005F2D4C"/>
    <w:rsid w:val="005F31D5"/>
    <w:rsid w:val="005F37D4"/>
    <w:rsid w:val="005F42D2"/>
    <w:rsid w:val="005F4DD9"/>
    <w:rsid w:val="005F51F9"/>
    <w:rsid w:val="005F554A"/>
    <w:rsid w:val="005F67E2"/>
    <w:rsid w:val="006020D9"/>
    <w:rsid w:val="0060267A"/>
    <w:rsid w:val="006030D6"/>
    <w:rsid w:val="006043A4"/>
    <w:rsid w:val="00605007"/>
    <w:rsid w:val="0060594A"/>
    <w:rsid w:val="006105B3"/>
    <w:rsid w:val="006119B8"/>
    <w:rsid w:val="00614CD3"/>
    <w:rsid w:val="0061627F"/>
    <w:rsid w:val="00616BF1"/>
    <w:rsid w:val="0062043A"/>
    <w:rsid w:val="00620808"/>
    <w:rsid w:val="006217E3"/>
    <w:rsid w:val="00621A67"/>
    <w:rsid w:val="00621EDB"/>
    <w:rsid w:val="00622F37"/>
    <w:rsid w:val="006232A3"/>
    <w:rsid w:val="006240A6"/>
    <w:rsid w:val="006242DF"/>
    <w:rsid w:val="0062497C"/>
    <w:rsid w:val="00624EB7"/>
    <w:rsid w:val="0062600E"/>
    <w:rsid w:val="00626EC9"/>
    <w:rsid w:val="00636643"/>
    <w:rsid w:val="006374CD"/>
    <w:rsid w:val="00637F16"/>
    <w:rsid w:val="00640570"/>
    <w:rsid w:val="00640CB0"/>
    <w:rsid w:val="00641143"/>
    <w:rsid w:val="0064267E"/>
    <w:rsid w:val="006430FF"/>
    <w:rsid w:val="0064347A"/>
    <w:rsid w:val="00643967"/>
    <w:rsid w:val="0064721C"/>
    <w:rsid w:val="00647882"/>
    <w:rsid w:val="00647DA8"/>
    <w:rsid w:val="00647F9D"/>
    <w:rsid w:val="006502AB"/>
    <w:rsid w:val="00650F32"/>
    <w:rsid w:val="00651177"/>
    <w:rsid w:val="0065343A"/>
    <w:rsid w:val="00653A2A"/>
    <w:rsid w:val="00653B74"/>
    <w:rsid w:val="006569FD"/>
    <w:rsid w:val="0066096D"/>
    <w:rsid w:val="0066100B"/>
    <w:rsid w:val="0066219C"/>
    <w:rsid w:val="00663D25"/>
    <w:rsid w:val="0066654B"/>
    <w:rsid w:val="00666B1D"/>
    <w:rsid w:val="006672FF"/>
    <w:rsid w:val="00671816"/>
    <w:rsid w:val="006724CA"/>
    <w:rsid w:val="006727E9"/>
    <w:rsid w:val="006746CD"/>
    <w:rsid w:val="00674DB1"/>
    <w:rsid w:val="00677156"/>
    <w:rsid w:val="006779A1"/>
    <w:rsid w:val="006807B3"/>
    <w:rsid w:val="006813A4"/>
    <w:rsid w:val="00681F77"/>
    <w:rsid w:val="006823B3"/>
    <w:rsid w:val="00682BA0"/>
    <w:rsid w:val="00682E7A"/>
    <w:rsid w:val="0068368F"/>
    <w:rsid w:val="0068390A"/>
    <w:rsid w:val="00684D30"/>
    <w:rsid w:val="0068528A"/>
    <w:rsid w:val="006855D3"/>
    <w:rsid w:val="00685D06"/>
    <w:rsid w:val="00686202"/>
    <w:rsid w:val="00690243"/>
    <w:rsid w:val="0069139A"/>
    <w:rsid w:val="006917A7"/>
    <w:rsid w:val="00691862"/>
    <w:rsid w:val="0069219F"/>
    <w:rsid w:val="006944EB"/>
    <w:rsid w:val="00694C2D"/>
    <w:rsid w:val="006954C4"/>
    <w:rsid w:val="006A00B7"/>
    <w:rsid w:val="006A0563"/>
    <w:rsid w:val="006A134B"/>
    <w:rsid w:val="006A1B12"/>
    <w:rsid w:val="006A229F"/>
    <w:rsid w:val="006A34AC"/>
    <w:rsid w:val="006A46A7"/>
    <w:rsid w:val="006A4D18"/>
    <w:rsid w:val="006A4F09"/>
    <w:rsid w:val="006A50E4"/>
    <w:rsid w:val="006A7371"/>
    <w:rsid w:val="006B34C9"/>
    <w:rsid w:val="006B399A"/>
    <w:rsid w:val="006B4795"/>
    <w:rsid w:val="006B5791"/>
    <w:rsid w:val="006B60A2"/>
    <w:rsid w:val="006B6798"/>
    <w:rsid w:val="006B77BE"/>
    <w:rsid w:val="006B7B54"/>
    <w:rsid w:val="006C06AF"/>
    <w:rsid w:val="006C0F76"/>
    <w:rsid w:val="006C1340"/>
    <w:rsid w:val="006C23C2"/>
    <w:rsid w:val="006C33AC"/>
    <w:rsid w:val="006C4B1F"/>
    <w:rsid w:val="006C5C39"/>
    <w:rsid w:val="006C6FBB"/>
    <w:rsid w:val="006C723E"/>
    <w:rsid w:val="006C7B71"/>
    <w:rsid w:val="006D01E3"/>
    <w:rsid w:val="006D3A6D"/>
    <w:rsid w:val="006D46C6"/>
    <w:rsid w:val="006D4F91"/>
    <w:rsid w:val="006D5556"/>
    <w:rsid w:val="006D6DB3"/>
    <w:rsid w:val="006E0419"/>
    <w:rsid w:val="006E0CF5"/>
    <w:rsid w:val="006E15B5"/>
    <w:rsid w:val="006E18EB"/>
    <w:rsid w:val="006E1C31"/>
    <w:rsid w:val="006E31A3"/>
    <w:rsid w:val="006E45CC"/>
    <w:rsid w:val="006E52E1"/>
    <w:rsid w:val="006E5C6C"/>
    <w:rsid w:val="006E63DE"/>
    <w:rsid w:val="006E6A42"/>
    <w:rsid w:val="006E70D1"/>
    <w:rsid w:val="006F04D9"/>
    <w:rsid w:val="006F07FA"/>
    <w:rsid w:val="006F0FBF"/>
    <w:rsid w:val="006F137B"/>
    <w:rsid w:val="006F1B2E"/>
    <w:rsid w:val="006F1DC1"/>
    <w:rsid w:val="006F2292"/>
    <w:rsid w:val="006F31D7"/>
    <w:rsid w:val="006F3670"/>
    <w:rsid w:val="006F3932"/>
    <w:rsid w:val="006F3B2C"/>
    <w:rsid w:val="006F48D3"/>
    <w:rsid w:val="006F4901"/>
    <w:rsid w:val="006F617A"/>
    <w:rsid w:val="006F6D52"/>
    <w:rsid w:val="007001BB"/>
    <w:rsid w:val="0070184C"/>
    <w:rsid w:val="007028E7"/>
    <w:rsid w:val="007039B7"/>
    <w:rsid w:val="00703CAD"/>
    <w:rsid w:val="0070401B"/>
    <w:rsid w:val="00704082"/>
    <w:rsid w:val="00705371"/>
    <w:rsid w:val="007077DC"/>
    <w:rsid w:val="00707DAE"/>
    <w:rsid w:val="00710C2B"/>
    <w:rsid w:val="00713384"/>
    <w:rsid w:val="00713D73"/>
    <w:rsid w:val="007141E1"/>
    <w:rsid w:val="00714F31"/>
    <w:rsid w:val="0071593B"/>
    <w:rsid w:val="007219F6"/>
    <w:rsid w:val="00722046"/>
    <w:rsid w:val="00722CFC"/>
    <w:rsid w:val="0072440A"/>
    <w:rsid w:val="00724504"/>
    <w:rsid w:val="007247EB"/>
    <w:rsid w:val="007257D4"/>
    <w:rsid w:val="00726485"/>
    <w:rsid w:val="00726F2B"/>
    <w:rsid w:val="00732F1A"/>
    <w:rsid w:val="00733151"/>
    <w:rsid w:val="00733AC8"/>
    <w:rsid w:val="00734A87"/>
    <w:rsid w:val="00734CF6"/>
    <w:rsid w:val="00735189"/>
    <w:rsid w:val="007360FB"/>
    <w:rsid w:val="007369A0"/>
    <w:rsid w:val="00740E6A"/>
    <w:rsid w:val="007413D9"/>
    <w:rsid w:val="0074150C"/>
    <w:rsid w:val="00742024"/>
    <w:rsid w:val="007434B4"/>
    <w:rsid w:val="00744360"/>
    <w:rsid w:val="007455AC"/>
    <w:rsid w:val="00745685"/>
    <w:rsid w:val="0074593E"/>
    <w:rsid w:val="007460BC"/>
    <w:rsid w:val="00746586"/>
    <w:rsid w:val="00747190"/>
    <w:rsid w:val="00747779"/>
    <w:rsid w:val="00747DDA"/>
    <w:rsid w:val="00747F03"/>
    <w:rsid w:val="00750446"/>
    <w:rsid w:val="00751132"/>
    <w:rsid w:val="00751F7C"/>
    <w:rsid w:val="00753FAF"/>
    <w:rsid w:val="00755F77"/>
    <w:rsid w:val="007567BC"/>
    <w:rsid w:val="007568EE"/>
    <w:rsid w:val="007601F3"/>
    <w:rsid w:val="007606C3"/>
    <w:rsid w:val="00760E64"/>
    <w:rsid w:val="007611A9"/>
    <w:rsid w:val="00761C5D"/>
    <w:rsid w:val="00761F02"/>
    <w:rsid w:val="0076488F"/>
    <w:rsid w:val="00765AED"/>
    <w:rsid w:val="0076675E"/>
    <w:rsid w:val="0076684A"/>
    <w:rsid w:val="00767220"/>
    <w:rsid w:val="00771449"/>
    <w:rsid w:val="00771DE6"/>
    <w:rsid w:val="007723AB"/>
    <w:rsid w:val="0077273F"/>
    <w:rsid w:val="0077276B"/>
    <w:rsid w:val="007741AD"/>
    <w:rsid w:val="00774632"/>
    <w:rsid w:val="00775065"/>
    <w:rsid w:val="00777B6C"/>
    <w:rsid w:val="00780CB0"/>
    <w:rsid w:val="007847B2"/>
    <w:rsid w:val="00785952"/>
    <w:rsid w:val="00786755"/>
    <w:rsid w:val="00787111"/>
    <w:rsid w:val="00787136"/>
    <w:rsid w:val="0078751B"/>
    <w:rsid w:val="00787713"/>
    <w:rsid w:val="00787B90"/>
    <w:rsid w:val="007928E2"/>
    <w:rsid w:val="007936B7"/>
    <w:rsid w:val="007938A2"/>
    <w:rsid w:val="00793C99"/>
    <w:rsid w:val="007946C7"/>
    <w:rsid w:val="007948EB"/>
    <w:rsid w:val="0079531F"/>
    <w:rsid w:val="00795D1A"/>
    <w:rsid w:val="007972B8"/>
    <w:rsid w:val="00797518"/>
    <w:rsid w:val="007975C6"/>
    <w:rsid w:val="007A33DB"/>
    <w:rsid w:val="007A3ABD"/>
    <w:rsid w:val="007A4B56"/>
    <w:rsid w:val="007A54CF"/>
    <w:rsid w:val="007A5DDD"/>
    <w:rsid w:val="007A69F1"/>
    <w:rsid w:val="007A6B90"/>
    <w:rsid w:val="007B00EC"/>
    <w:rsid w:val="007B0338"/>
    <w:rsid w:val="007B0520"/>
    <w:rsid w:val="007B2232"/>
    <w:rsid w:val="007B4A00"/>
    <w:rsid w:val="007B644C"/>
    <w:rsid w:val="007B65F8"/>
    <w:rsid w:val="007C0C56"/>
    <w:rsid w:val="007C2C9D"/>
    <w:rsid w:val="007C302F"/>
    <w:rsid w:val="007C5C1F"/>
    <w:rsid w:val="007C5F6A"/>
    <w:rsid w:val="007C6ED7"/>
    <w:rsid w:val="007C76F3"/>
    <w:rsid w:val="007D0885"/>
    <w:rsid w:val="007D1565"/>
    <w:rsid w:val="007D23C8"/>
    <w:rsid w:val="007D348B"/>
    <w:rsid w:val="007D3A8A"/>
    <w:rsid w:val="007D405F"/>
    <w:rsid w:val="007D460B"/>
    <w:rsid w:val="007D4EAE"/>
    <w:rsid w:val="007D57AF"/>
    <w:rsid w:val="007D5C23"/>
    <w:rsid w:val="007D6E84"/>
    <w:rsid w:val="007D71A8"/>
    <w:rsid w:val="007D7812"/>
    <w:rsid w:val="007E0993"/>
    <w:rsid w:val="007E1305"/>
    <w:rsid w:val="007E1DC0"/>
    <w:rsid w:val="007E256E"/>
    <w:rsid w:val="007E2C2B"/>
    <w:rsid w:val="007E2F36"/>
    <w:rsid w:val="007E3355"/>
    <w:rsid w:val="007E4784"/>
    <w:rsid w:val="007E484A"/>
    <w:rsid w:val="007E4969"/>
    <w:rsid w:val="007E5152"/>
    <w:rsid w:val="007E5BC4"/>
    <w:rsid w:val="007F589A"/>
    <w:rsid w:val="007F5A41"/>
    <w:rsid w:val="007F5C7E"/>
    <w:rsid w:val="007F5C8A"/>
    <w:rsid w:val="007F6ECA"/>
    <w:rsid w:val="00801B24"/>
    <w:rsid w:val="008022FA"/>
    <w:rsid w:val="00802842"/>
    <w:rsid w:val="008029A3"/>
    <w:rsid w:val="00802D88"/>
    <w:rsid w:val="008041E9"/>
    <w:rsid w:val="0080530F"/>
    <w:rsid w:val="00805524"/>
    <w:rsid w:val="00805B8A"/>
    <w:rsid w:val="00805E68"/>
    <w:rsid w:val="00807280"/>
    <w:rsid w:val="00807527"/>
    <w:rsid w:val="008100B3"/>
    <w:rsid w:val="00811559"/>
    <w:rsid w:val="008137E0"/>
    <w:rsid w:val="00814617"/>
    <w:rsid w:val="00814F1A"/>
    <w:rsid w:val="008168BB"/>
    <w:rsid w:val="008171F2"/>
    <w:rsid w:val="008205E0"/>
    <w:rsid w:val="00820C24"/>
    <w:rsid w:val="00821980"/>
    <w:rsid w:val="0082253F"/>
    <w:rsid w:val="00823B5F"/>
    <w:rsid w:val="00824B7E"/>
    <w:rsid w:val="00826848"/>
    <w:rsid w:val="00826A07"/>
    <w:rsid w:val="00826FDC"/>
    <w:rsid w:val="008327F1"/>
    <w:rsid w:val="0083358D"/>
    <w:rsid w:val="00833685"/>
    <w:rsid w:val="008348A7"/>
    <w:rsid w:val="00834DF7"/>
    <w:rsid w:val="008368A0"/>
    <w:rsid w:val="00840AB2"/>
    <w:rsid w:val="008417A5"/>
    <w:rsid w:val="00842D56"/>
    <w:rsid w:val="00844573"/>
    <w:rsid w:val="00844C56"/>
    <w:rsid w:val="00845C17"/>
    <w:rsid w:val="00846C2C"/>
    <w:rsid w:val="0085129C"/>
    <w:rsid w:val="00852675"/>
    <w:rsid w:val="00852853"/>
    <w:rsid w:val="00853251"/>
    <w:rsid w:val="00854301"/>
    <w:rsid w:val="008558C2"/>
    <w:rsid w:val="008570AA"/>
    <w:rsid w:val="00860E07"/>
    <w:rsid w:val="008613AD"/>
    <w:rsid w:val="0086223C"/>
    <w:rsid w:val="00862AC9"/>
    <w:rsid w:val="00862E2B"/>
    <w:rsid w:val="00863896"/>
    <w:rsid w:val="00864589"/>
    <w:rsid w:val="00865FC0"/>
    <w:rsid w:val="00865FEB"/>
    <w:rsid w:val="0086659F"/>
    <w:rsid w:val="00866B3B"/>
    <w:rsid w:val="008706F9"/>
    <w:rsid w:val="00871BBB"/>
    <w:rsid w:val="00873CDE"/>
    <w:rsid w:val="00874C18"/>
    <w:rsid w:val="00875458"/>
    <w:rsid w:val="00876925"/>
    <w:rsid w:val="00877941"/>
    <w:rsid w:val="0088016F"/>
    <w:rsid w:val="00880359"/>
    <w:rsid w:val="0088062D"/>
    <w:rsid w:val="00880C22"/>
    <w:rsid w:val="00881408"/>
    <w:rsid w:val="0088206F"/>
    <w:rsid w:val="008821CE"/>
    <w:rsid w:val="00882419"/>
    <w:rsid w:val="008828A3"/>
    <w:rsid w:val="00882F88"/>
    <w:rsid w:val="008836B3"/>
    <w:rsid w:val="00883835"/>
    <w:rsid w:val="00884527"/>
    <w:rsid w:val="00885429"/>
    <w:rsid w:val="00886054"/>
    <w:rsid w:val="008862FF"/>
    <w:rsid w:val="00886FAE"/>
    <w:rsid w:val="00887570"/>
    <w:rsid w:val="0088767A"/>
    <w:rsid w:val="00892D2C"/>
    <w:rsid w:val="00893531"/>
    <w:rsid w:val="008952DA"/>
    <w:rsid w:val="00895D20"/>
    <w:rsid w:val="008961A9"/>
    <w:rsid w:val="00897720"/>
    <w:rsid w:val="008978AE"/>
    <w:rsid w:val="008A0865"/>
    <w:rsid w:val="008A1CC1"/>
    <w:rsid w:val="008A1E03"/>
    <w:rsid w:val="008A400C"/>
    <w:rsid w:val="008A4564"/>
    <w:rsid w:val="008A64F6"/>
    <w:rsid w:val="008A664A"/>
    <w:rsid w:val="008A6C2A"/>
    <w:rsid w:val="008A75A2"/>
    <w:rsid w:val="008B064A"/>
    <w:rsid w:val="008B35FF"/>
    <w:rsid w:val="008B3914"/>
    <w:rsid w:val="008B3B34"/>
    <w:rsid w:val="008B4ECD"/>
    <w:rsid w:val="008B685F"/>
    <w:rsid w:val="008B7C50"/>
    <w:rsid w:val="008B7C74"/>
    <w:rsid w:val="008B7E9E"/>
    <w:rsid w:val="008C008E"/>
    <w:rsid w:val="008C2834"/>
    <w:rsid w:val="008C29DE"/>
    <w:rsid w:val="008C2DE1"/>
    <w:rsid w:val="008C3A07"/>
    <w:rsid w:val="008C41AF"/>
    <w:rsid w:val="008C47C2"/>
    <w:rsid w:val="008C59E1"/>
    <w:rsid w:val="008D0C02"/>
    <w:rsid w:val="008D201F"/>
    <w:rsid w:val="008D3FC4"/>
    <w:rsid w:val="008D499A"/>
    <w:rsid w:val="008D4A08"/>
    <w:rsid w:val="008D5A64"/>
    <w:rsid w:val="008D63C6"/>
    <w:rsid w:val="008D71E1"/>
    <w:rsid w:val="008E1B2E"/>
    <w:rsid w:val="008E2E02"/>
    <w:rsid w:val="008E3392"/>
    <w:rsid w:val="008E3C1A"/>
    <w:rsid w:val="008E4ED5"/>
    <w:rsid w:val="008E6DFB"/>
    <w:rsid w:val="008F1C57"/>
    <w:rsid w:val="008F587E"/>
    <w:rsid w:val="008F63FC"/>
    <w:rsid w:val="008F6500"/>
    <w:rsid w:val="008F73EE"/>
    <w:rsid w:val="00901406"/>
    <w:rsid w:val="00901880"/>
    <w:rsid w:val="00901F5B"/>
    <w:rsid w:val="0090312E"/>
    <w:rsid w:val="00903231"/>
    <w:rsid w:val="0090323D"/>
    <w:rsid w:val="0090365C"/>
    <w:rsid w:val="009040DE"/>
    <w:rsid w:val="00904101"/>
    <w:rsid w:val="00904FDD"/>
    <w:rsid w:val="009055CB"/>
    <w:rsid w:val="009069C0"/>
    <w:rsid w:val="0090766C"/>
    <w:rsid w:val="009104BE"/>
    <w:rsid w:val="00910FB9"/>
    <w:rsid w:val="0091102F"/>
    <w:rsid w:val="009130C4"/>
    <w:rsid w:val="009138A1"/>
    <w:rsid w:val="00913D07"/>
    <w:rsid w:val="00914055"/>
    <w:rsid w:val="00915C2A"/>
    <w:rsid w:val="00916580"/>
    <w:rsid w:val="0091715D"/>
    <w:rsid w:val="009179EE"/>
    <w:rsid w:val="00917B30"/>
    <w:rsid w:val="00921556"/>
    <w:rsid w:val="0092181D"/>
    <w:rsid w:val="009220E1"/>
    <w:rsid w:val="009226FF"/>
    <w:rsid w:val="00922BF1"/>
    <w:rsid w:val="00922DDF"/>
    <w:rsid w:val="0092412A"/>
    <w:rsid w:val="0092516A"/>
    <w:rsid w:val="009258D3"/>
    <w:rsid w:val="00926E98"/>
    <w:rsid w:val="0093049E"/>
    <w:rsid w:val="00932D24"/>
    <w:rsid w:val="0093449D"/>
    <w:rsid w:val="00935D2C"/>
    <w:rsid w:val="0093744F"/>
    <w:rsid w:val="009438E2"/>
    <w:rsid w:val="00943F2F"/>
    <w:rsid w:val="009440E8"/>
    <w:rsid w:val="0094476B"/>
    <w:rsid w:val="00944F45"/>
    <w:rsid w:val="00945FCD"/>
    <w:rsid w:val="009471C8"/>
    <w:rsid w:val="00950768"/>
    <w:rsid w:val="00951E05"/>
    <w:rsid w:val="009523BC"/>
    <w:rsid w:val="0095283A"/>
    <w:rsid w:val="009530CA"/>
    <w:rsid w:val="00953295"/>
    <w:rsid w:val="009533D4"/>
    <w:rsid w:val="009536C0"/>
    <w:rsid w:val="00955A0A"/>
    <w:rsid w:val="00956792"/>
    <w:rsid w:val="009575AE"/>
    <w:rsid w:val="0096037C"/>
    <w:rsid w:val="009605C3"/>
    <w:rsid w:val="00960AEF"/>
    <w:rsid w:val="00964404"/>
    <w:rsid w:val="009663CE"/>
    <w:rsid w:val="00966666"/>
    <w:rsid w:val="00966A87"/>
    <w:rsid w:val="00967B29"/>
    <w:rsid w:val="00967EB5"/>
    <w:rsid w:val="0097053B"/>
    <w:rsid w:val="009716E8"/>
    <w:rsid w:val="00974D37"/>
    <w:rsid w:val="00974E44"/>
    <w:rsid w:val="009764A4"/>
    <w:rsid w:val="009771AA"/>
    <w:rsid w:val="0098151F"/>
    <w:rsid w:val="009822D7"/>
    <w:rsid w:val="009822F0"/>
    <w:rsid w:val="00983A67"/>
    <w:rsid w:val="00983E55"/>
    <w:rsid w:val="009864CF"/>
    <w:rsid w:val="009868D4"/>
    <w:rsid w:val="0099031D"/>
    <w:rsid w:val="00991EB4"/>
    <w:rsid w:val="009928A8"/>
    <w:rsid w:val="00992BAF"/>
    <w:rsid w:val="00992F43"/>
    <w:rsid w:val="00993871"/>
    <w:rsid w:val="00994C2B"/>
    <w:rsid w:val="00994DAF"/>
    <w:rsid w:val="00996896"/>
    <w:rsid w:val="00996B4D"/>
    <w:rsid w:val="00996D0D"/>
    <w:rsid w:val="009A0AA3"/>
    <w:rsid w:val="009A0EAF"/>
    <w:rsid w:val="009A2CBF"/>
    <w:rsid w:val="009A30BF"/>
    <w:rsid w:val="009A3F9F"/>
    <w:rsid w:val="009A4C47"/>
    <w:rsid w:val="009A5E9C"/>
    <w:rsid w:val="009A7525"/>
    <w:rsid w:val="009A7664"/>
    <w:rsid w:val="009A7FB8"/>
    <w:rsid w:val="009B06BC"/>
    <w:rsid w:val="009B1169"/>
    <w:rsid w:val="009B1687"/>
    <w:rsid w:val="009B1F47"/>
    <w:rsid w:val="009B2B6A"/>
    <w:rsid w:val="009B327E"/>
    <w:rsid w:val="009B339A"/>
    <w:rsid w:val="009B3680"/>
    <w:rsid w:val="009B4D71"/>
    <w:rsid w:val="009B56E8"/>
    <w:rsid w:val="009B5BE2"/>
    <w:rsid w:val="009C120F"/>
    <w:rsid w:val="009C29F4"/>
    <w:rsid w:val="009C2F1E"/>
    <w:rsid w:val="009C39BD"/>
    <w:rsid w:val="009C7F22"/>
    <w:rsid w:val="009D09B9"/>
    <w:rsid w:val="009D7095"/>
    <w:rsid w:val="009E04AF"/>
    <w:rsid w:val="009E4A6F"/>
    <w:rsid w:val="009E5BB5"/>
    <w:rsid w:val="009E6986"/>
    <w:rsid w:val="009E69CC"/>
    <w:rsid w:val="009F091E"/>
    <w:rsid w:val="009F09DD"/>
    <w:rsid w:val="009F3C62"/>
    <w:rsid w:val="009F51BF"/>
    <w:rsid w:val="009F6517"/>
    <w:rsid w:val="009F6612"/>
    <w:rsid w:val="009F7FB0"/>
    <w:rsid w:val="00A00FE5"/>
    <w:rsid w:val="00A025C8"/>
    <w:rsid w:val="00A0440E"/>
    <w:rsid w:val="00A055A2"/>
    <w:rsid w:val="00A05BDC"/>
    <w:rsid w:val="00A068BD"/>
    <w:rsid w:val="00A079C5"/>
    <w:rsid w:val="00A10993"/>
    <w:rsid w:val="00A10DF5"/>
    <w:rsid w:val="00A118FA"/>
    <w:rsid w:val="00A1238E"/>
    <w:rsid w:val="00A147BA"/>
    <w:rsid w:val="00A14F25"/>
    <w:rsid w:val="00A150CD"/>
    <w:rsid w:val="00A20365"/>
    <w:rsid w:val="00A2099A"/>
    <w:rsid w:val="00A20DB6"/>
    <w:rsid w:val="00A21A8D"/>
    <w:rsid w:val="00A21F26"/>
    <w:rsid w:val="00A23123"/>
    <w:rsid w:val="00A251BE"/>
    <w:rsid w:val="00A27620"/>
    <w:rsid w:val="00A308A5"/>
    <w:rsid w:val="00A30C20"/>
    <w:rsid w:val="00A31C0C"/>
    <w:rsid w:val="00A32970"/>
    <w:rsid w:val="00A33BF9"/>
    <w:rsid w:val="00A340D8"/>
    <w:rsid w:val="00A34221"/>
    <w:rsid w:val="00A35822"/>
    <w:rsid w:val="00A364E0"/>
    <w:rsid w:val="00A3740A"/>
    <w:rsid w:val="00A40786"/>
    <w:rsid w:val="00A410EA"/>
    <w:rsid w:val="00A4267E"/>
    <w:rsid w:val="00A42F8F"/>
    <w:rsid w:val="00A43F6D"/>
    <w:rsid w:val="00A44AA1"/>
    <w:rsid w:val="00A45D07"/>
    <w:rsid w:val="00A47B85"/>
    <w:rsid w:val="00A513BE"/>
    <w:rsid w:val="00A51B00"/>
    <w:rsid w:val="00A53A4C"/>
    <w:rsid w:val="00A53AA9"/>
    <w:rsid w:val="00A543D4"/>
    <w:rsid w:val="00A54ADC"/>
    <w:rsid w:val="00A572BD"/>
    <w:rsid w:val="00A57B0B"/>
    <w:rsid w:val="00A60510"/>
    <w:rsid w:val="00A611BB"/>
    <w:rsid w:val="00A64028"/>
    <w:rsid w:val="00A64425"/>
    <w:rsid w:val="00A668FB"/>
    <w:rsid w:val="00A6702B"/>
    <w:rsid w:val="00A71189"/>
    <w:rsid w:val="00A71D10"/>
    <w:rsid w:val="00A71D21"/>
    <w:rsid w:val="00A7220C"/>
    <w:rsid w:val="00A73A8A"/>
    <w:rsid w:val="00A74F07"/>
    <w:rsid w:val="00A76084"/>
    <w:rsid w:val="00A806A9"/>
    <w:rsid w:val="00A807C8"/>
    <w:rsid w:val="00A80A87"/>
    <w:rsid w:val="00A812A3"/>
    <w:rsid w:val="00A81C21"/>
    <w:rsid w:val="00A83F45"/>
    <w:rsid w:val="00A8400E"/>
    <w:rsid w:val="00A867DB"/>
    <w:rsid w:val="00A869D6"/>
    <w:rsid w:val="00A86ECE"/>
    <w:rsid w:val="00A90B18"/>
    <w:rsid w:val="00A92883"/>
    <w:rsid w:val="00A92E92"/>
    <w:rsid w:val="00A93090"/>
    <w:rsid w:val="00A933B4"/>
    <w:rsid w:val="00A95AC6"/>
    <w:rsid w:val="00A95E01"/>
    <w:rsid w:val="00A96972"/>
    <w:rsid w:val="00A9710F"/>
    <w:rsid w:val="00A979CB"/>
    <w:rsid w:val="00AA4277"/>
    <w:rsid w:val="00AA4545"/>
    <w:rsid w:val="00AA4B0D"/>
    <w:rsid w:val="00AA6414"/>
    <w:rsid w:val="00AB03B3"/>
    <w:rsid w:val="00AB05A0"/>
    <w:rsid w:val="00AB0DD6"/>
    <w:rsid w:val="00AB126F"/>
    <w:rsid w:val="00AB1312"/>
    <w:rsid w:val="00AB179F"/>
    <w:rsid w:val="00AB210D"/>
    <w:rsid w:val="00AB4CFA"/>
    <w:rsid w:val="00AB5225"/>
    <w:rsid w:val="00AB621A"/>
    <w:rsid w:val="00AB65F6"/>
    <w:rsid w:val="00AB704D"/>
    <w:rsid w:val="00AB70A5"/>
    <w:rsid w:val="00AB77B3"/>
    <w:rsid w:val="00AB7A04"/>
    <w:rsid w:val="00AC14AF"/>
    <w:rsid w:val="00AC25B2"/>
    <w:rsid w:val="00AC47B6"/>
    <w:rsid w:val="00AC558B"/>
    <w:rsid w:val="00AC5FEB"/>
    <w:rsid w:val="00AC7AA9"/>
    <w:rsid w:val="00AC7D32"/>
    <w:rsid w:val="00AD0017"/>
    <w:rsid w:val="00AD0343"/>
    <w:rsid w:val="00AD0B8C"/>
    <w:rsid w:val="00AD3712"/>
    <w:rsid w:val="00AD3D71"/>
    <w:rsid w:val="00AD3EA2"/>
    <w:rsid w:val="00AD4070"/>
    <w:rsid w:val="00AD44DC"/>
    <w:rsid w:val="00AD4609"/>
    <w:rsid w:val="00AD5A5C"/>
    <w:rsid w:val="00AE0EF8"/>
    <w:rsid w:val="00AE3218"/>
    <w:rsid w:val="00AE32D9"/>
    <w:rsid w:val="00AE3B1F"/>
    <w:rsid w:val="00AE43C4"/>
    <w:rsid w:val="00AE4454"/>
    <w:rsid w:val="00AE4958"/>
    <w:rsid w:val="00AE4D65"/>
    <w:rsid w:val="00AE52B3"/>
    <w:rsid w:val="00AE58AB"/>
    <w:rsid w:val="00AE7DF5"/>
    <w:rsid w:val="00AF0141"/>
    <w:rsid w:val="00AF18B3"/>
    <w:rsid w:val="00AF3BA9"/>
    <w:rsid w:val="00AF4CCA"/>
    <w:rsid w:val="00AF7B5E"/>
    <w:rsid w:val="00B00935"/>
    <w:rsid w:val="00B00CF6"/>
    <w:rsid w:val="00B012BD"/>
    <w:rsid w:val="00B014E7"/>
    <w:rsid w:val="00B02A7E"/>
    <w:rsid w:val="00B02D50"/>
    <w:rsid w:val="00B036E5"/>
    <w:rsid w:val="00B06424"/>
    <w:rsid w:val="00B10B2A"/>
    <w:rsid w:val="00B115CA"/>
    <w:rsid w:val="00B122B7"/>
    <w:rsid w:val="00B137EA"/>
    <w:rsid w:val="00B13FED"/>
    <w:rsid w:val="00B14152"/>
    <w:rsid w:val="00B14513"/>
    <w:rsid w:val="00B147C9"/>
    <w:rsid w:val="00B1480C"/>
    <w:rsid w:val="00B15ACB"/>
    <w:rsid w:val="00B1686A"/>
    <w:rsid w:val="00B20FEC"/>
    <w:rsid w:val="00B216C6"/>
    <w:rsid w:val="00B218D2"/>
    <w:rsid w:val="00B21BCE"/>
    <w:rsid w:val="00B221AB"/>
    <w:rsid w:val="00B2223A"/>
    <w:rsid w:val="00B22735"/>
    <w:rsid w:val="00B22ABA"/>
    <w:rsid w:val="00B233A7"/>
    <w:rsid w:val="00B242AF"/>
    <w:rsid w:val="00B24A89"/>
    <w:rsid w:val="00B24DFF"/>
    <w:rsid w:val="00B2614F"/>
    <w:rsid w:val="00B26607"/>
    <w:rsid w:val="00B277C0"/>
    <w:rsid w:val="00B30004"/>
    <w:rsid w:val="00B302AC"/>
    <w:rsid w:val="00B318AA"/>
    <w:rsid w:val="00B31CB9"/>
    <w:rsid w:val="00B33C46"/>
    <w:rsid w:val="00B37CD6"/>
    <w:rsid w:val="00B416F4"/>
    <w:rsid w:val="00B41991"/>
    <w:rsid w:val="00B420B0"/>
    <w:rsid w:val="00B42258"/>
    <w:rsid w:val="00B42450"/>
    <w:rsid w:val="00B44107"/>
    <w:rsid w:val="00B45413"/>
    <w:rsid w:val="00B45891"/>
    <w:rsid w:val="00B46449"/>
    <w:rsid w:val="00B47A89"/>
    <w:rsid w:val="00B47F99"/>
    <w:rsid w:val="00B50B02"/>
    <w:rsid w:val="00B51CB4"/>
    <w:rsid w:val="00B52945"/>
    <w:rsid w:val="00B52B57"/>
    <w:rsid w:val="00B53217"/>
    <w:rsid w:val="00B53341"/>
    <w:rsid w:val="00B533D2"/>
    <w:rsid w:val="00B53710"/>
    <w:rsid w:val="00B53D89"/>
    <w:rsid w:val="00B56CDE"/>
    <w:rsid w:val="00B5734F"/>
    <w:rsid w:val="00B575F0"/>
    <w:rsid w:val="00B578B5"/>
    <w:rsid w:val="00B6048A"/>
    <w:rsid w:val="00B61262"/>
    <w:rsid w:val="00B612F1"/>
    <w:rsid w:val="00B618A0"/>
    <w:rsid w:val="00B629EE"/>
    <w:rsid w:val="00B6426D"/>
    <w:rsid w:val="00B650CF"/>
    <w:rsid w:val="00B661D4"/>
    <w:rsid w:val="00B667F6"/>
    <w:rsid w:val="00B70D74"/>
    <w:rsid w:val="00B71032"/>
    <w:rsid w:val="00B716F8"/>
    <w:rsid w:val="00B71E34"/>
    <w:rsid w:val="00B7326F"/>
    <w:rsid w:val="00B762A9"/>
    <w:rsid w:val="00B76AA9"/>
    <w:rsid w:val="00B77BB6"/>
    <w:rsid w:val="00B80917"/>
    <w:rsid w:val="00B81B3B"/>
    <w:rsid w:val="00B8333A"/>
    <w:rsid w:val="00B83403"/>
    <w:rsid w:val="00B8443F"/>
    <w:rsid w:val="00B87EE4"/>
    <w:rsid w:val="00B91352"/>
    <w:rsid w:val="00B917E2"/>
    <w:rsid w:val="00B924B7"/>
    <w:rsid w:val="00B924B9"/>
    <w:rsid w:val="00B92BEC"/>
    <w:rsid w:val="00B93D7E"/>
    <w:rsid w:val="00B948B3"/>
    <w:rsid w:val="00B95659"/>
    <w:rsid w:val="00B95BF4"/>
    <w:rsid w:val="00B962C7"/>
    <w:rsid w:val="00B9759F"/>
    <w:rsid w:val="00BA1CF8"/>
    <w:rsid w:val="00BA27AD"/>
    <w:rsid w:val="00BA2A64"/>
    <w:rsid w:val="00BA3DEF"/>
    <w:rsid w:val="00BA499C"/>
    <w:rsid w:val="00BA5A6A"/>
    <w:rsid w:val="00BB014D"/>
    <w:rsid w:val="00BB1830"/>
    <w:rsid w:val="00BB220F"/>
    <w:rsid w:val="00BB4A09"/>
    <w:rsid w:val="00BB5B51"/>
    <w:rsid w:val="00BB7E13"/>
    <w:rsid w:val="00BC06E2"/>
    <w:rsid w:val="00BC0FDA"/>
    <w:rsid w:val="00BC1A1F"/>
    <w:rsid w:val="00BC23A2"/>
    <w:rsid w:val="00BC3538"/>
    <w:rsid w:val="00BC3C3D"/>
    <w:rsid w:val="00BC43EA"/>
    <w:rsid w:val="00BC4CC0"/>
    <w:rsid w:val="00BC509C"/>
    <w:rsid w:val="00BC51EA"/>
    <w:rsid w:val="00BC5F46"/>
    <w:rsid w:val="00BC60F6"/>
    <w:rsid w:val="00BC61E8"/>
    <w:rsid w:val="00BC62F1"/>
    <w:rsid w:val="00BC6F2C"/>
    <w:rsid w:val="00BD313F"/>
    <w:rsid w:val="00BD3615"/>
    <w:rsid w:val="00BD53DE"/>
    <w:rsid w:val="00BD5BEE"/>
    <w:rsid w:val="00BE0B80"/>
    <w:rsid w:val="00BE0C22"/>
    <w:rsid w:val="00BE2565"/>
    <w:rsid w:val="00BE2979"/>
    <w:rsid w:val="00BE2FF1"/>
    <w:rsid w:val="00BE3417"/>
    <w:rsid w:val="00BE37D6"/>
    <w:rsid w:val="00BE3967"/>
    <w:rsid w:val="00BE399F"/>
    <w:rsid w:val="00BE4053"/>
    <w:rsid w:val="00BE45B4"/>
    <w:rsid w:val="00BE4EF1"/>
    <w:rsid w:val="00BE623D"/>
    <w:rsid w:val="00BE66FC"/>
    <w:rsid w:val="00BE7139"/>
    <w:rsid w:val="00BE7826"/>
    <w:rsid w:val="00BF0581"/>
    <w:rsid w:val="00BF0D44"/>
    <w:rsid w:val="00BF19DA"/>
    <w:rsid w:val="00BF39FE"/>
    <w:rsid w:val="00BF3DF7"/>
    <w:rsid w:val="00BF4C07"/>
    <w:rsid w:val="00BF56F8"/>
    <w:rsid w:val="00BF59BE"/>
    <w:rsid w:val="00BF6097"/>
    <w:rsid w:val="00BF7233"/>
    <w:rsid w:val="00BF79D5"/>
    <w:rsid w:val="00C00EE7"/>
    <w:rsid w:val="00C02620"/>
    <w:rsid w:val="00C02977"/>
    <w:rsid w:val="00C02F22"/>
    <w:rsid w:val="00C0330A"/>
    <w:rsid w:val="00C0528C"/>
    <w:rsid w:val="00C11D0C"/>
    <w:rsid w:val="00C12F2F"/>
    <w:rsid w:val="00C17281"/>
    <w:rsid w:val="00C208F9"/>
    <w:rsid w:val="00C20B7F"/>
    <w:rsid w:val="00C23CC1"/>
    <w:rsid w:val="00C23D8A"/>
    <w:rsid w:val="00C23E80"/>
    <w:rsid w:val="00C2463D"/>
    <w:rsid w:val="00C251FE"/>
    <w:rsid w:val="00C26DAF"/>
    <w:rsid w:val="00C2755A"/>
    <w:rsid w:val="00C278BE"/>
    <w:rsid w:val="00C3055B"/>
    <w:rsid w:val="00C3149C"/>
    <w:rsid w:val="00C315B1"/>
    <w:rsid w:val="00C3210C"/>
    <w:rsid w:val="00C3302E"/>
    <w:rsid w:val="00C33EC6"/>
    <w:rsid w:val="00C35288"/>
    <w:rsid w:val="00C40DA5"/>
    <w:rsid w:val="00C40E1A"/>
    <w:rsid w:val="00C4109D"/>
    <w:rsid w:val="00C4500C"/>
    <w:rsid w:val="00C469CD"/>
    <w:rsid w:val="00C475AC"/>
    <w:rsid w:val="00C5245A"/>
    <w:rsid w:val="00C53170"/>
    <w:rsid w:val="00C536AF"/>
    <w:rsid w:val="00C54135"/>
    <w:rsid w:val="00C54290"/>
    <w:rsid w:val="00C54739"/>
    <w:rsid w:val="00C54C6E"/>
    <w:rsid w:val="00C55250"/>
    <w:rsid w:val="00C55584"/>
    <w:rsid w:val="00C578FA"/>
    <w:rsid w:val="00C6021F"/>
    <w:rsid w:val="00C613C2"/>
    <w:rsid w:val="00C61777"/>
    <w:rsid w:val="00C62CE9"/>
    <w:rsid w:val="00C62FE6"/>
    <w:rsid w:val="00C63C78"/>
    <w:rsid w:val="00C63CB0"/>
    <w:rsid w:val="00C65169"/>
    <w:rsid w:val="00C659FC"/>
    <w:rsid w:val="00C66D00"/>
    <w:rsid w:val="00C67517"/>
    <w:rsid w:val="00C67AF0"/>
    <w:rsid w:val="00C67B05"/>
    <w:rsid w:val="00C704F9"/>
    <w:rsid w:val="00C71E43"/>
    <w:rsid w:val="00C72881"/>
    <w:rsid w:val="00C73AB3"/>
    <w:rsid w:val="00C75910"/>
    <w:rsid w:val="00C7696B"/>
    <w:rsid w:val="00C76B08"/>
    <w:rsid w:val="00C7722E"/>
    <w:rsid w:val="00C77DF9"/>
    <w:rsid w:val="00C80904"/>
    <w:rsid w:val="00C814BA"/>
    <w:rsid w:val="00C81682"/>
    <w:rsid w:val="00C849DC"/>
    <w:rsid w:val="00C84BEE"/>
    <w:rsid w:val="00C85093"/>
    <w:rsid w:val="00C867C3"/>
    <w:rsid w:val="00C903D2"/>
    <w:rsid w:val="00C93B6F"/>
    <w:rsid w:val="00C94A69"/>
    <w:rsid w:val="00C9576D"/>
    <w:rsid w:val="00C957B6"/>
    <w:rsid w:val="00CA0823"/>
    <w:rsid w:val="00CA467A"/>
    <w:rsid w:val="00CA46D9"/>
    <w:rsid w:val="00CA473C"/>
    <w:rsid w:val="00CA5C85"/>
    <w:rsid w:val="00CA6433"/>
    <w:rsid w:val="00CA6F49"/>
    <w:rsid w:val="00CA752A"/>
    <w:rsid w:val="00CB003D"/>
    <w:rsid w:val="00CB066D"/>
    <w:rsid w:val="00CB0C86"/>
    <w:rsid w:val="00CB0E79"/>
    <w:rsid w:val="00CB110F"/>
    <w:rsid w:val="00CB2335"/>
    <w:rsid w:val="00CB28D1"/>
    <w:rsid w:val="00CB2C90"/>
    <w:rsid w:val="00CB3788"/>
    <w:rsid w:val="00CB4902"/>
    <w:rsid w:val="00CB566F"/>
    <w:rsid w:val="00CB58B3"/>
    <w:rsid w:val="00CB65B0"/>
    <w:rsid w:val="00CB67F0"/>
    <w:rsid w:val="00CB68B5"/>
    <w:rsid w:val="00CB6C72"/>
    <w:rsid w:val="00CC25F6"/>
    <w:rsid w:val="00CC26CB"/>
    <w:rsid w:val="00CC385C"/>
    <w:rsid w:val="00CC44EE"/>
    <w:rsid w:val="00CC479D"/>
    <w:rsid w:val="00CC4990"/>
    <w:rsid w:val="00CC54FD"/>
    <w:rsid w:val="00CC60E8"/>
    <w:rsid w:val="00CC627D"/>
    <w:rsid w:val="00CC6CF9"/>
    <w:rsid w:val="00CC72C5"/>
    <w:rsid w:val="00CC78C4"/>
    <w:rsid w:val="00CD1183"/>
    <w:rsid w:val="00CD13E8"/>
    <w:rsid w:val="00CD2906"/>
    <w:rsid w:val="00CD2E8F"/>
    <w:rsid w:val="00CD4432"/>
    <w:rsid w:val="00CD761E"/>
    <w:rsid w:val="00CD77FE"/>
    <w:rsid w:val="00CE5D57"/>
    <w:rsid w:val="00CF2EFB"/>
    <w:rsid w:val="00CF42C0"/>
    <w:rsid w:val="00CF50E5"/>
    <w:rsid w:val="00CF5178"/>
    <w:rsid w:val="00CF565F"/>
    <w:rsid w:val="00CF5F28"/>
    <w:rsid w:val="00CF6927"/>
    <w:rsid w:val="00D045AB"/>
    <w:rsid w:val="00D045D2"/>
    <w:rsid w:val="00D05DA4"/>
    <w:rsid w:val="00D05E78"/>
    <w:rsid w:val="00D102D4"/>
    <w:rsid w:val="00D1130C"/>
    <w:rsid w:val="00D11C1D"/>
    <w:rsid w:val="00D12384"/>
    <w:rsid w:val="00D13355"/>
    <w:rsid w:val="00D149C8"/>
    <w:rsid w:val="00D14AE5"/>
    <w:rsid w:val="00D153C1"/>
    <w:rsid w:val="00D1657F"/>
    <w:rsid w:val="00D17CB4"/>
    <w:rsid w:val="00D202CE"/>
    <w:rsid w:val="00D20FE9"/>
    <w:rsid w:val="00D21663"/>
    <w:rsid w:val="00D22742"/>
    <w:rsid w:val="00D235C6"/>
    <w:rsid w:val="00D23FAD"/>
    <w:rsid w:val="00D24163"/>
    <w:rsid w:val="00D24BDB"/>
    <w:rsid w:val="00D25618"/>
    <w:rsid w:val="00D257BB"/>
    <w:rsid w:val="00D25B6D"/>
    <w:rsid w:val="00D25CB9"/>
    <w:rsid w:val="00D270CB"/>
    <w:rsid w:val="00D2732B"/>
    <w:rsid w:val="00D27741"/>
    <w:rsid w:val="00D27D30"/>
    <w:rsid w:val="00D305EC"/>
    <w:rsid w:val="00D30D81"/>
    <w:rsid w:val="00D30FDA"/>
    <w:rsid w:val="00D32A90"/>
    <w:rsid w:val="00D334FE"/>
    <w:rsid w:val="00D3360B"/>
    <w:rsid w:val="00D3479D"/>
    <w:rsid w:val="00D34B16"/>
    <w:rsid w:val="00D358A0"/>
    <w:rsid w:val="00D35B85"/>
    <w:rsid w:val="00D37E9B"/>
    <w:rsid w:val="00D408EA"/>
    <w:rsid w:val="00D421F0"/>
    <w:rsid w:val="00D4671F"/>
    <w:rsid w:val="00D468AC"/>
    <w:rsid w:val="00D506A7"/>
    <w:rsid w:val="00D5329B"/>
    <w:rsid w:val="00D539C8"/>
    <w:rsid w:val="00D53E60"/>
    <w:rsid w:val="00D56DE3"/>
    <w:rsid w:val="00D570BC"/>
    <w:rsid w:val="00D573EA"/>
    <w:rsid w:val="00D579A6"/>
    <w:rsid w:val="00D60D2B"/>
    <w:rsid w:val="00D61D9E"/>
    <w:rsid w:val="00D6300D"/>
    <w:rsid w:val="00D631D2"/>
    <w:rsid w:val="00D65906"/>
    <w:rsid w:val="00D66DC1"/>
    <w:rsid w:val="00D66EF0"/>
    <w:rsid w:val="00D66F25"/>
    <w:rsid w:val="00D66FC5"/>
    <w:rsid w:val="00D679C2"/>
    <w:rsid w:val="00D720BD"/>
    <w:rsid w:val="00D720F1"/>
    <w:rsid w:val="00D7252F"/>
    <w:rsid w:val="00D76F19"/>
    <w:rsid w:val="00D774C7"/>
    <w:rsid w:val="00D777F9"/>
    <w:rsid w:val="00D77EFF"/>
    <w:rsid w:val="00D8088C"/>
    <w:rsid w:val="00D8167D"/>
    <w:rsid w:val="00D81873"/>
    <w:rsid w:val="00D81B81"/>
    <w:rsid w:val="00D82C72"/>
    <w:rsid w:val="00D83A2E"/>
    <w:rsid w:val="00D8453D"/>
    <w:rsid w:val="00D84D5F"/>
    <w:rsid w:val="00D854A2"/>
    <w:rsid w:val="00D85BA2"/>
    <w:rsid w:val="00D85DC3"/>
    <w:rsid w:val="00D86957"/>
    <w:rsid w:val="00D86A93"/>
    <w:rsid w:val="00D86AD5"/>
    <w:rsid w:val="00D86C5D"/>
    <w:rsid w:val="00D90A72"/>
    <w:rsid w:val="00D90D40"/>
    <w:rsid w:val="00D91111"/>
    <w:rsid w:val="00D917C7"/>
    <w:rsid w:val="00D91CA2"/>
    <w:rsid w:val="00D92719"/>
    <w:rsid w:val="00D92844"/>
    <w:rsid w:val="00D92CB8"/>
    <w:rsid w:val="00D92D7A"/>
    <w:rsid w:val="00D94248"/>
    <w:rsid w:val="00D95300"/>
    <w:rsid w:val="00D95C9B"/>
    <w:rsid w:val="00D95D9F"/>
    <w:rsid w:val="00D962ED"/>
    <w:rsid w:val="00D96631"/>
    <w:rsid w:val="00D96B28"/>
    <w:rsid w:val="00D96D87"/>
    <w:rsid w:val="00DA00FE"/>
    <w:rsid w:val="00DA0D97"/>
    <w:rsid w:val="00DA10B6"/>
    <w:rsid w:val="00DA12F4"/>
    <w:rsid w:val="00DA2B04"/>
    <w:rsid w:val="00DA2F07"/>
    <w:rsid w:val="00DA5DB6"/>
    <w:rsid w:val="00DA5DC0"/>
    <w:rsid w:val="00DA62C1"/>
    <w:rsid w:val="00DA7691"/>
    <w:rsid w:val="00DB0054"/>
    <w:rsid w:val="00DB1D0E"/>
    <w:rsid w:val="00DB2595"/>
    <w:rsid w:val="00DB65C0"/>
    <w:rsid w:val="00DB74B1"/>
    <w:rsid w:val="00DC144A"/>
    <w:rsid w:val="00DC181C"/>
    <w:rsid w:val="00DC2440"/>
    <w:rsid w:val="00DC2A42"/>
    <w:rsid w:val="00DC30F3"/>
    <w:rsid w:val="00DC40C3"/>
    <w:rsid w:val="00DC4278"/>
    <w:rsid w:val="00DC4A83"/>
    <w:rsid w:val="00DC6C22"/>
    <w:rsid w:val="00DD1F39"/>
    <w:rsid w:val="00DD2D6E"/>
    <w:rsid w:val="00DD33A0"/>
    <w:rsid w:val="00DD3AC2"/>
    <w:rsid w:val="00DD3C69"/>
    <w:rsid w:val="00DD5C09"/>
    <w:rsid w:val="00DD7653"/>
    <w:rsid w:val="00DD790D"/>
    <w:rsid w:val="00DE0A40"/>
    <w:rsid w:val="00DE1653"/>
    <w:rsid w:val="00DE2D8D"/>
    <w:rsid w:val="00DE6364"/>
    <w:rsid w:val="00DE6929"/>
    <w:rsid w:val="00DE7D7D"/>
    <w:rsid w:val="00DF0E04"/>
    <w:rsid w:val="00DF210C"/>
    <w:rsid w:val="00DF4387"/>
    <w:rsid w:val="00DF4EB5"/>
    <w:rsid w:val="00DF53AF"/>
    <w:rsid w:val="00DF5957"/>
    <w:rsid w:val="00DF655F"/>
    <w:rsid w:val="00DF759D"/>
    <w:rsid w:val="00DF7BAE"/>
    <w:rsid w:val="00DF7FFD"/>
    <w:rsid w:val="00E01802"/>
    <w:rsid w:val="00E04F3F"/>
    <w:rsid w:val="00E0546F"/>
    <w:rsid w:val="00E05BA4"/>
    <w:rsid w:val="00E05EE8"/>
    <w:rsid w:val="00E06DA8"/>
    <w:rsid w:val="00E079C3"/>
    <w:rsid w:val="00E07EB2"/>
    <w:rsid w:val="00E10BC8"/>
    <w:rsid w:val="00E12D3B"/>
    <w:rsid w:val="00E13BD4"/>
    <w:rsid w:val="00E13EE0"/>
    <w:rsid w:val="00E15A39"/>
    <w:rsid w:val="00E15DAA"/>
    <w:rsid w:val="00E17FC4"/>
    <w:rsid w:val="00E2017E"/>
    <w:rsid w:val="00E22C20"/>
    <w:rsid w:val="00E23E08"/>
    <w:rsid w:val="00E23EBF"/>
    <w:rsid w:val="00E24459"/>
    <w:rsid w:val="00E246D4"/>
    <w:rsid w:val="00E25F5E"/>
    <w:rsid w:val="00E2648E"/>
    <w:rsid w:val="00E26F87"/>
    <w:rsid w:val="00E3015C"/>
    <w:rsid w:val="00E3127B"/>
    <w:rsid w:val="00E32B75"/>
    <w:rsid w:val="00E33154"/>
    <w:rsid w:val="00E33BEE"/>
    <w:rsid w:val="00E34719"/>
    <w:rsid w:val="00E34AC2"/>
    <w:rsid w:val="00E372AE"/>
    <w:rsid w:val="00E372F7"/>
    <w:rsid w:val="00E37331"/>
    <w:rsid w:val="00E40217"/>
    <w:rsid w:val="00E40A2D"/>
    <w:rsid w:val="00E42AE6"/>
    <w:rsid w:val="00E43872"/>
    <w:rsid w:val="00E44AE9"/>
    <w:rsid w:val="00E451F3"/>
    <w:rsid w:val="00E46AD2"/>
    <w:rsid w:val="00E473F1"/>
    <w:rsid w:val="00E50005"/>
    <w:rsid w:val="00E5009F"/>
    <w:rsid w:val="00E50972"/>
    <w:rsid w:val="00E52193"/>
    <w:rsid w:val="00E528E8"/>
    <w:rsid w:val="00E54D53"/>
    <w:rsid w:val="00E554E8"/>
    <w:rsid w:val="00E57523"/>
    <w:rsid w:val="00E61894"/>
    <w:rsid w:val="00E62214"/>
    <w:rsid w:val="00E6245C"/>
    <w:rsid w:val="00E62C34"/>
    <w:rsid w:val="00E62D90"/>
    <w:rsid w:val="00E63140"/>
    <w:rsid w:val="00E633DC"/>
    <w:rsid w:val="00E64BA0"/>
    <w:rsid w:val="00E655E2"/>
    <w:rsid w:val="00E65CD8"/>
    <w:rsid w:val="00E66603"/>
    <w:rsid w:val="00E711EA"/>
    <w:rsid w:val="00E715D0"/>
    <w:rsid w:val="00E735A9"/>
    <w:rsid w:val="00E735FE"/>
    <w:rsid w:val="00E73ACF"/>
    <w:rsid w:val="00E74ECC"/>
    <w:rsid w:val="00E776F0"/>
    <w:rsid w:val="00E80640"/>
    <w:rsid w:val="00E8157E"/>
    <w:rsid w:val="00E815FC"/>
    <w:rsid w:val="00E81736"/>
    <w:rsid w:val="00E81ED7"/>
    <w:rsid w:val="00E82586"/>
    <w:rsid w:val="00E826C4"/>
    <w:rsid w:val="00E82F1F"/>
    <w:rsid w:val="00E83A20"/>
    <w:rsid w:val="00E84C24"/>
    <w:rsid w:val="00E84D69"/>
    <w:rsid w:val="00E850C3"/>
    <w:rsid w:val="00E85C7C"/>
    <w:rsid w:val="00E86488"/>
    <w:rsid w:val="00E90228"/>
    <w:rsid w:val="00E907F4"/>
    <w:rsid w:val="00E9145C"/>
    <w:rsid w:val="00E95F4E"/>
    <w:rsid w:val="00E96E5D"/>
    <w:rsid w:val="00E9798A"/>
    <w:rsid w:val="00E979F7"/>
    <w:rsid w:val="00EA3000"/>
    <w:rsid w:val="00EA3725"/>
    <w:rsid w:val="00EA3936"/>
    <w:rsid w:val="00EA513F"/>
    <w:rsid w:val="00EA5961"/>
    <w:rsid w:val="00EA5CD1"/>
    <w:rsid w:val="00EA5E2A"/>
    <w:rsid w:val="00EA6D84"/>
    <w:rsid w:val="00EA7710"/>
    <w:rsid w:val="00EA7D38"/>
    <w:rsid w:val="00EB0731"/>
    <w:rsid w:val="00EB1015"/>
    <w:rsid w:val="00EB2020"/>
    <w:rsid w:val="00EB27D5"/>
    <w:rsid w:val="00EB28E9"/>
    <w:rsid w:val="00EB2E09"/>
    <w:rsid w:val="00EB3653"/>
    <w:rsid w:val="00EB578A"/>
    <w:rsid w:val="00EB6AFD"/>
    <w:rsid w:val="00EB6C7D"/>
    <w:rsid w:val="00EB70E5"/>
    <w:rsid w:val="00EB7C8E"/>
    <w:rsid w:val="00EC02BE"/>
    <w:rsid w:val="00EC146E"/>
    <w:rsid w:val="00EC1B1A"/>
    <w:rsid w:val="00EC35DE"/>
    <w:rsid w:val="00EC53E6"/>
    <w:rsid w:val="00EC543A"/>
    <w:rsid w:val="00EC5975"/>
    <w:rsid w:val="00EC6130"/>
    <w:rsid w:val="00EC6766"/>
    <w:rsid w:val="00EC6B27"/>
    <w:rsid w:val="00EC6BF6"/>
    <w:rsid w:val="00EC7AE3"/>
    <w:rsid w:val="00EC7E08"/>
    <w:rsid w:val="00ED0F4E"/>
    <w:rsid w:val="00ED2563"/>
    <w:rsid w:val="00ED2A4C"/>
    <w:rsid w:val="00ED6DFC"/>
    <w:rsid w:val="00ED762B"/>
    <w:rsid w:val="00EE067C"/>
    <w:rsid w:val="00EE1275"/>
    <w:rsid w:val="00EE1D7D"/>
    <w:rsid w:val="00EE2031"/>
    <w:rsid w:val="00EE2D3E"/>
    <w:rsid w:val="00EE35DE"/>
    <w:rsid w:val="00EE4924"/>
    <w:rsid w:val="00EE7A5E"/>
    <w:rsid w:val="00EF039F"/>
    <w:rsid w:val="00EF11CE"/>
    <w:rsid w:val="00EF13FE"/>
    <w:rsid w:val="00EF2143"/>
    <w:rsid w:val="00EF3159"/>
    <w:rsid w:val="00EF384D"/>
    <w:rsid w:val="00EF4569"/>
    <w:rsid w:val="00EF4B37"/>
    <w:rsid w:val="00EF4F51"/>
    <w:rsid w:val="00EF6960"/>
    <w:rsid w:val="00EF74D6"/>
    <w:rsid w:val="00EF7D4C"/>
    <w:rsid w:val="00F03706"/>
    <w:rsid w:val="00F062AC"/>
    <w:rsid w:val="00F068A0"/>
    <w:rsid w:val="00F0745D"/>
    <w:rsid w:val="00F10C63"/>
    <w:rsid w:val="00F115CA"/>
    <w:rsid w:val="00F121CB"/>
    <w:rsid w:val="00F12787"/>
    <w:rsid w:val="00F152AB"/>
    <w:rsid w:val="00F15BE9"/>
    <w:rsid w:val="00F17101"/>
    <w:rsid w:val="00F175F6"/>
    <w:rsid w:val="00F177DC"/>
    <w:rsid w:val="00F17AC1"/>
    <w:rsid w:val="00F20A25"/>
    <w:rsid w:val="00F20D6E"/>
    <w:rsid w:val="00F21433"/>
    <w:rsid w:val="00F22810"/>
    <w:rsid w:val="00F23521"/>
    <w:rsid w:val="00F2359F"/>
    <w:rsid w:val="00F25573"/>
    <w:rsid w:val="00F25733"/>
    <w:rsid w:val="00F25E05"/>
    <w:rsid w:val="00F26F08"/>
    <w:rsid w:val="00F2710C"/>
    <w:rsid w:val="00F274F9"/>
    <w:rsid w:val="00F314CA"/>
    <w:rsid w:val="00F31F31"/>
    <w:rsid w:val="00F34F34"/>
    <w:rsid w:val="00F35350"/>
    <w:rsid w:val="00F35D14"/>
    <w:rsid w:val="00F35E37"/>
    <w:rsid w:val="00F36CF6"/>
    <w:rsid w:val="00F37737"/>
    <w:rsid w:val="00F4022D"/>
    <w:rsid w:val="00F40BDA"/>
    <w:rsid w:val="00F419C8"/>
    <w:rsid w:val="00F41C30"/>
    <w:rsid w:val="00F4352C"/>
    <w:rsid w:val="00F435DD"/>
    <w:rsid w:val="00F43806"/>
    <w:rsid w:val="00F44A54"/>
    <w:rsid w:val="00F46DC9"/>
    <w:rsid w:val="00F47051"/>
    <w:rsid w:val="00F47DFA"/>
    <w:rsid w:val="00F5078F"/>
    <w:rsid w:val="00F56757"/>
    <w:rsid w:val="00F61830"/>
    <w:rsid w:val="00F61F2B"/>
    <w:rsid w:val="00F632F0"/>
    <w:rsid w:val="00F650C6"/>
    <w:rsid w:val="00F6654F"/>
    <w:rsid w:val="00F670C5"/>
    <w:rsid w:val="00F672F3"/>
    <w:rsid w:val="00F67E52"/>
    <w:rsid w:val="00F717A9"/>
    <w:rsid w:val="00F72893"/>
    <w:rsid w:val="00F72F75"/>
    <w:rsid w:val="00F744CB"/>
    <w:rsid w:val="00F74885"/>
    <w:rsid w:val="00F75D7F"/>
    <w:rsid w:val="00F808C8"/>
    <w:rsid w:val="00F82F71"/>
    <w:rsid w:val="00F8319D"/>
    <w:rsid w:val="00F852AC"/>
    <w:rsid w:val="00F87873"/>
    <w:rsid w:val="00F8797F"/>
    <w:rsid w:val="00F90801"/>
    <w:rsid w:val="00F90CEE"/>
    <w:rsid w:val="00F90FD1"/>
    <w:rsid w:val="00F928A7"/>
    <w:rsid w:val="00F94832"/>
    <w:rsid w:val="00F951A8"/>
    <w:rsid w:val="00F973B8"/>
    <w:rsid w:val="00FA074C"/>
    <w:rsid w:val="00FA1715"/>
    <w:rsid w:val="00FA189F"/>
    <w:rsid w:val="00FA33EA"/>
    <w:rsid w:val="00FA3B31"/>
    <w:rsid w:val="00FA4E6A"/>
    <w:rsid w:val="00FA6021"/>
    <w:rsid w:val="00FA6E71"/>
    <w:rsid w:val="00FA7041"/>
    <w:rsid w:val="00FB1AF5"/>
    <w:rsid w:val="00FB1F32"/>
    <w:rsid w:val="00FB38C1"/>
    <w:rsid w:val="00FB496B"/>
    <w:rsid w:val="00FB4EEC"/>
    <w:rsid w:val="00FB5305"/>
    <w:rsid w:val="00FB5539"/>
    <w:rsid w:val="00FB580A"/>
    <w:rsid w:val="00FB5D0B"/>
    <w:rsid w:val="00FB6219"/>
    <w:rsid w:val="00FB6344"/>
    <w:rsid w:val="00FC0BB0"/>
    <w:rsid w:val="00FC18C6"/>
    <w:rsid w:val="00FC2AA2"/>
    <w:rsid w:val="00FC2BFC"/>
    <w:rsid w:val="00FC2FEF"/>
    <w:rsid w:val="00FC4E0A"/>
    <w:rsid w:val="00FC507A"/>
    <w:rsid w:val="00FC5721"/>
    <w:rsid w:val="00FC7057"/>
    <w:rsid w:val="00FC70C1"/>
    <w:rsid w:val="00FC7C5E"/>
    <w:rsid w:val="00FD0107"/>
    <w:rsid w:val="00FD0552"/>
    <w:rsid w:val="00FD1F7B"/>
    <w:rsid w:val="00FD2A36"/>
    <w:rsid w:val="00FD45B6"/>
    <w:rsid w:val="00FD5B9A"/>
    <w:rsid w:val="00FD5BAB"/>
    <w:rsid w:val="00FD6621"/>
    <w:rsid w:val="00FE058D"/>
    <w:rsid w:val="00FE2FFD"/>
    <w:rsid w:val="00FE369C"/>
    <w:rsid w:val="00FE477F"/>
    <w:rsid w:val="00FE4CEE"/>
    <w:rsid w:val="00FE53AC"/>
    <w:rsid w:val="00FE6F80"/>
    <w:rsid w:val="00FE78F3"/>
    <w:rsid w:val="00FF0141"/>
    <w:rsid w:val="00FF1535"/>
    <w:rsid w:val="00FF309C"/>
    <w:rsid w:val="00FF5CDC"/>
    <w:rsid w:val="00FF6FAA"/>
    <w:rsid w:val="00FF771D"/>
    <w:rsid w:val="00FF77B0"/>
    <w:rsid w:val="0174655D"/>
    <w:rsid w:val="02090669"/>
    <w:rsid w:val="02524A93"/>
    <w:rsid w:val="02A1111E"/>
    <w:rsid w:val="03281983"/>
    <w:rsid w:val="04DD3F64"/>
    <w:rsid w:val="05AB61E2"/>
    <w:rsid w:val="05FD550C"/>
    <w:rsid w:val="062F259D"/>
    <w:rsid w:val="06954AF6"/>
    <w:rsid w:val="06E86700"/>
    <w:rsid w:val="07350992"/>
    <w:rsid w:val="075232EA"/>
    <w:rsid w:val="08662693"/>
    <w:rsid w:val="09014680"/>
    <w:rsid w:val="090E6DE2"/>
    <w:rsid w:val="09D122E9"/>
    <w:rsid w:val="0A920237"/>
    <w:rsid w:val="0BE1433A"/>
    <w:rsid w:val="0C224451"/>
    <w:rsid w:val="0E061717"/>
    <w:rsid w:val="0FD04DF1"/>
    <w:rsid w:val="0FF175FC"/>
    <w:rsid w:val="109831FE"/>
    <w:rsid w:val="10C74A38"/>
    <w:rsid w:val="10CF3F1B"/>
    <w:rsid w:val="11444A93"/>
    <w:rsid w:val="115631CB"/>
    <w:rsid w:val="12B25FC2"/>
    <w:rsid w:val="14411E19"/>
    <w:rsid w:val="14946EDA"/>
    <w:rsid w:val="14F01905"/>
    <w:rsid w:val="152C3737"/>
    <w:rsid w:val="15301265"/>
    <w:rsid w:val="155D7CA0"/>
    <w:rsid w:val="15A84CFD"/>
    <w:rsid w:val="16230D78"/>
    <w:rsid w:val="168F051F"/>
    <w:rsid w:val="169E635C"/>
    <w:rsid w:val="16EF0F7F"/>
    <w:rsid w:val="17E551B2"/>
    <w:rsid w:val="18E65685"/>
    <w:rsid w:val="18EC75A9"/>
    <w:rsid w:val="1A1F6AA4"/>
    <w:rsid w:val="1A611BBB"/>
    <w:rsid w:val="1AC21B6B"/>
    <w:rsid w:val="1B4F30FA"/>
    <w:rsid w:val="1BDF17D8"/>
    <w:rsid w:val="1C4A1059"/>
    <w:rsid w:val="1C7A236C"/>
    <w:rsid w:val="1CEA2593"/>
    <w:rsid w:val="1D2A68D9"/>
    <w:rsid w:val="1D3C17D4"/>
    <w:rsid w:val="1D883CE4"/>
    <w:rsid w:val="1DD3548B"/>
    <w:rsid w:val="1DED21D8"/>
    <w:rsid w:val="1E4B01BE"/>
    <w:rsid w:val="1E92670F"/>
    <w:rsid w:val="1F0E3DA5"/>
    <w:rsid w:val="1F770DE5"/>
    <w:rsid w:val="1F784B5D"/>
    <w:rsid w:val="1F935EA4"/>
    <w:rsid w:val="204038CD"/>
    <w:rsid w:val="209F2622"/>
    <w:rsid w:val="20CE49AC"/>
    <w:rsid w:val="20DF30E6"/>
    <w:rsid w:val="20FC20CD"/>
    <w:rsid w:val="213E7A85"/>
    <w:rsid w:val="21EA4447"/>
    <w:rsid w:val="22033F90"/>
    <w:rsid w:val="22253A24"/>
    <w:rsid w:val="22267F2C"/>
    <w:rsid w:val="22561DFC"/>
    <w:rsid w:val="22611D24"/>
    <w:rsid w:val="22F75C0D"/>
    <w:rsid w:val="230C56CE"/>
    <w:rsid w:val="23435149"/>
    <w:rsid w:val="237476EB"/>
    <w:rsid w:val="243C3E85"/>
    <w:rsid w:val="24BE012D"/>
    <w:rsid w:val="25114177"/>
    <w:rsid w:val="264A1D32"/>
    <w:rsid w:val="266A5E2E"/>
    <w:rsid w:val="26A34560"/>
    <w:rsid w:val="271E6244"/>
    <w:rsid w:val="278D44C9"/>
    <w:rsid w:val="290F7096"/>
    <w:rsid w:val="29BB4267"/>
    <w:rsid w:val="29C05F2A"/>
    <w:rsid w:val="2A285E31"/>
    <w:rsid w:val="2A2C5A07"/>
    <w:rsid w:val="2A2F3D5B"/>
    <w:rsid w:val="2A554419"/>
    <w:rsid w:val="2AC46EA9"/>
    <w:rsid w:val="2B4C75CA"/>
    <w:rsid w:val="2B652C78"/>
    <w:rsid w:val="2B932543"/>
    <w:rsid w:val="2BD0596A"/>
    <w:rsid w:val="2C056CD7"/>
    <w:rsid w:val="2C0736D2"/>
    <w:rsid w:val="2CC86F80"/>
    <w:rsid w:val="2EA80FBB"/>
    <w:rsid w:val="2EEB7D31"/>
    <w:rsid w:val="2EFD00DF"/>
    <w:rsid w:val="30174276"/>
    <w:rsid w:val="302C1D93"/>
    <w:rsid w:val="30895713"/>
    <w:rsid w:val="30C62284"/>
    <w:rsid w:val="31A97B58"/>
    <w:rsid w:val="31D5446D"/>
    <w:rsid w:val="31EB52FA"/>
    <w:rsid w:val="32002F8D"/>
    <w:rsid w:val="3231747E"/>
    <w:rsid w:val="32647278"/>
    <w:rsid w:val="32935ADE"/>
    <w:rsid w:val="32DA54BB"/>
    <w:rsid w:val="32EB1476"/>
    <w:rsid w:val="32F4282D"/>
    <w:rsid w:val="32FD5D4E"/>
    <w:rsid w:val="331309CD"/>
    <w:rsid w:val="338502F4"/>
    <w:rsid w:val="33997124"/>
    <w:rsid w:val="33A5558E"/>
    <w:rsid w:val="34290DEF"/>
    <w:rsid w:val="346B3C89"/>
    <w:rsid w:val="34D94F35"/>
    <w:rsid w:val="34E7506A"/>
    <w:rsid w:val="350048A5"/>
    <w:rsid w:val="358160C2"/>
    <w:rsid w:val="35886E48"/>
    <w:rsid w:val="35B57A8E"/>
    <w:rsid w:val="35C91DF7"/>
    <w:rsid w:val="35DA2F7A"/>
    <w:rsid w:val="36313498"/>
    <w:rsid w:val="368E084D"/>
    <w:rsid w:val="36EF2411"/>
    <w:rsid w:val="38103CF4"/>
    <w:rsid w:val="38150E48"/>
    <w:rsid w:val="38983E4E"/>
    <w:rsid w:val="38C26B8B"/>
    <w:rsid w:val="393D49F6"/>
    <w:rsid w:val="3A9674C0"/>
    <w:rsid w:val="3A974841"/>
    <w:rsid w:val="3AD60EBE"/>
    <w:rsid w:val="3AE14365"/>
    <w:rsid w:val="3B1B2427"/>
    <w:rsid w:val="3BA506C3"/>
    <w:rsid w:val="3BB13CFE"/>
    <w:rsid w:val="3C134934"/>
    <w:rsid w:val="3D144D8D"/>
    <w:rsid w:val="3D4A148F"/>
    <w:rsid w:val="3D4B2677"/>
    <w:rsid w:val="3D607113"/>
    <w:rsid w:val="3D847FD2"/>
    <w:rsid w:val="3DB03FCF"/>
    <w:rsid w:val="3DF55242"/>
    <w:rsid w:val="3E0E0EF9"/>
    <w:rsid w:val="3E467D57"/>
    <w:rsid w:val="3F3C169C"/>
    <w:rsid w:val="40860A30"/>
    <w:rsid w:val="410A417D"/>
    <w:rsid w:val="41A344F8"/>
    <w:rsid w:val="41B810BD"/>
    <w:rsid w:val="41C25FA8"/>
    <w:rsid w:val="420A5691"/>
    <w:rsid w:val="421502BE"/>
    <w:rsid w:val="4320613A"/>
    <w:rsid w:val="44B26DC3"/>
    <w:rsid w:val="452E4AC2"/>
    <w:rsid w:val="452E71B7"/>
    <w:rsid w:val="45390F04"/>
    <w:rsid w:val="45AB3679"/>
    <w:rsid w:val="4626221F"/>
    <w:rsid w:val="46713D38"/>
    <w:rsid w:val="46F645CC"/>
    <w:rsid w:val="4766650C"/>
    <w:rsid w:val="48180B08"/>
    <w:rsid w:val="482C7726"/>
    <w:rsid w:val="48AB372A"/>
    <w:rsid w:val="48AE4FC8"/>
    <w:rsid w:val="48D933B6"/>
    <w:rsid w:val="495C702C"/>
    <w:rsid w:val="49D92A5E"/>
    <w:rsid w:val="4B152832"/>
    <w:rsid w:val="4B5005B9"/>
    <w:rsid w:val="4BA82682"/>
    <w:rsid w:val="4BFA5680"/>
    <w:rsid w:val="4C3C7B3F"/>
    <w:rsid w:val="4C431ECB"/>
    <w:rsid w:val="4CAB66AC"/>
    <w:rsid w:val="4D8B0C57"/>
    <w:rsid w:val="4E006AA7"/>
    <w:rsid w:val="4E4D2C46"/>
    <w:rsid w:val="4EE25B1E"/>
    <w:rsid w:val="4F0A0FF2"/>
    <w:rsid w:val="4F456EFD"/>
    <w:rsid w:val="4F885284"/>
    <w:rsid w:val="500F4B6D"/>
    <w:rsid w:val="502B07D0"/>
    <w:rsid w:val="50976E7E"/>
    <w:rsid w:val="50A56CB1"/>
    <w:rsid w:val="50F36E79"/>
    <w:rsid w:val="50F82989"/>
    <w:rsid w:val="50FE3A3F"/>
    <w:rsid w:val="510B15E6"/>
    <w:rsid w:val="511B159F"/>
    <w:rsid w:val="514069D9"/>
    <w:rsid w:val="518A6447"/>
    <w:rsid w:val="519F42C1"/>
    <w:rsid w:val="528B6BC7"/>
    <w:rsid w:val="52DE1AC2"/>
    <w:rsid w:val="54593006"/>
    <w:rsid w:val="54A12A0A"/>
    <w:rsid w:val="54AD6E7B"/>
    <w:rsid w:val="54F226E1"/>
    <w:rsid w:val="55041B33"/>
    <w:rsid w:val="550A17D8"/>
    <w:rsid w:val="55120D38"/>
    <w:rsid w:val="55486417"/>
    <w:rsid w:val="554E114C"/>
    <w:rsid w:val="556877D0"/>
    <w:rsid w:val="55766E6E"/>
    <w:rsid w:val="55A21A11"/>
    <w:rsid w:val="55C3287E"/>
    <w:rsid w:val="55E90DB1"/>
    <w:rsid w:val="56007217"/>
    <w:rsid w:val="560A7010"/>
    <w:rsid w:val="56567FD5"/>
    <w:rsid w:val="56830726"/>
    <w:rsid w:val="56865D2F"/>
    <w:rsid w:val="586E207E"/>
    <w:rsid w:val="587358E6"/>
    <w:rsid w:val="590B1FC3"/>
    <w:rsid w:val="5960230F"/>
    <w:rsid w:val="59924AB1"/>
    <w:rsid w:val="59A37640"/>
    <w:rsid w:val="5B1A7AFF"/>
    <w:rsid w:val="5B370E4D"/>
    <w:rsid w:val="5BF7394D"/>
    <w:rsid w:val="5C8D3328"/>
    <w:rsid w:val="5CBA1138"/>
    <w:rsid w:val="5D0F4BC0"/>
    <w:rsid w:val="5D9D4937"/>
    <w:rsid w:val="5E786464"/>
    <w:rsid w:val="5E837AA5"/>
    <w:rsid w:val="5E9915B7"/>
    <w:rsid w:val="5ED209B4"/>
    <w:rsid w:val="5F6917F1"/>
    <w:rsid w:val="5F997273"/>
    <w:rsid w:val="61344C5A"/>
    <w:rsid w:val="61351776"/>
    <w:rsid w:val="61A93AE9"/>
    <w:rsid w:val="61AB4343"/>
    <w:rsid w:val="62143C96"/>
    <w:rsid w:val="6235591B"/>
    <w:rsid w:val="63123548"/>
    <w:rsid w:val="631B5D45"/>
    <w:rsid w:val="63754C08"/>
    <w:rsid w:val="64FD4EB5"/>
    <w:rsid w:val="6562503C"/>
    <w:rsid w:val="66804AE5"/>
    <w:rsid w:val="66A833F8"/>
    <w:rsid w:val="66CA0DC7"/>
    <w:rsid w:val="67164C09"/>
    <w:rsid w:val="67DA2938"/>
    <w:rsid w:val="6845247E"/>
    <w:rsid w:val="68977852"/>
    <w:rsid w:val="68BB0EA5"/>
    <w:rsid w:val="69434E72"/>
    <w:rsid w:val="697B0344"/>
    <w:rsid w:val="697B0A9F"/>
    <w:rsid w:val="69F32CC8"/>
    <w:rsid w:val="6A252BDC"/>
    <w:rsid w:val="6A955B90"/>
    <w:rsid w:val="6A992EFF"/>
    <w:rsid w:val="6ABB0350"/>
    <w:rsid w:val="6AEF704E"/>
    <w:rsid w:val="6B075344"/>
    <w:rsid w:val="6B421874"/>
    <w:rsid w:val="6B7A4F1E"/>
    <w:rsid w:val="6B9B2D32"/>
    <w:rsid w:val="6C040369"/>
    <w:rsid w:val="6C08708C"/>
    <w:rsid w:val="6CAC24E7"/>
    <w:rsid w:val="6CDB338B"/>
    <w:rsid w:val="6DC36570"/>
    <w:rsid w:val="6EC627BC"/>
    <w:rsid w:val="6EE064EB"/>
    <w:rsid w:val="6F234F46"/>
    <w:rsid w:val="6F370FC4"/>
    <w:rsid w:val="6F667AFB"/>
    <w:rsid w:val="703C0D46"/>
    <w:rsid w:val="70572204"/>
    <w:rsid w:val="70C66AA3"/>
    <w:rsid w:val="70E433CD"/>
    <w:rsid w:val="70F61965"/>
    <w:rsid w:val="72822E9E"/>
    <w:rsid w:val="72D119A7"/>
    <w:rsid w:val="72D80D10"/>
    <w:rsid w:val="72FA2105"/>
    <w:rsid w:val="73F07553"/>
    <w:rsid w:val="74714F78"/>
    <w:rsid w:val="75BE243F"/>
    <w:rsid w:val="763847BF"/>
    <w:rsid w:val="767A6B4A"/>
    <w:rsid w:val="76B921CA"/>
    <w:rsid w:val="77C774F2"/>
    <w:rsid w:val="77FD189C"/>
    <w:rsid w:val="782A5A80"/>
    <w:rsid w:val="783A6C9F"/>
    <w:rsid w:val="78A422CD"/>
    <w:rsid w:val="78A50ECD"/>
    <w:rsid w:val="78CA44B8"/>
    <w:rsid w:val="79186C11"/>
    <w:rsid w:val="79295E21"/>
    <w:rsid w:val="795D0407"/>
    <w:rsid w:val="79E8522B"/>
    <w:rsid w:val="7A915D8D"/>
    <w:rsid w:val="7AB57E89"/>
    <w:rsid w:val="7AC40172"/>
    <w:rsid w:val="7AD13C05"/>
    <w:rsid w:val="7B362EDE"/>
    <w:rsid w:val="7B5F30B1"/>
    <w:rsid w:val="7BB50B94"/>
    <w:rsid w:val="7C412F09"/>
    <w:rsid w:val="7C5424EB"/>
    <w:rsid w:val="7C8A6529"/>
    <w:rsid w:val="7CDE33C7"/>
    <w:rsid w:val="7DA168CE"/>
    <w:rsid w:val="7E3C65F7"/>
    <w:rsid w:val="7E774D32"/>
    <w:rsid w:val="7EFF156B"/>
    <w:rsid w:val="7F7A2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2"/>
    <w:autoRedefine/>
    <w:qFormat/>
    <w:uiPriority w:val="0"/>
    <w:pPr>
      <w:keepNext/>
      <w:jc w:val="center"/>
      <w:outlineLvl w:val="0"/>
    </w:pPr>
    <w:rPr>
      <w:b/>
      <w:bCs/>
      <w:sz w:val="24"/>
      <w:szCs w:val="20"/>
    </w:rPr>
  </w:style>
  <w:style w:type="paragraph" w:styleId="5">
    <w:name w:val="heading 2"/>
    <w:basedOn w:val="1"/>
    <w:next w:val="1"/>
    <w:link w:val="65"/>
    <w:autoRedefine/>
    <w:qFormat/>
    <w:uiPriority w:val="0"/>
    <w:pPr>
      <w:keepNext/>
      <w:keepLines/>
      <w:spacing w:line="360" w:lineRule="auto"/>
      <w:outlineLvl w:val="1"/>
    </w:pPr>
    <w:rPr>
      <w:rFonts w:ascii="Arial" w:hAnsi="Arial"/>
      <w:b/>
      <w:bCs/>
      <w:sz w:val="24"/>
      <w:szCs w:val="32"/>
    </w:rPr>
  </w:style>
  <w:style w:type="paragraph" w:styleId="6">
    <w:name w:val="heading 3"/>
    <w:basedOn w:val="1"/>
    <w:next w:val="1"/>
    <w:link w:val="66"/>
    <w:autoRedefine/>
    <w:qFormat/>
    <w:uiPriority w:val="0"/>
    <w:pPr>
      <w:keepNext/>
      <w:keepLines/>
      <w:spacing w:before="260" w:after="260" w:line="416" w:lineRule="auto"/>
      <w:outlineLvl w:val="2"/>
    </w:pPr>
    <w:rPr>
      <w:b/>
      <w:bCs/>
      <w:sz w:val="32"/>
      <w:szCs w:val="32"/>
    </w:rPr>
  </w:style>
  <w:style w:type="paragraph" w:styleId="7">
    <w:name w:val="heading 4"/>
    <w:basedOn w:val="1"/>
    <w:next w:val="1"/>
    <w:link w:val="67"/>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68"/>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69"/>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10">
    <w:name w:val="heading 7"/>
    <w:basedOn w:val="1"/>
    <w:next w:val="1"/>
    <w:link w:val="70"/>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11">
    <w:name w:val="heading 8"/>
    <w:basedOn w:val="1"/>
    <w:next w:val="1"/>
    <w:link w:val="71"/>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2">
    <w:name w:val="heading 9"/>
    <w:basedOn w:val="1"/>
    <w:next w:val="1"/>
    <w:link w:val="72"/>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2"/>
    <w:basedOn w:val="3"/>
    <w:next w:val="1"/>
    <w:autoRedefine/>
    <w:qFormat/>
    <w:uiPriority w:val="0"/>
    <w:pPr>
      <w:tabs>
        <w:tab w:val="left" w:pos="360"/>
      </w:tabs>
    </w:pPr>
    <w:rPr>
      <w:i/>
    </w:rPr>
  </w:style>
  <w:style w:type="paragraph" w:customStyle="1" w:styleId="3">
    <w:name w:val="样式1"/>
    <w:basedOn w:val="1"/>
    <w:next w:val="1"/>
    <w:link w:val="121"/>
    <w:autoRedefine/>
    <w:qFormat/>
    <w:uiPriority w:val="0"/>
    <w:pPr>
      <w:tabs>
        <w:tab w:val="left" w:pos="360"/>
      </w:tabs>
      <w:adjustRightInd w:val="0"/>
      <w:ind w:left="360" w:hanging="360"/>
      <w:textAlignment w:val="baseline"/>
    </w:pPr>
    <w:rPr>
      <w:rFonts w:ascii="宋体" w:hAnsi="宋体"/>
      <w:kern w:val="0"/>
      <w:szCs w:val="21"/>
    </w:rPr>
  </w:style>
  <w:style w:type="paragraph" w:styleId="13">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4">
    <w:name w:val="Normal Indent"/>
    <w:basedOn w:val="1"/>
    <w:autoRedefine/>
    <w:qFormat/>
    <w:uiPriority w:val="0"/>
    <w:pPr>
      <w:widowControl/>
      <w:ind w:firstLine="420"/>
      <w:jc w:val="left"/>
    </w:pPr>
    <w:rPr>
      <w:kern w:val="0"/>
      <w:sz w:val="20"/>
      <w:szCs w:val="20"/>
    </w:rPr>
  </w:style>
  <w:style w:type="paragraph" w:styleId="15">
    <w:name w:val="Document Map"/>
    <w:basedOn w:val="1"/>
    <w:link w:val="95"/>
    <w:autoRedefine/>
    <w:semiHidden/>
    <w:qFormat/>
    <w:uiPriority w:val="0"/>
    <w:pPr>
      <w:shd w:val="clear" w:color="auto" w:fill="000080"/>
    </w:pPr>
  </w:style>
  <w:style w:type="paragraph" w:styleId="16">
    <w:name w:val="toa heading"/>
    <w:basedOn w:val="1"/>
    <w:next w:val="1"/>
    <w:unhideWhenUsed/>
    <w:qFormat/>
    <w:uiPriority w:val="99"/>
    <w:pPr>
      <w:spacing w:before="120"/>
    </w:pPr>
    <w:rPr>
      <w:rFonts w:ascii="Arial" w:hAnsi="Arial" w:cs="Arial"/>
      <w:sz w:val="24"/>
    </w:rPr>
  </w:style>
  <w:style w:type="paragraph" w:styleId="17">
    <w:name w:val="annotation text"/>
    <w:basedOn w:val="1"/>
    <w:link w:val="80"/>
    <w:autoRedefine/>
    <w:semiHidden/>
    <w:qFormat/>
    <w:uiPriority w:val="0"/>
    <w:pPr>
      <w:jc w:val="left"/>
    </w:pPr>
  </w:style>
  <w:style w:type="paragraph" w:styleId="18">
    <w:name w:val="Salutation"/>
    <w:basedOn w:val="1"/>
    <w:next w:val="1"/>
    <w:link w:val="85"/>
    <w:autoRedefine/>
    <w:qFormat/>
    <w:uiPriority w:val="0"/>
    <w:rPr>
      <w:rFonts w:ascii="仿宋_GB2312" w:eastAsia="仿宋_GB2312"/>
      <w:sz w:val="24"/>
    </w:rPr>
  </w:style>
  <w:style w:type="paragraph" w:styleId="19">
    <w:name w:val="Body Text"/>
    <w:basedOn w:val="1"/>
    <w:link w:val="74"/>
    <w:autoRedefine/>
    <w:qFormat/>
    <w:uiPriority w:val="0"/>
    <w:pPr>
      <w:spacing w:after="120"/>
    </w:pPr>
  </w:style>
  <w:style w:type="paragraph" w:styleId="20">
    <w:name w:val="Body Text Indent"/>
    <w:basedOn w:val="1"/>
    <w:next w:val="21"/>
    <w:link w:val="77"/>
    <w:autoRedefine/>
    <w:qFormat/>
    <w:uiPriority w:val="0"/>
    <w:pPr>
      <w:spacing w:after="120"/>
      <w:ind w:left="420" w:leftChars="200"/>
    </w:pPr>
  </w:style>
  <w:style w:type="paragraph" w:styleId="21">
    <w:name w:val="Body Text Indent 2"/>
    <w:basedOn w:val="1"/>
    <w:next w:val="1"/>
    <w:link w:val="87"/>
    <w:autoRedefine/>
    <w:qFormat/>
    <w:uiPriority w:val="0"/>
    <w:pPr>
      <w:spacing w:after="120" w:line="480" w:lineRule="auto"/>
      <w:ind w:left="420" w:leftChars="200"/>
    </w:pPr>
  </w:style>
  <w:style w:type="paragraph" w:styleId="22">
    <w:name w:val="Block Text"/>
    <w:basedOn w:val="1"/>
    <w:autoRedefine/>
    <w:qFormat/>
    <w:uiPriority w:val="0"/>
    <w:pPr>
      <w:ind w:left="1171" w:right="91" w:hanging="1080"/>
    </w:pPr>
    <w:rPr>
      <w:rFonts w:eastAsia="楷体_GB2312"/>
      <w:szCs w:val="20"/>
    </w:rPr>
  </w:style>
  <w:style w:type="paragraph" w:styleId="23">
    <w:name w:val="index 4"/>
    <w:basedOn w:val="1"/>
    <w:next w:val="1"/>
    <w:unhideWhenUsed/>
    <w:qFormat/>
    <w:uiPriority w:val="99"/>
    <w:pPr>
      <w:ind w:left="600" w:leftChars="600"/>
    </w:pPr>
  </w:style>
  <w:style w:type="paragraph" w:styleId="24">
    <w:name w:val="toc 5"/>
    <w:basedOn w:val="1"/>
    <w:next w:val="1"/>
    <w:autoRedefine/>
    <w:unhideWhenUsed/>
    <w:qFormat/>
    <w:uiPriority w:val="39"/>
    <w:pPr>
      <w:ind w:left="1680" w:leftChars="800"/>
    </w:pPr>
    <w:rPr>
      <w:rFonts w:asciiTheme="minorHAnsi" w:hAnsiTheme="minorHAnsi" w:eastAsiaTheme="minorEastAsia" w:cstheme="minorBidi"/>
      <w:szCs w:val="22"/>
    </w:rPr>
  </w:style>
  <w:style w:type="paragraph" w:styleId="25">
    <w:name w:val="toc 3"/>
    <w:basedOn w:val="1"/>
    <w:next w:val="1"/>
    <w:autoRedefine/>
    <w:unhideWhenUsed/>
    <w:qFormat/>
    <w:uiPriority w:val="39"/>
    <w:pPr>
      <w:adjustRightInd w:val="0"/>
      <w:snapToGrid w:val="0"/>
      <w:spacing w:line="360" w:lineRule="auto"/>
      <w:ind w:left="400" w:leftChars="400"/>
    </w:pPr>
    <w:rPr>
      <w:rFonts w:eastAsiaTheme="minorEastAsia"/>
      <w:b/>
    </w:rPr>
  </w:style>
  <w:style w:type="paragraph" w:styleId="26">
    <w:name w:val="Plain Text"/>
    <w:basedOn w:val="1"/>
    <w:link w:val="79"/>
    <w:autoRedefine/>
    <w:qFormat/>
    <w:uiPriority w:val="0"/>
    <w:rPr>
      <w:rFonts w:ascii="宋体" w:hAnsi="Courier New" w:cs="Courier New"/>
      <w:szCs w:val="21"/>
    </w:rPr>
  </w:style>
  <w:style w:type="paragraph" w:styleId="27">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8">
    <w:name w:val="Date"/>
    <w:basedOn w:val="1"/>
    <w:next w:val="1"/>
    <w:link w:val="90"/>
    <w:autoRedefine/>
    <w:qFormat/>
    <w:uiPriority w:val="0"/>
    <w:rPr>
      <w:sz w:val="24"/>
      <w:szCs w:val="20"/>
    </w:rPr>
  </w:style>
  <w:style w:type="paragraph" w:styleId="29">
    <w:name w:val="Balloon Text"/>
    <w:basedOn w:val="1"/>
    <w:link w:val="102"/>
    <w:autoRedefine/>
    <w:qFormat/>
    <w:uiPriority w:val="0"/>
    <w:rPr>
      <w:sz w:val="18"/>
      <w:szCs w:val="18"/>
    </w:rPr>
  </w:style>
  <w:style w:type="paragraph" w:styleId="30">
    <w:name w:val="footer"/>
    <w:basedOn w:val="1"/>
    <w:link w:val="75"/>
    <w:autoRedefine/>
    <w:qFormat/>
    <w:uiPriority w:val="99"/>
    <w:pPr>
      <w:tabs>
        <w:tab w:val="center" w:pos="4153"/>
        <w:tab w:val="right" w:pos="8306"/>
      </w:tabs>
      <w:snapToGrid w:val="0"/>
      <w:jc w:val="left"/>
    </w:pPr>
    <w:rPr>
      <w:sz w:val="18"/>
      <w:szCs w:val="18"/>
    </w:rPr>
  </w:style>
  <w:style w:type="paragraph" w:styleId="31">
    <w:name w:val="header"/>
    <w:basedOn w:val="1"/>
    <w:link w:val="76"/>
    <w:autoRedefine/>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spacing w:line="360" w:lineRule="auto"/>
    </w:pPr>
    <w:rPr>
      <w:rFonts w:asciiTheme="minorEastAsia" w:hAnsiTheme="minorEastAsia" w:eastAsiaTheme="minorEastAsia"/>
      <w:b/>
      <w:sz w:val="24"/>
      <w:szCs w:val="21"/>
    </w:rPr>
  </w:style>
  <w:style w:type="paragraph" w:styleId="33">
    <w:name w:val="toc 4"/>
    <w:basedOn w:val="1"/>
    <w:next w:val="1"/>
    <w:autoRedefine/>
    <w:unhideWhenUsed/>
    <w:qFormat/>
    <w:uiPriority w:val="39"/>
    <w:pPr>
      <w:adjustRightInd w:val="0"/>
      <w:snapToGrid w:val="0"/>
      <w:spacing w:line="360" w:lineRule="auto"/>
      <w:ind w:left="600" w:leftChars="600"/>
    </w:pPr>
    <w:rPr>
      <w:rFonts w:asciiTheme="minorHAnsi" w:hAnsiTheme="minorHAnsi" w:eastAsiaTheme="minorEastAsia" w:cstheme="minorBidi"/>
      <w:b/>
      <w:szCs w:val="22"/>
    </w:rPr>
  </w:style>
  <w:style w:type="paragraph" w:styleId="34">
    <w:name w:val="toc 6"/>
    <w:basedOn w:val="1"/>
    <w:next w:val="1"/>
    <w:autoRedefine/>
    <w:qFormat/>
    <w:uiPriority w:val="39"/>
    <w:pPr>
      <w:ind w:left="2100"/>
    </w:pPr>
    <w:rPr>
      <w:szCs w:val="20"/>
    </w:rPr>
  </w:style>
  <w:style w:type="paragraph" w:styleId="35">
    <w:name w:val="Body Text Indent 3"/>
    <w:basedOn w:val="1"/>
    <w:link w:val="89"/>
    <w:autoRedefine/>
    <w:qFormat/>
    <w:uiPriority w:val="0"/>
    <w:pPr>
      <w:spacing w:after="120"/>
      <w:ind w:left="420" w:leftChars="200"/>
    </w:pPr>
    <w:rPr>
      <w:sz w:val="16"/>
      <w:szCs w:val="16"/>
    </w:rPr>
  </w:style>
  <w:style w:type="paragraph" w:styleId="36">
    <w:name w:val="toc 2"/>
    <w:basedOn w:val="1"/>
    <w:next w:val="1"/>
    <w:autoRedefine/>
    <w:unhideWhenUsed/>
    <w:qFormat/>
    <w:uiPriority w:val="39"/>
    <w:pPr>
      <w:spacing w:line="360" w:lineRule="auto"/>
      <w:ind w:left="200" w:leftChars="200"/>
    </w:pPr>
    <w:rPr>
      <w:rFonts w:eastAsiaTheme="majorEastAsia"/>
      <w:b/>
    </w:rPr>
  </w:style>
  <w:style w:type="paragraph" w:styleId="37">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8">
    <w:name w:val="Body Text 2"/>
    <w:basedOn w:val="1"/>
    <w:link w:val="86"/>
    <w:autoRedefine/>
    <w:qFormat/>
    <w:uiPriority w:val="0"/>
    <w:pPr>
      <w:spacing w:after="120" w:line="480" w:lineRule="auto"/>
    </w:pPr>
  </w:style>
  <w:style w:type="paragraph" w:styleId="39">
    <w:name w:val="HTML Preformatted"/>
    <w:basedOn w:val="1"/>
    <w:link w:val="8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0">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autoRedefine/>
    <w:qFormat/>
    <w:uiPriority w:val="0"/>
    <w:pPr>
      <w:spacing w:line="220" w:lineRule="exact"/>
      <w:jc w:val="center"/>
    </w:pPr>
    <w:rPr>
      <w:rFonts w:ascii="仿宋_GB2312" w:eastAsia="仿宋_GB2312"/>
      <w:szCs w:val="20"/>
    </w:rPr>
  </w:style>
  <w:style w:type="paragraph" w:styleId="42">
    <w:name w:val="Title"/>
    <w:basedOn w:val="1"/>
    <w:next w:val="1"/>
    <w:link w:val="119"/>
    <w:autoRedefine/>
    <w:qFormat/>
    <w:uiPriority w:val="0"/>
    <w:pPr>
      <w:jc w:val="center"/>
      <w:outlineLvl w:val="0"/>
    </w:pPr>
    <w:rPr>
      <w:rFonts w:asciiTheme="minorHAnsi" w:hAnsiTheme="minorHAnsi" w:eastAsiaTheme="minorEastAsia" w:cstheme="minorBidi"/>
      <w:b/>
      <w:sz w:val="32"/>
      <w:szCs w:val="22"/>
    </w:rPr>
  </w:style>
  <w:style w:type="paragraph" w:styleId="43">
    <w:name w:val="annotation subject"/>
    <w:basedOn w:val="17"/>
    <w:next w:val="17"/>
    <w:link w:val="101"/>
    <w:autoRedefine/>
    <w:qFormat/>
    <w:uiPriority w:val="0"/>
    <w:rPr>
      <w:b/>
      <w:bCs/>
    </w:rPr>
  </w:style>
  <w:style w:type="paragraph" w:styleId="44">
    <w:name w:val="Body Text First Indent 2"/>
    <w:basedOn w:val="20"/>
    <w:next w:val="1"/>
    <w:autoRedefine/>
    <w:unhideWhenUsed/>
    <w:qFormat/>
    <w:uiPriority w:val="99"/>
    <w:pPr>
      <w:ind w:firstLine="420" w:firstLineChars="200"/>
    </w:pPr>
  </w:style>
  <w:style w:type="table" w:styleId="46">
    <w:name w:val="Table Grid"/>
    <w:basedOn w:val="4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autoRedefine/>
    <w:qFormat/>
    <w:uiPriority w:val="0"/>
    <w:rPr>
      <w:b/>
      <w:bCs/>
    </w:rPr>
  </w:style>
  <w:style w:type="character" w:styleId="49">
    <w:name w:val="page number"/>
    <w:basedOn w:val="47"/>
    <w:autoRedefine/>
    <w:qFormat/>
    <w:uiPriority w:val="0"/>
  </w:style>
  <w:style w:type="character" w:styleId="50">
    <w:name w:val="FollowedHyperlink"/>
    <w:basedOn w:val="47"/>
    <w:autoRedefine/>
    <w:qFormat/>
    <w:uiPriority w:val="0"/>
    <w:rPr>
      <w:color w:val="800080"/>
      <w:u w:val="none"/>
    </w:rPr>
  </w:style>
  <w:style w:type="character" w:styleId="51">
    <w:name w:val="Emphasis"/>
    <w:basedOn w:val="47"/>
    <w:autoRedefine/>
    <w:qFormat/>
    <w:uiPriority w:val="20"/>
  </w:style>
  <w:style w:type="character" w:styleId="52">
    <w:name w:val="HTML Definition"/>
    <w:basedOn w:val="47"/>
    <w:semiHidden/>
    <w:unhideWhenUsed/>
    <w:uiPriority w:val="99"/>
  </w:style>
  <w:style w:type="character" w:styleId="53">
    <w:name w:val="HTML Typewriter"/>
    <w:basedOn w:val="47"/>
    <w:semiHidden/>
    <w:unhideWhenUsed/>
    <w:uiPriority w:val="99"/>
    <w:rPr>
      <w:rFonts w:hint="default" w:ascii="monospace" w:hAnsi="monospace" w:eastAsia="monospace" w:cs="monospace"/>
      <w:sz w:val="20"/>
    </w:rPr>
  </w:style>
  <w:style w:type="character" w:styleId="54">
    <w:name w:val="HTML Acronym"/>
    <w:basedOn w:val="47"/>
    <w:semiHidden/>
    <w:unhideWhenUsed/>
    <w:uiPriority w:val="99"/>
  </w:style>
  <w:style w:type="character" w:styleId="55">
    <w:name w:val="HTML Variable"/>
    <w:basedOn w:val="47"/>
    <w:semiHidden/>
    <w:unhideWhenUsed/>
    <w:uiPriority w:val="99"/>
  </w:style>
  <w:style w:type="character" w:styleId="56">
    <w:name w:val="Hyperlink"/>
    <w:autoRedefine/>
    <w:qFormat/>
    <w:uiPriority w:val="99"/>
    <w:rPr>
      <w:color w:val="136EC2"/>
      <w:u w:val="single"/>
    </w:rPr>
  </w:style>
  <w:style w:type="character" w:styleId="57">
    <w:name w:val="HTML Code"/>
    <w:basedOn w:val="47"/>
    <w:semiHidden/>
    <w:unhideWhenUsed/>
    <w:uiPriority w:val="99"/>
    <w:rPr>
      <w:rFonts w:hint="default" w:ascii="monospace" w:hAnsi="monospace" w:eastAsia="monospace" w:cs="monospace"/>
      <w:sz w:val="20"/>
    </w:rPr>
  </w:style>
  <w:style w:type="character" w:styleId="58">
    <w:name w:val="annotation reference"/>
    <w:autoRedefine/>
    <w:qFormat/>
    <w:uiPriority w:val="0"/>
    <w:rPr>
      <w:sz w:val="21"/>
      <w:szCs w:val="21"/>
    </w:rPr>
  </w:style>
  <w:style w:type="character" w:styleId="59">
    <w:name w:val="HTML Cite"/>
    <w:basedOn w:val="47"/>
    <w:semiHidden/>
    <w:unhideWhenUsed/>
    <w:uiPriority w:val="99"/>
  </w:style>
  <w:style w:type="character" w:styleId="60">
    <w:name w:val="HTML Keyboard"/>
    <w:basedOn w:val="47"/>
    <w:semiHidden/>
    <w:unhideWhenUsed/>
    <w:uiPriority w:val="99"/>
    <w:rPr>
      <w:rFonts w:ascii="monospace" w:hAnsi="monospace" w:eastAsia="monospace" w:cs="monospace"/>
      <w:sz w:val="20"/>
    </w:rPr>
  </w:style>
  <w:style w:type="character" w:styleId="61">
    <w:name w:val="HTML Sample"/>
    <w:basedOn w:val="47"/>
    <w:semiHidden/>
    <w:unhideWhenUsed/>
    <w:uiPriority w:val="99"/>
    <w:rPr>
      <w:rFonts w:hint="default" w:ascii="monospace" w:hAnsi="monospace" w:eastAsia="monospace" w:cs="monospace"/>
    </w:rPr>
  </w:style>
  <w:style w:type="character" w:customStyle="1" w:styleId="62">
    <w:name w:val="标题 1 Char"/>
    <w:basedOn w:val="47"/>
    <w:link w:val="4"/>
    <w:autoRedefine/>
    <w:qFormat/>
    <w:uiPriority w:val="0"/>
    <w:rPr>
      <w:rFonts w:ascii="Times New Roman" w:hAnsi="Times New Roman" w:eastAsia="宋体" w:cs="Times New Roman"/>
      <w:b/>
      <w:bCs/>
      <w:sz w:val="24"/>
      <w:szCs w:val="20"/>
    </w:rPr>
  </w:style>
  <w:style w:type="paragraph" w:customStyle="1" w:styleId="63">
    <w:name w:val="列出段落1"/>
    <w:basedOn w:val="1"/>
    <w:autoRedefine/>
    <w:qFormat/>
    <w:uiPriority w:val="0"/>
    <w:pPr>
      <w:ind w:firstLine="420" w:firstLineChars="200"/>
    </w:pPr>
    <w:rPr>
      <w:rFonts w:ascii="Calibri" w:hAnsi="Calibri"/>
      <w:b/>
      <w:szCs w:val="22"/>
    </w:rPr>
  </w:style>
  <w:style w:type="paragraph" w:customStyle="1" w:styleId="64">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65">
    <w:name w:val="标题 2 Char"/>
    <w:basedOn w:val="47"/>
    <w:link w:val="5"/>
    <w:autoRedefine/>
    <w:qFormat/>
    <w:uiPriority w:val="0"/>
    <w:rPr>
      <w:rFonts w:ascii="Arial" w:hAnsi="Arial" w:eastAsia="宋体" w:cs="Times New Roman"/>
      <w:b/>
      <w:bCs/>
      <w:sz w:val="24"/>
      <w:szCs w:val="32"/>
    </w:rPr>
  </w:style>
  <w:style w:type="character" w:customStyle="1" w:styleId="66">
    <w:name w:val="标题 3 Char"/>
    <w:basedOn w:val="47"/>
    <w:link w:val="6"/>
    <w:autoRedefine/>
    <w:qFormat/>
    <w:uiPriority w:val="0"/>
    <w:rPr>
      <w:rFonts w:ascii="Times New Roman" w:hAnsi="Times New Roman" w:eastAsia="宋体" w:cs="Times New Roman"/>
      <w:b/>
      <w:bCs/>
      <w:sz w:val="32"/>
      <w:szCs w:val="32"/>
    </w:rPr>
  </w:style>
  <w:style w:type="character" w:customStyle="1" w:styleId="67">
    <w:name w:val="标题 4 Char"/>
    <w:basedOn w:val="47"/>
    <w:link w:val="7"/>
    <w:autoRedefine/>
    <w:qFormat/>
    <w:uiPriority w:val="0"/>
    <w:rPr>
      <w:rFonts w:ascii="Arial" w:hAnsi="Arial" w:eastAsia="黑体" w:cs="Times New Roman"/>
      <w:b/>
      <w:bCs/>
      <w:sz w:val="28"/>
      <w:szCs w:val="28"/>
    </w:rPr>
  </w:style>
  <w:style w:type="character" w:customStyle="1" w:styleId="68">
    <w:name w:val="标题 5 Char"/>
    <w:basedOn w:val="47"/>
    <w:link w:val="8"/>
    <w:autoRedefine/>
    <w:qFormat/>
    <w:uiPriority w:val="0"/>
    <w:rPr>
      <w:rFonts w:ascii="Times New Roman" w:hAnsi="Times New Roman" w:eastAsia="宋体" w:cs="Times New Roman"/>
      <w:b/>
      <w:bCs/>
      <w:kern w:val="0"/>
      <w:sz w:val="28"/>
      <w:szCs w:val="28"/>
    </w:rPr>
  </w:style>
  <w:style w:type="character" w:customStyle="1" w:styleId="69">
    <w:name w:val="标题 6 Char"/>
    <w:basedOn w:val="47"/>
    <w:link w:val="9"/>
    <w:autoRedefine/>
    <w:qFormat/>
    <w:uiPriority w:val="0"/>
    <w:rPr>
      <w:rFonts w:ascii="Arial" w:hAnsi="Arial" w:eastAsia="黑体" w:cs="Times New Roman"/>
      <w:b/>
      <w:bCs/>
      <w:kern w:val="0"/>
      <w:sz w:val="24"/>
      <w:szCs w:val="24"/>
    </w:rPr>
  </w:style>
  <w:style w:type="character" w:customStyle="1" w:styleId="70">
    <w:name w:val="标题 7 Char"/>
    <w:basedOn w:val="47"/>
    <w:link w:val="10"/>
    <w:autoRedefine/>
    <w:qFormat/>
    <w:uiPriority w:val="0"/>
    <w:rPr>
      <w:rFonts w:ascii="Times New Roman" w:hAnsi="Times New Roman" w:eastAsia="宋体" w:cs="Times New Roman"/>
      <w:b/>
      <w:bCs/>
      <w:kern w:val="0"/>
      <w:sz w:val="24"/>
      <w:szCs w:val="24"/>
    </w:rPr>
  </w:style>
  <w:style w:type="character" w:customStyle="1" w:styleId="71">
    <w:name w:val="标题 8 Char"/>
    <w:basedOn w:val="47"/>
    <w:link w:val="11"/>
    <w:autoRedefine/>
    <w:qFormat/>
    <w:uiPriority w:val="0"/>
    <w:rPr>
      <w:rFonts w:ascii="Arial" w:hAnsi="Arial" w:eastAsia="黑体" w:cs="Times New Roman"/>
      <w:kern w:val="0"/>
      <w:sz w:val="24"/>
      <w:szCs w:val="24"/>
    </w:rPr>
  </w:style>
  <w:style w:type="character" w:customStyle="1" w:styleId="72">
    <w:name w:val="标题 9 Char"/>
    <w:basedOn w:val="47"/>
    <w:link w:val="12"/>
    <w:autoRedefine/>
    <w:qFormat/>
    <w:uiPriority w:val="0"/>
    <w:rPr>
      <w:rFonts w:ascii="Arial" w:hAnsi="Arial" w:eastAsia="黑体" w:cs="Times New Roman"/>
      <w:kern w:val="0"/>
      <w:szCs w:val="21"/>
    </w:rPr>
  </w:style>
  <w:style w:type="paragraph" w:customStyle="1" w:styleId="73">
    <w:name w:val="表格内容"/>
    <w:basedOn w:val="19"/>
    <w:autoRedefine/>
    <w:qFormat/>
    <w:uiPriority w:val="0"/>
    <w:pPr>
      <w:suppressLineNumbers/>
      <w:suppressAutoHyphens/>
      <w:jc w:val="left"/>
    </w:pPr>
    <w:rPr>
      <w:rFonts w:cs="Tahoma"/>
      <w:kern w:val="0"/>
      <w:sz w:val="24"/>
    </w:rPr>
  </w:style>
  <w:style w:type="character" w:customStyle="1" w:styleId="74">
    <w:name w:val="正文文本 Char"/>
    <w:basedOn w:val="47"/>
    <w:link w:val="19"/>
    <w:autoRedefine/>
    <w:qFormat/>
    <w:uiPriority w:val="0"/>
    <w:rPr>
      <w:rFonts w:ascii="Times New Roman" w:hAnsi="Times New Roman" w:eastAsia="宋体" w:cs="Times New Roman"/>
      <w:szCs w:val="24"/>
    </w:rPr>
  </w:style>
  <w:style w:type="character" w:customStyle="1" w:styleId="75">
    <w:name w:val="页脚 Char"/>
    <w:basedOn w:val="47"/>
    <w:link w:val="30"/>
    <w:autoRedefine/>
    <w:qFormat/>
    <w:uiPriority w:val="99"/>
    <w:rPr>
      <w:rFonts w:ascii="Times New Roman" w:hAnsi="Times New Roman" w:eastAsia="宋体" w:cs="Times New Roman"/>
      <w:sz w:val="18"/>
      <w:szCs w:val="18"/>
    </w:rPr>
  </w:style>
  <w:style w:type="character" w:customStyle="1" w:styleId="76">
    <w:name w:val="页眉 Char"/>
    <w:basedOn w:val="47"/>
    <w:link w:val="31"/>
    <w:autoRedefine/>
    <w:qFormat/>
    <w:uiPriority w:val="99"/>
    <w:rPr>
      <w:rFonts w:ascii="Times New Roman" w:hAnsi="Times New Roman" w:eastAsia="宋体" w:cs="Times New Roman"/>
      <w:sz w:val="18"/>
      <w:szCs w:val="18"/>
    </w:rPr>
  </w:style>
  <w:style w:type="character" w:customStyle="1" w:styleId="77">
    <w:name w:val="正文文本缩进 Char"/>
    <w:basedOn w:val="47"/>
    <w:link w:val="20"/>
    <w:autoRedefine/>
    <w:qFormat/>
    <w:uiPriority w:val="0"/>
    <w:rPr>
      <w:rFonts w:ascii="Times New Roman" w:hAnsi="Times New Roman" w:eastAsia="宋体" w:cs="Times New Roman"/>
      <w:szCs w:val="24"/>
    </w:rPr>
  </w:style>
  <w:style w:type="paragraph" w:customStyle="1" w:styleId="78">
    <w:name w:val="Char Char Char Char Char Char Char"/>
    <w:basedOn w:val="1"/>
    <w:autoRedefine/>
    <w:qFormat/>
    <w:uiPriority w:val="0"/>
    <w:pPr>
      <w:snapToGrid w:val="0"/>
      <w:spacing w:line="360" w:lineRule="auto"/>
      <w:ind w:firstLine="200" w:firstLineChars="200"/>
    </w:pPr>
    <w:rPr>
      <w:rFonts w:eastAsia="仿宋_GB2312"/>
      <w:sz w:val="24"/>
    </w:rPr>
  </w:style>
  <w:style w:type="character" w:customStyle="1" w:styleId="79">
    <w:name w:val="纯文本 Char"/>
    <w:basedOn w:val="47"/>
    <w:link w:val="26"/>
    <w:autoRedefine/>
    <w:qFormat/>
    <w:uiPriority w:val="0"/>
    <w:rPr>
      <w:rFonts w:ascii="宋体" w:hAnsi="Courier New" w:eastAsia="宋体" w:cs="Courier New"/>
      <w:szCs w:val="21"/>
    </w:rPr>
  </w:style>
  <w:style w:type="character" w:customStyle="1" w:styleId="80">
    <w:name w:val="批注文字 Char"/>
    <w:basedOn w:val="47"/>
    <w:link w:val="17"/>
    <w:autoRedefine/>
    <w:semiHidden/>
    <w:qFormat/>
    <w:uiPriority w:val="0"/>
    <w:rPr>
      <w:rFonts w:ascii="Times New Roman" w:hAnsi="Times New Roman" w:eastAsia="宋体" w:cs="Times New Roman"/>
      <w:szCs w:val="24"/>
    </w:rPr>
  </w:style>
  <w:style w:type="paragraph" w:customStyle="1" w:styleId="81">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82">
    <w:name w:val="Char Char Char"/>
    <w:basedOn w:val="1"/>
    <w:autoRedefine/>
    <w:qFormat/>
    <w:uiPriority w:val="0"/>
    <w:rPr>
      <w:rFonts w:ascii="宋体" w:hAnsi="宋体"/>
      <w:b/>
      <w:sz w:val="28"/>
      <w:szCs w:val="28"/>
    </w:rPr>
  </w:style>
  <w:style w:type="paragraph" w:customStyle="1" w:styleId="83">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84">
    <w:name w:val="HTML 预设格式 Char"/>
    <w:basedOn w:val="47"/>
    <w:link w:val="39"/>
    <w:autoRedefine/>
    <w:qFormat/>
    <w:uiPriority w:val="0"/>
    <w:rPr>
      <w:rFonts w:ascii="Arial" w:hAnsi="Arial" w:eastAsia="宋体" w:cs="Arial"/>
      <w:kern w:val="0"/>
      <w:sz w:val="24"/>
      <w:szCs w:val="24"/>
    </w:rPr>
  </w:style>
  <w:style w:type="character" w:customStyle="1" w:styleId="85">
    <w:name w:val="称呼 Char"/>
    <w:basedOn w:val="47"/>
    <w:link w:val="18"/>
    <w:autoRedefine/>
    <w:qFormat/>
    <w:uiPriority w:val="0"/>
    <w:rPr>
      <w:rFonts w:ascii="仿宋_GB2312" w:hAnsi="Times New Roman" w:eastAsia="仿宋_GB2312" w:cs="Times New Roman"/>
      <w:sz w:val="24"/>
      <w:szCs w:val="24"/>
    </w:rPr>
  </w:style>
  <w:style w:type="character" w:customStyle="1" w:styleId="86">
    <w:name w:val="正文文本 2 Char"/>
    <w:basedOn w:val="47"/>
    <w:link w:val="38"/>
    <w:autoRedefine/>
    <w:qFormat/>
    <w:uiPriority w:val="0"/>
    <w:rPr>
      <w:rFonts w:ascii="Times New Roman" w:hAnsi="Times New Roman" w:eastAsia="宋体" w:cs="Times New Roman"/>
      <w:szCs w:val="24"/>
    </w:rPr>
  </w:style>
  <w:style w:type="character" w:customStyle="1" w:styleId="87">
    <w:name w:val="正文文本缩进 2 Char"/>
    <w:basedOn w:val="47"/>
    <w:link w:val="21"/>
    <w:autoRedefine/>
    <w:qFormat/>
    <w:uiPriority w:val="0"/>
    <w:rPr>
      <w:rFonts w:ascii="Times New Roman" w:hAnsi="Times New Roman" w:eastAsia="宋体" w:cs="Times New Roman"/>
      <w:szCs w:val="24"/>
    </w:rPr>
  </w:style>
  <w:style w:type="paragraph" w:customStyle="1" w:styleId="88">
    <w:name w:val="Char"/>
    <w:basedOn w:val="1"/>
    <w:autoRedefine/>
    <w:qFormat/>
    <w:uiPriority w:val="0"/>
    <w:pPr>
      <w:tabs>
        <w:tab w:val="left" w:pos="360"/>
      </w:tabs>
      <w:ind w:left="360" w:hanging="360" w:hangingChars="200"/>
    </w:pPr>
    <w:rPr>
      <w:sz w:val="24"/>
    </w:rPr>
  </w:style>
  <w:style w:type="character" w:customStyle="1" w:styleId="89">
    <w:name w:val="正文文本缩进 3 Char"/>
    <w:basedOn w:val="47"/>
    <w:link w:val="35"/>
    <w:autoRedefine/>
    <w:qFormat/>
    <w:uiPriority w:val="0"/>
    <w:rPr>
      <w:rFonts w:ascii="Times New Roman" w:hAnsi="Times New Roman" w:eastAsia="宋体" w:cs="Times New Roman"/>
      <w:sz w:val="16"/>
      <w:szCs w:val="16"/>
    </w:rPr>
  </w:style>
  <w:style w:type="character" w:customStyle="1" w:styleId="90">
    <w:name w:val="日期 Char"/>
    <w:basedOn w:val="47"/>
    <w:link w:val="28"/>
    <w:autoRedefine/>
    <w:qFormat/>
    <w:uiPriority w:val="0"/>
    <w:rPr>
      <w:rFonts w:ascii="Times New Roman" w:hAnsi="Times New Roman" w:eastAsia="宋体" w:cs="Times New Roman"/>
      <w:sz w:val="24"/>
      <w:szCs w:val="20"/>
    </w:rPr>
  </w:style>
  <w:style w:type="character" w:customStyle="1" w:styleId="91">
    <w:name w:val="p0 Char"/>
    <w:link w:val="92"/>
    <w:autoRedefine/>
    <w:qFormat/>
    <w:uiPriority w:val="0"/>
    <w:rPr>
      <w:rFonts w:eastAsia="宋体"/>
      <w:szCs w:val="21"/>
    </w:rPr>
  </w:style>
  <w:style w:type="paragraph" w:customStyle="1" w:styleId="92">
    <w:name w:val="p0"/>
    <w:basedOn w:val="1"/>
    <w:link w:val="91"/>
    <w:autoRedefine/>
    <w:qFormat/>
    <w:uiPriority w:val="0"/>
    <w:pPr>
      <w:widowControl/>
    </w:pPr>
    <w:rPr>
      <w:rFonts w:asciiTheme="minorHAnsi" w:hAnsiTheme="minorHAnsi" w:cstheme="minorBidi"/>
      <w:szCs w:val="21"/>
    </w:rPr>
  </w:style>
  <w:style w:type="paragraph" w:customStyle="1" w:styleId="93">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94">
    <w:name w:val="Char Char1 Char Char Char Char Char1 Char Char Char Char"/>
    <w:basedOn w:val="15"/>
    <w:autoRedefine/>
    <w:qFormat/>
    <w:uiPriority w:val="0"/>
    <w:rPr>
      <w:rFonts w:ascii="Tahoma" w:hAnsi="Tahoma"/>
    </w:rPr>
  </w:style>
  <w:style w:type="character" w:customStyle="1" w:styleId="95">
    <w:name w:val="文档结构图 Char"/>
    <w:basedOn w:val="47"/>
    <w:link w:val="15"/>
    <w:autoRedefine/>
    <w:semiHidden/>
    <w:qFormat/>
    <w:uiPriority w:val="0"/>
    <w:rPr>
      <w:rFonts w:ascii="Times New Roman" w:hAnsi="Times New Roman" w:eastAsia="宋体" w:cs="Times New Roman"/>
      <w:szCs w:val="24"/>
      <w:shd w:val="clear" w:color="auto" w:fill="000080"/>
    </w:rPr>
  </w:style>
  <w:style w:type="paragraph" w:customStyle="1" w:styleId="96">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97">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98">
    <w:name w:val="1"/>
    <w:basedOn w:val="1"/>
    <w:autoRedefine/>
    <w:qFormat/>
    <w:uiPriority w:val="0"/>
    <w:pPr>
      <w:spacing w:afterLines="50" w:line="360" w:lineRule="auto"/>
    </w:pPr>
    <w:rPr>
      <w:rFonts w:ascii="宋体" w:hAnsi="宋体"/>
      <w:b/>
      <w:sz w:val="30"/>
      <w:szCs w:val="21"/>
    </w:rPr>
  </w:style>
  <w:style w:type="paragraph" w:customStyle="1" w:styleId="99">
    <w:name w:val="样式 标题 2 + 宋体 五号 行距: 单倍行距"/>
    <w:basedOn w:val="5"/>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100">
    <w:name w:val="标题 1 +"/>
    <w:basedOn w:val="4"/>
    <w:next w:val="1"/>
    <w:autoRedefine/>
    <w:qFormat/>
    <w:uiPriority w:val="0"/>
    <w:pPr>
      <w:keepLines/>
      <w:spacing w:line="600" w:lineRule="auto"/>
    </w:pPr>
    <w:rPr>
      <w:rFonts w:eastAsia="黑体"/>
      <w:kern w:val="0"/>
      <w:sz w:val="32"/>
      <w:szCs w:val="32"/>
    </w:rPr>
  </w:style>
  <w:style w:type="character" w:customStyle="1" w:styleId="101">
    <w:name w:val="批注主题 Char"/>
    <w:basedOn w:val="80"/>
    <w:link w:val="43"/>
    <w:autoRedefine/>
    <w:qFormat/>
    <w:uiPriority w:val="0"/>
    <w:rPr>
      <w:rFonts w:ascii="Times New Roman" w:hAnsi="Times New Roman" w:eastAsia="宋体" w:cs="Times New Roman"/>
      <w:b/>
      <w:bCs/>
      <w:szCs w:val="24"/>
    </w:rPr>
  </w:style>
  <w:style w:type="character" w:customStyle="1" w:styleId="102">
    <w:name w:val="批注框文本 Char"/>
    <w:basedOn w:val="47"/>
    <w:link w:val="29"/>
    <w:autoRedefine/>
    <w:qFormat/>
    <w:uiPriority w:val="0"/>
    <w:rPr>
      <w:rFonts w:ascii="Times New Roman" w:hAnsi="Times New Roman" w:eastAsia="宋体" w:cs="Times New Roman"/>
      <w:sz w:val="18"/>
      <w:szCs w:val="18"/>
    </w:rPr>
  </w:style>
  <w:style w:type="paragraph" w:customStyle="1" w:styleId="103">
    <w:name w:val="样式 标题 2 + Times New Roman 四号 非加粗 段前: 5 磅 段后: 0 磅 行距: 固定值 20..."/>
    <w:basedOn w:val="5"/>
    <w:autoRedefine/>
    <w:qFormat/>
    <w:uiPriority w:val="0"/>
    <w:pPr>
      <w:spacing w:before="100" w:line="400" w:lineRule="exact"/>
    </w:pPr>
    <w:rPr>
      <w:rFonts w:ascii="Times New Roman" w:hAnsi="Times New Roman" w:eastAsia="黑体"/>
      <w:b w:val="0"/>
      <w:bCs w:val="0"/>
      <w:sz w:val="28"/>
      <w:szCs w:val="20"/>
    </w:rPr>
  </w:style>
  <w:style w:type="paragraph" w:customStyle="1" w:styleId="104">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105">
    <w:name w:val="Char1 Char Char Char 字元 Char Char 字元 Char 字元 Char1 Char Char Char"/>
    <w:basedOn w:val="1"/>
    <w:autoRedefine/>
    <w:qFormat/>
    <w:uiPriority w:val="0"/>
    <w:rPr>
      <w:szCs w:val="20"/>
    </w:rPr>
  </w:style>
  <w:style w:type="paragraph" w:customStyle="1" w:styleId="106">
    <w:name w:val="p16"/>
    <w:basedOn w:val="1"/>
    <w:autoRedefine/>
    <w:qFormat/>
    <w:uiPriority w:val="0"/>
    <w:pPr>
      <w:widowControl/>
      <w:jc w:val="left"/>
    </w:pPr>
    <w:rPr>
      <w:kern w:val="0"/>
      <w:szCs w:val="21"/>
    </w:rPr>
  </w:style>
  <w:style w:type="paragraph" w:customStyle="1" w:styleId="107">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09">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0">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11">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12">
    <w:name w:val="List Paragraph"/>
    <w:basedOn w:val="1"/>
    <w:link w:val="118"/>
    <w:autoRedefine/>
    <w:qFormat/>
    <w:uiPriority w:val="0"/>
    <w:pPr>
      <w:ind w:firstLine="420" w:firstLineChars="200"/>
    </w:pPr>
  </w:style>
  <w:style w:type="character" w:customStyle="1" w:styleId="113">
    <w:name w:val="fontstyle01"/>
    <w:basedOn w:val="47"/>
    <w:autoRedefine/>
    <w:qFormat/>
    <w:uiPriority w:val="0"/>
    <w:rPr>
      <w:rFonts w:hint="eastAsia" w:ascii="宋体" w:hAnsi="宋体" w:eastAsia="宋体"/>
      <w:color w:val="000000"/>
      <w:sz w:val="24"/>
      <w:szCs w:val="24"/>
    </w:rPr>
  </w:style>
  <w:style w:type="character" w:customStyle="1" w:styleId="114">
    <w:name w:val="fontstyle11"/>
    <w:basedOn w:val="47"/>
    <w:autoRedefine/>
    <w:qFormat/>
    <w:uiPriority w:val="0"/>
    <w:rPr>
      <w:rFonts w:hint="default" w:ascii="TimesNewRomanPSMT" w:hAnsi="TimesNewRomanPSMT"/>
      <w:color w:val="000000"/>
      <w:sz w:val="24"/>
      <w:szCs w:val="24"/>
    </w:rPr>
  </w:style>
  <w:style w:type="paragraph" w:customStyle="1" w:styleId="115">
    <w:name w:val="TOC 标题1"/>
    <w:basedOn w:val="4"/>
    <w:next w:val="1"/>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16">
    <w:name w:val="fontstyle21"/>
    <w:basedOn w:val="47"/>
    <w:autoRedefine/>
    <w:qFormat/>
    <w:uiPriority w:val="0"/>
    <w:rPr>
      <w:rFonts w:hint="eastAsia" w:ascii="宋体" w:hAnsi="宋体" w:eastAsia="宋体"/>
      <w:color w:val="993300"/>
      <w:sz w:val="24"/>
      <w:szCs w:val="24"/>
    </w:rPr>
  </w:style>
  <w:style w:type="character" w:customStyle="1" w:styleId="117">
    <w:name w:val="fontstyle31"/>
    <w:basedOn w:val="47"/>
    <w:autoRedefine/>
    <w:qFormat/>
    <w:uiPriority w:val="0"/>
    <w:rPr>
      <w:rFonts w:hint="default" w:ascii="Arial" w:hAnsi="Arial" w:cs="Arial"/>
      <w:color w:val="993300"/>
      <w:sz w:val="24"/>
      <w:szCs w:val="24"/>
    </w:rPr>
  </w:style>
  <w:style w:type="character" w:customStyle="1" w:styleId="118">
    <w:name w:val="列出段落 Char"/>
    <w:link w:val="112"/>
    <w:autoRedefine/>
    <w:qFormat/>
    <w:uiPriority w:val="0"/>
    <w:rPr>
      <w:rFonts w:ascii="Times New Roman" w:hAnsi="Times New Roman" w:eastAsia="宋体" w:cs="Times New Roman"/>
      <w:szCs w:val="24"/>
    </w:rPr>
  </w:style>
  <w:style w:type="character" w:customStyle="1" w:styleId="119">
    <w:name w:val="标题 Char"/>
    <w:link w:val="42"/>
    <w:autoRedefine/>
    <w:qFormat/>
    <w:uiPriority w:val="0"/>
    <w:rPr>
      <w:b/>
      <w:sz w:val="32"/>
    </w:rPr>
  </w:style>
  <w:style w:type="character" w:customStyle="1" w:styleId="120">
    <w:name w:val="标题 Char1"/>
    <w:basedOn w:val="47"/>
    <w:autoRedefine/>
    <w:qFormat/>
    <w:uiPriority w:val="10"/>
    <w:rPr>
      <w:rFonts w:eastAsia="宋体" w:asciiTheme="majorHAnsi" w:hAnsiTheme="majorHAnsi" w:cstheme="majorBidi"/>
      <w:b/>
      <w:bCs/>
      <w:sz w:val="32"/>
      <w:szCs w:val="32"/>
    </w:rPr>
  </w:style>
  <w:style w:type="character" w:customStyle="1" w:styleId="121">
    <w:name w:val="样式1 Char Char"/>
    <w:link w:val="3"/>
    <w:autoRedefine/>
    <w:qFormat/>
    <w:uiPriority w:val="0"/>
    <w:rPr>
      <w:rFonts w:ascii="宋体" w:hAnsi="宋体" w:eastAsia="宋体" w:cs="Times New Roman"/>
      <w:kern w:val="0"/>
      <w:szCs w:val="21"/>
    </w:rPr>
  </w:style>
  <w:style w:type="character" w:customStyle="1" w:styleId="122">
    <w:name w:val="纯文本 Char1"/>
    <w:autoRedefine/>
    <w:semiHidden/>
    <w:qFormat/>
    <w:locked/>
    <w:uiPriority w:val="0"/>
    <w:rPr>
      <w:rFonts w:ascii="宋体" w:hAnsi="Courier New" w:eastAsia="宋体" w:cs="Courier New"/>
      <w:kern w:val="2"/>
      <w:sz w:val="21"/>
      <w:szCs w:val="21"/>
      <w:lang w:val="en-US" w:eastAsia="zh-CN" w:bidi="ar-SA"/>
    </w:rPr>
  </w:style>
  <w:style w:type="paragraph" w:customStyle="1" w:styleId="123">
    <w:name w:val="Table Paragraph"/>
    <w:basedOn w:val="1"/>
    <w:autoRedefine/>
    <w:qFormat/>
    <w:uiPriority w:val="1"/>
    <w:rPr>
      <w:rFonts w:ascii="宋体" w:hAnsi="宋体" w:cs="宋体"/>
      <w:lang w:val="zh-CN" w:bidi="zh-CN"/>
    </w:rPr>
  </w:style>
  <w:style w:type="paragraph" w:styleId="124">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25">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126">
    <w:name w:val="正文1"/>
    <w:basedOn w:val="1"/>
    <w:autoRedefine/>
    <w:qFormat/>
    <w:uiPriority w:val="0"/>
    <w:pPr>
      <w:spacing w:line="360" w:lineRule="auto"/>
      <w:ind w:firstLine="480" w:firstLineChars="200"/>
    </w:pPr>
    <w:rPr>
      <w:sz w:val="24"/>
    </w:rPr>
  </w:style>
  <w:style w:type="paragraph" w:customStyle="1" w:styleId="127">
    <w:name w:val="_Style 5"/>
    <w:autoRedefine/>
    <w:qFormat/>
    <w:uiPriority w:val="1"/>
    <w:pPr>
      <w:widowControl w:val="0"/>
    </w:pPr>
    <w:rPr>
      <w:rFonts w:ascii="Times New Roman" w:hAnsi="Times New Roman" w:eastAsia="宋体" w:cs="Times New Roman"/>
      <w:sz w:val="24"/>
      <w:szCs w:val="22"/>
      <w:lang w:val="en-US" w:eastAsia="en-US" w:bidi="ar-SA"/>
    </w:rPr>
  </w:style>
  <w:style w:type="character" w:customStyle="1" w:styleId="128">
    <w:name w:val="l-btn-left"/>
    <w:basedOn w:val="47"/>
    <w:autoRedefine/>
    <w:qFormat/>
    <w:uiPriority w:val="0"/>
  </w:style>
  <w:style w:type="character" w:customStyle="1" w:styleId="129">
    <w:name w:val="l-btn-left1"/>
    <w:basedOn w:val="47"/>
    <w:autoRedefine/>
    <w:qFormat/>
    <w:uiPriority w:val="0"/>
  </w:style>
  <w:style w:type="character" w:customStyle="1" w:styleId="130">
    <w:name w:val="l-btn-left2"/>
    <w:basedOn w:val="47"/>
    <w:autoRedefine/>
    <w:qFormat/>
    <w:uiPriority w:val="0"/>
  </w:style>
  <w:style w:type="character" w:customStyle="1" w:styleId="131">
    <w:name w:val="l-btn-left3"/>
    <w:basedOn w:val="47"/>
    <w:autoRedefine/>
    <w:qFormat/>
    <w:uiPriority w:val="0"/>
  </w:style>
  <w:style w:type="character" w:customStyle="1" w:styleId="132">
    <w:name w:val="l-btn-text"/>
    <w:basedOn w:val="47"/>
    <w:autoRedefine/>
    <w:qFormat/>
    <w:uiPriority w:val="0"/>
    <w:rPr>
      <w:sz w:val="18"/>
      <w:szCs w:val="18"/>
      <w:vertAlign w:val="baseline"/>
    </w:rPr>
  </w:style>
  <w:style w:type="character" w:customStyle="1" w:styleId="133">
    <w:name w:val="l-btn-icon-left"/>
    <w:basedOn w:val="47"/>
    <w:autoRedefine/>
    <w:qFormat/>
    <w:uiPriority w:val="0"/>
  </w:style>
  <w:style w:type="character" w:customStyle="1" w:styleId="134">
    <w:name w:val="l-btn-icon-right"/>
    <w:basedOn w:val="47"/>
    <w:autoRedefine/>
    <w:qFormat/>
    <w:uiPriority w:val="0"/>
  </w:style>
  <w:style w:type="character" w:customStyle="1" w:styleId="135">
    <w:name w:val="l-btn-empty"/>
    <w:basedOn w:val="47"/>
    <w:autoRedefine/>
    <w:qFormat/>
    <w:uiPriority w:val="0"/>
  </w:style>
  <w:style w:type="paragraph" w:customStyle="1" w:styleId="136">
    <w:name w:val="Table Text"/>
    <w:basedOn w:val="1"/>
    <w:autoRedefine/>
    <w:semiHidden/>
    <w:qFormat/>
    <w:uiPriority w:val="0"/>
    <w:rPr>
      <w:rFonts w:ascii="宋体" w:hAnsi="宋体" w:cs="宋体"/>
      <w:szCs w:val="21"/>
      <w:lang w:eastAsia="en-US"/>
    </w:rPr>
  </w:style>
  <w:style w:type="paragraph" w:customStyle="1" w:styleId="137">
    <w:name w:val="正文文字"/>
    <w:basedOn w:val="1"/>
    <w:next w:val="1"/>
    <w:qFormat/>
    <w:uiPriority w:val="0"/>
    <w:pPr>
      <w:spacing w:after="120"/>
    </w:pPr>
  </w:style>
  <w:style w:type="paragraph" w:customStyle="1" w:styleId="138">
    <w:name w:val="正文_0"/>
    <w:basedOn w:val="1"/>
    <w:qFormat/>
    <w:uiPriority w:val="0"/>
    <w:rPr>
      <w:rFonts w:ascii="Calibri" w:hAnsi="Calibri"/>
    </w:rPr>
  </w:style>
  <w:style w:type="paragraph" w:customStyle="1" w:styleId="139">
    <w:name w:val="标题 3_0"/>
    <w:basedOn w:val="138"/>
    <w:next w:val="1"/>
    <w:qFormat/>
    <w:uiPriority w:val="0"/>
    <w:pPr>
      <w:autoSpaceDE w:val="0"/>
      <w:autoSpaceDN w:val="0"/>
      <w:adjustRightInd w:val="0"/>
      <w:snapToGrid w:val="0"/>
      <w:spacing w:line="360" w:lineRule="auto"/>
      <w:outlineLvl w:val="2"/>
    </w:pPr>
    <w:rPr>
      <w:rFonts w:ascii="宋体" w:hAnsi="Times New Roman"/>
      <w:kern w:val="0"/>
      <w:sz w:val="20"/>
      <w:szCs w:val="20"/>
    </w:rPr>
  </w:style>
  <w:style w:type="table" w:customStyle="1" w:styleId="140">
    <w:name w:val="Table Normal"/>
    <w:semiHidden/>
    <w:unhideWhenUsed/>
    <w:qFormat/>
    <w:uiPriority w:val="0"/>
    <w:tblPr>
      <w:tblCellMar>
        <w:top w:w="0" w:type="dxa"/>
        <w:left w:w="0" w:type="dxa"/>
        <w:bottom w:w="0" w:type="dxa"/>
        <w:right w:w="0" w:type="dxa"/>
      </w:tblCellMar>
    </w:tblPr>
  </w:style>
  <w:style w:type="paragraph" w:customStyle="1" w:styleId="141">
    <w:name w:val="UserStyle_0"/>
    <w:basedOn w:val="1"/>
    <w:qFormat/>
    <w:uiPriority w:val="0"/>
    <w:pPr>
      <w:ind w:firstLine="420" w:firstLineChars="200"/>
      <w:textAlignment w:val="baseline"/>
    </w:pPr>
    <w:rPr>
      <w:szCs w:val="21"/>
    </w:rPr>
  </w:style>
  <w:style w:type="paragraph" w:customStyle="1" w:styleId="142">
    <w:name w:val="首行缩进"/>
    <w:basedOn w:val="1"/>
    <w:qFormat/>
    <w:uiPriority w:val="0"/>
    <w:rPr>
      <w:lang w:val="zh-CN"/>
    </w:rPr>
  </w:style>
  <w:style w:type="paragraph" w:customStyle="1" w:styleId="143">
    <w:name w:val="Normal_2"/>
    <w:qFormat/>
    <w:uiPriority w:val="0"/>
    <w:pPr>
      <w:spacing w:before="120" w:after="240"/>
      <w:jc w:val="both"/>
    </w:pPr>
    <w:rPr>
      <w:rFonts w:ascii="Calibri" w:hAnsi="Calibri" w:eastAsia="Calibri" w:cs="Times New Roman"/>
      <w:sz w:val="22"/>
      <w:szCs w:val="22"/>
      <w:lang w:val="ru-RU" w:eastAsia="en-US" w:bidi="ar-SA"/>
    </w:rPr>
  </w:style>
  <w:style w:type="paragraph" w:customStyle="1" w:styleId="144">
    <w:name w:val="Normal_3"/>
    <w:autoRedefine/>
    <w:qFormat/>
    <w:uiPriority w:val="0"/>
    <w:pPr>
      <w:spacing w:before="120" w:after="240"/>
      <w:jc w:val="both"/>
    </w:pPr>
    <w:rPr>
      <w:rFonts w:ascii="Calibri" w:hAnsi="Calibri" w:eastAsia="Calibri" w:cs="Times New Roman"/>
      <w:sz w:val="22"/>
      <w:szCs w:val="22"/>
      <w:lang w:val="ru-RU" w:eastAsia="en-US" w:bidi="ar-SA"/>
    </w:rPr>
  </w:style>
  <w:style w:type="character" w:customStyle="1" w:styleId="145">
    <w:name w:val="mini-outputtext1"/>
    <w:basedOn w:val="47"/>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6"/>
    <customShpInfo spid="_x0000_s3077"/>
    <customShpInfo spid="_x0000_s3074"/>
    <customShpInfo spid="_x0000_s3073"/>
    <customShpInfo spid="_x0000_s3080"/>
    <customShpInfo spid="_x0000_s3081"/>
    <customShpInfo spid="_x0000_s3086"/>
    <customShpInfo spid="_x0000_s3087"/>
    <customShpInfo spid="_x0000_s3082"/>
    <customShpInfo spid="_x0000_s308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AED77-F14C-4A05-8094-6C48337D7AA0}">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129</Pages>
  <Words>16624</Words>
  <Characters>17830</Characters>
  <Lines>337</Lines>
  <Paragraphs>94</Paragraphs>
  <TotalTime>14</TotalTime>
  <ScaleCrop>false</ScaleCrop>
  <LinksUpToDate>false</LinksUpToDate>
  <CharactersWithSpaces>18196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2024-01-24T04:51:00Z</dcterms:created>
  <dc:creator>admin</dc:creator>
  <cp:lastModifiedBy>依恋</cp:lastModifiedBy>
  <cp:lastPrinted>2024-10-24T01:01:00Z</cp:lastPrinted>
  <dcterms:modified xsi:type="dcterms:W3CDTF">2024-10-24T08:00:35Z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C8A6369216BB413095430B81D3DC2790</vt:lpwstr>
  </property>
</Properties>
</file>